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0433" w14:textId="77777777" w:rsidR="00E7648E" w:rsidRPr="007A133F" w:rsidRDefault="00E7648E" w:rsidP="00EF3FE2">
      <w:pPr>
        <w:pStyle w:val="s4"/>
        <w:spacing w:before="0" w:beforeAutospacing="0" w:after="165" w:afterAutospacing="0" w:line="360" w:lineRule="auto"/>
        <w:rPr>
          <w:rFonts w:ascii="Century Gothic" w:hAnsi="Century Gothic"/>
          <w:b/>
          <w:bCs/>
          <w:color w:val="000000"/>
        </w:rPr>
      </w:pPr>
      <w:r w:rsidRPr="007A133F">
        <w:rPr>
          <w:rStyle w:val="bumpedfont15"/>
          <w:rFonts w:ascii="Century Gothic" w:hAnsi="Century Gothic" w:cs="Calibri"/>
          <w:b/>
          <w:bCs/>
          <w:color w:val="000000"/>
        </w:rPr>
        <w:t>H. CONGRESO DEL ESTADO</w:t>
      </w:r>
    </w:p>
    <w:p w14:paraId="300BDA64" w14:textId="77777777" w:rsidR="00E7648E" w:rsidRPr="007A133F" w:rsidRDefault="00E7648E" w:rsidP="00EF3FE2">
      <w:pPr>
        <w:pStyle w:val="s5"/>
        <w:spacing w:before="0" w:beforeAutospacing="0" w:after="120" w:afterAutospacing="0" w:line="360" w:lineRule="auto"/>
        <w:rPr>
          <w:rFonts w:ascii="Century Gothic" w:hAnsi="Century Gothic"/>
          <w:b/>
          <w:bCs/>
          <w:color w:val="000000"/>
        </w:rPr>
      </w:pPr>
      <w:r w:rsidRPr="007A133F">
        <w:rPr>
          <w:rStyle w:val="bumpedfont15"/>
          <w:rFonts w:ascii="Century Gothic" w:hAnsi="Century Gothic" w:cs="Calibri"/>
          <w:b/>
          <w:bCs/>
          <w:color w:val="000000"/>
        </w:rPr>
        <w:t>P R E S E N T E</w:t>
      </w:r>
    </w:p>
    <w:p w14:paraId="51C5FB34" w14:textId="77777777" w:rsidR="00E7648E" w:rsidRPr="007A133F" w:rsidRDefault="00E7648E" w:rsidP="00EF3FE2">
      <w:pPr>
        <w:pStyle w:val="s6"/>
        <w:spacing w:before="0" w:beforeAutospacing="0" w:after="90" w:afterAutospacing="0" w:line="360" w:lineRule="auto"/>
        <w:rPr>
          <w:rFonts w:ascii="Century Gothic" w:hAnsi="Century Gothic"/>
          <w:b/>
          <w:bCs/>
          <w:color w:val="000000"/>
        </w:rPr>
      </w:pPr>
      <w:r w:rsidRPr="007A133F">
        <w:rPr>
          <w:rStyle w:val="bumpedfont15"/>
          <w:rFonts w:ascii="Century Gothic" w:hAnsi="Century Gothic" w:cs="Calibri"/>
          <w:b/>
          <w:bCs/>
          <w:color w:val="000000"/>
        </w:rPr>
        <w:t> </w:t>
      </w:r>
    </w:p>
    <w:p w14:paraId="1F39E29F" w14:textId="50BB1325" w:rsidR="00EF23D8" w:rsidRPr="007A133F" w:rsidRDefault="00E7648E" w:rsidP="007B298A">
      <w:pPr>
        <w:pStyle w:val="s7"/>
        <w:spacing w:before="0" w:beforeAutospacing="0" w:after="90" w:afterAutospacing="0" w:line="360" w:lineRule="auto"/>
        <w:ind w:right="15" w:firstLine="708"/>
        <w:rPr>
          <w:rStyle w:val="bumpedfont15"/>
          <w:rFonts w:ascii="Century Gothic" w:hAnsi="Century Gothic" w:cs="Calibri"/>
          <w:color w:val="000000"/>
        </w:rPr>
      </w:pPr>
      <w:r w:rsidRPr="007A133F">
        <w:rPr>
          <w:rStyle w:val="bumpedfont15"/>
          <w:rFonts w:ascii="Century Gothic" w:hAnsi="Century Gothic" w:cs="Calibri"/>
          <w:color w:val="000000"/>
        </w:rPr>
        <w:t>El suscrito, Diputado. Arturo Zubia Fernández, en mi carácter de diputado a la</w:t>
      </w:r>
      <w:r w:rsidRPr="007A133F">
        <w:rPr>
          <w:rStyle w:val="apple-converted-space"/>
          <w:rFonts w:ascii="Century Gothic" w:hAnsi="Century Gothic" w:cs="Calibri"/>
          <w:color w:val="000000"/>
        </w:rPr>
        <w:t> </w:t>
      </w:r>
      <w:r w:rsidRPr="007A133F">
        <w:rPr>
          <w:rStyle w:val="bumpedfont15"/>
          <w:rFonts w:ascii="Century Gothic" w:hAnsi="Century Gothic" w:cs="Calibri"/>
          <w:color w:val="000000"/>
        </w:rPr>
        <w:t>Sexagésima Octava Legislatura del Estado de Chihuahua y en representación del Grupo Parlamentario del Partido Acción Nacional, con fundamento en lo dispuesto por los artículos 169, 174, fracción I y 175 todos de la Ley Orgánica del Poder Legislativo del Estado de Chihuahua; así como artículo 2, fracción IX, del Reglamento Interior y de Prácticas Parlamentarias del Poder Legislativo; comparezco ante esta</w:t>
      </w:r>
      <w:r w:rsidR="007A133F" w:rsidRPr="007A133F">
        <w:rPr>
          <w:rStyle w:val="bumpedfont15"/>
          <w:rFonts w:ascii="Century Gothic" w:hAnsi="Century Gothic" w:cs="Calibri"/>
          <w:color w:val="000000"/>
        </w:rPr>
        <w:t xml:space="preserve"> </w:t>
      </w:r>
      <w:r w:rsidRPr="007A133F">
        <w:rPr>
          <w:rStyle w:val="bumpedfont15"/>
          <w:rFonts w:ascii="Century Gothic" w:hAnsi="Century Gothic" w:cs="Calibri"/>
          <w:color w:val="000000"/>
        </w:rPr>
        <w:t xml:space="preserve">Honorable Soberanía, a fin de presentar la siguiente Iniciativa con Carácter de Decreto a fin de reformar </w:t>
      </w:r>
      <w:r w:rsidR="007A133F" w:rsidRPr="007A133F">
        <w:rPr>
          <w:rStyle w:val="bumpedfont15"/>
          <w:rFonts w:ascii="Century Gothic" w:hAnsi="Century Gothic" w:cs="Calibri"/>
          <w:color w:val="000000"/>
        </w:rPr>
        <w:t>el artículo 2</w:t>
      </w:r>
      <w:r w:rsidR="00D747EA">
        <w:rPr>
          <w:rStyle w:val="bumpedfont15"/>
          <w:rFonts w:ascii="Century Gothic" w:hAnsi="Century Gothic" w:cs="Calibri"/>
          <w:color w:val="000000"/>
        </w:rPr>
        <w:t>2</w:t>
      </w:r>
      <w:r w:rsidR="007A133F" w:rsidRPr="007A133F">
        <w:rPr>
          <w:rStyle w:val="bumpedfont15"/>
          <w:rFonts w:ascii="Century Gothic" w:hAnsi="Century Gothic" w:cs="Calibri"/>
          <w:color w:val="000000"/>
        </w:rPr>
        <w:t>1</w:t>
      </w:r>
      <w:r w:rsidRPr="007A133F">
        <w:rPr>
          <w:rStyle w:val="bumpedfont15"/>
          <w:rFonts w:ascii="Century Gothic" w:hAnsi="Century Gothic" w:cs="Calibri"/>
          <w:color w:val="000000"/>
        </w:rPr>
        <w:t xml:space="preserve"> del Código Penal del Estado de Chihuahua, para establecer una conducta equiparable al delito de abuso de confianza, esto de conformidad a la siguiente: </w:t>
      </w:r>
    </w:p>
    <w:p w14:paraId="29A7B0FB" w14:textId="77777777" w:rsidR="007B298A" w:rsidRPr="007A133F" w:rsidRDefault="007B298A" w:rsidP="00EF3FE2">
      <w:pPr>
        <w:pStyle w:val="s7"/>
        <w:spacing w:before="0" w:beforeAutospacing="0" w:after="90" w:afterAutospacing="0" w:line="360" w:lineRule="auto"/>
        <w:ind w:right="15" w:firstLine="708"/>
        <w:rPr>
          <w:rFonts w:ascii="Century Gothic" w:hAnsi="Century Gothic"/>
          <w:color w:val="000000"/>
        </w:rPr>
      </w:pPr>
    </w:p>
    <w:p w14:paraId="2A4BC95D" w14:textId="46BF0821" w:rsidR="00E7648E" w:rsidRPr="007A133F" w:rsidRDefault="00E7648E" w:rsidP="002E7512">
      <w:pPr>
        <w:pStyle w:val="s7"/>
        <w:spacing w:before="0" w:beforeAutospacing="0" w:after="90" w:afterAutospacing="0" w:line="360" w:lineRule="auto"/>
        <w:ind w:right="15" w:firstLine="708"/>
        <w:jc w:val="center"/>
        <w:rPr>
          <w:rFonts w:ascii="Century Gothic" w:hAnsi="Century Gothic"/>
          <w:color w:val="000000"/>
        </w:rPr>
      </w:pPr>
      <w:r w:rsidRPr="007A133F">
        <w:rPr>
          <w:rFonts w:ascii="Century Gothic" w:hAnsi="Century Gothic"/>
          <w:color w:val="000000"/>
        </w:rPr>
        <w:t>Exposición de motivos</w:t>
      </w:r>
    </w:p>
    <w:p w14:paraId="3878BBF8" w14:textId="77777777" w:rsidR="00E7648E" w:rsidRPr="007A133F" w:rsidRDefault="00E7648E" w:rsidP="00EF3FE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ACFE201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 xml:space="preserve">Con el establecimiento de la obligatoriedad de pensiones y programas del bienestar en nuestro país, se han desarrollado diversas narrativas acerca de ellas, se ha intentado calcular sus impactos, ventajas y desventajas, a mediano y largo plazo, sin embargo, ha habido una falta de atención a los problemas que surgen el día de hoy. </w:t>
      </w:r>
    </w:p>
    <w:p w14:paraId="641DE9B9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6A9C423C" w14:textId="41A34452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  <w:u w:val="single"/>
        </w:rPr>
      </w:pPr>
      <w:r w:rsidRPr="007A133F">
        <w:rPr>
          <w:rFonts w:ascii="Century Gothic" w:hAnsi="Century Gothic"/>
          <w:sz w:val="24"/>
          <w:szCs w:val="24"/>
        </w:rPr>
        <w:lastRenderedPageBreak/>
        <w:t xml:space="preserve">Desde la llegada de estos apoyos sociales se ha observado casos donde familiares, cuidadores o personas cercanas a las personas beneficiadas de estos, se aprovechan de la confianza depositada en ellos para administrar beneficios </w:t>
      </w:r>
      <w:r w:rsidR="009935FE" w:rsidRPr="007A133F">
        <w:rPr>
          <w:rFonts w:ascii="Century Gothic" w:hAnsi="Century Gothic"/>
          <w:sz w:val="24"/>
          <w:szCs w:val="24"/>
        </w:rPr>
        <w:t xml:space="preserve">provenientes de programas </w:t>
      </w:r>
      <w:r w:rsidRPr="007A133F">
        <w:rPr>
          <w:rFonts w:ascii="Century Gothic" w:hAnsi="Century Gothic"/>
          <w:sz w:val="24"/>
          <w:szCs w:val="24"/>
        </w:rPr>
        <w:t>sociales.</w:t>
      </w:r>
    </w:p>
    <w:p w14:paraId="07A5E472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0239AB6E" w14:textId="0A798A9B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 xml:space="preserve">El pasado 10 de marzo, Durante la conferencia matutina: “Las mañaneras del pueblo”, la Secretaria de Bienestar, dio a conocer que el operativo de dispersión de pago correspondiente al bimestre marzo- abril de las Pensiones y Programas para el Bienestar se dispersa a 5.8 millones de derechohabientes y beneficiarios de las Pensiones para el Bienestar de las Personas Adultas Mayores, Personas con Discapacidad; la Pensión Mujeres Bienestar y el Programa de Apoyo  para el Bienestar de Niñas y Niños, Hijos de Madres Trabajadoras. </w:t>
      </w:r>
    </w:p>
    <w:p w14:paraId="79724F68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315D4EAF" w14:textId="73C70F1B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 xml:space="preserve">En nuestro estado, la delegada de Programas para el Bienestar, informó que, del 7 al 30 de mayo, se realizará la dispersión del pago de las Pensiones y Programas correspondiente al bimestre mayo-junio en beneficio de 583 mil 271 derechohabientes adultos mayores, mujeres bienestar, personas con discapacidad, madres trabajadoras, sembradoras y sembradores, lo que nos alerta sobre la cantidad de chihuahuenses que necesitan la seguridad de la norma para tutelar su patrimonio. </w:t>
      </w:r>
    </w:p>
    <w:p w14:paraId="63A04A64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1752CEB9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 xml:space="preserve">Como legisladores, asumimos un compromiso estrecho con los chihuahuenses y con las necesidades emergentes de nuestra sociedad, traduciendo las demandas sociales en políticas públicas que deben ser </w:t>
      </w:r>
      <w:r w:rsidRPr="007A133F">
        <w:rPr>
          <w:rFonts w:ascii="Century Gothic" w:hAnsi="Century Gothic"/>
          <w:sz w:val="24"/>
          <w:szCs w:val="24"/>
        </w:rPr>
        <w:lastRenderedPageBreak/>
        <w:t xml:space="preserve">eficaces y justas. Desde esta perspectiva, resaltó la importancia de que la ley garantice que los programas sociales sean eficientes, estableciendo responsabilidades para el estado y limitantes para los particulares. </w:t>
      </w:r>
    </w:p>
    <w:p w14:paraId="5ED1545D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1F9E66BA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>La Suprema Corte de Justicia establece tres elementos que constituyen la figura delictiva denominada abuso de confianza:</w:t>
      </w:r>
    </w:p>
    <w:p w14:paraId="1AD7B97A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60F330DF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>1. La entrega de la cosa, en virtud de la confianza o de un contrato que no transfiere el dominio: es decir, la persona recibe la cosa mueble ajena con la obligación de devolverla o darle un uso específico, sin que se le transfiera la propiedad.</w:t>
      </w:r>
    </w:p>
    <w:p w14:paraId="6CA6B3A6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5246E2F0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 xml:space="preserve">2. Que la confianza haya sido alcanzada con fines distintos del de disponer de lo ajeno, Es decir, la confianza fue otorgada con un propósito legítimo y específico, y no con el fin de que el receptor dispusiera de la cosa como si fuera propia, por lo que se quebranta al realizar esta disposición. </w:t>
      </w:r>
    </w:p>
    <w:p w14:paraId="047CDFCB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45A2109D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>3. Que el acusado disponga de los fondos para otros objetos distintos de los indicados, sabiendo que no le pertenecían: El receptor dispone de la cosa en beneficio propio o de un tercero, en perjuicio del propietario original.</w:t>
      </w:r>
    </w:p>
    <w:p w14:paraId="756434C4" w14:textId="77777777" w:rsidR="00E7648E" w:rsidRPr="007A133F" w:rsidRDefault="00E7648E" w:rsidP="00EF3FE2">
      <w:pPr>
        <w:spacing w:line="360" w:lineRule="auto"/>
        <w:jc w:val="both"/>
        <w:rPr>
          <w:rFonts w:ascii="Century Gothic" w:hAnsi="Century Gothic"/>
          <w:i/>
          <w:iCs/>
          <w:sz w:val="16"/>
          <w:szCs w:val="16"/>
        </w:rPr>
      </w:pPr>
      <w:r w:rsidRPr="007A133F">
        <w:rPr>
          <w:rFonts w:ascii="Century Gothic" w:hAnsi="Century Gothic"/>
          <w:i/>
          <w:iCs/>
          <w:sz w:val="16"/>
          <w:szCs w:val="16"/>
        </w:rPr>
        <w:t xml:space="preserve">Tesis [J.]: V.2o.A. J/45, T.C.C., Semanario judicial de la Federación y su Gaceta, Novena Época, tomo III, JUNIO DE 1996, p. 523. Reg. digital 202288.  </w:t>
      </w:r>
    </w:p>
    <w:p w14:paraId="20494C53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3701CF10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lastRenderedPageBreak/>
        <w:t>La propuesta de determinación del tipo penal que busca sancionar la conducta que vulnera la confianza que personas beneficiarias de programas sociales depositan en sus cuidadores o familiares para que sean tenedores de bienes, valores u objetos, es descrita por los siguientes elementos esenciales:</w:t>
      </w:r>
    </w:p>
    <w:p w14:paraId="5B717A85" w14:textId="7C897C8A" w:rsidR="00E7648E" w:rsidRPr="007A133F" w:rsidRDefault="00E7648E" w:rsidP="00EF3FE2">
      <w:pPr>
        <w:pStyle w:val="Prrafodelista"/>
        <w:numPr>
          <w:ilvl w:val="0"/>
          <w:numId w:val="4"/>
        </w:num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 xml:space="preserve">El Sujeto activo será quien recibe la tenencia de bienes provenientes de </w:t>
      </w:r>
      <w:r w:rsidR="00313C6B" w:rsidRPr="007A133F">
        <w:rPr>
          <w:rFonts w:ascii="Century Gothic" w:hAnsi="Century Gothic"/>
          <w:sz w:val="24"/>
          <w:szCs w:val="24"/>
        </w:rPr>
        <w:t>programas</w:t>
      </w:r>
      <w:r w:rsidRPr="007A133F">
        <w:rPr>
          <w:rFonts w:ascii="Century Gothic" w:hAnsi="Century Gothic"/>
          <w:sz w:val="24"/>
          <w:szCs w:val="24"/>
        </w:rPr>
        <w:t xml:space="preserve"> sociales.</w:t>
      </w:r>
    </w:p>
    <w:p w14:paraId="2B7614C3" w14:textId="68973189" w:rsidR="00E7648E" w:rsidRPr="007A133F" w:rsidRDefault="00E7648E" w:rsidP="00EF3FE2">
      <w:pPr>
        <w:pStyle w:val="Prrafodelista"/>
        <w:numPr>
          <w:ilvl w:val="0"/>
          <w:numId w:val="4"/>
        </w:num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 xml:space="preserve">Sujeto pasivo es la persona beneficiaria de dichos bienes provenientes de </w:t>
      </w:r>
      <w:r w:rsidR="00313C6B" w:rsidRPr="007A133F">
        <w:rPr>
          <w:rFonts w:ascii="Century Gothic" w:hAnsi="Century Gothic"/>
          <w:sz w:val="24"/>
          <w:szCs w:val="24"/>
        </w:rPr>
        <w:t>programas</w:t>
      </w:r>
      <w:r w:rsidRPr="007A133F">
        <w:rPr>
          <w:rFonts w:ascii="Century Gothic" w:hAnsi="Century Gothic"/>
          <w:sz w:val="24"/>
          <w:szCs w:val="24"/>
        </w:rPr>
        <w:t xml:space="preserve"> sociales.</w:t>
      </w:r>
    </w:p>
    <w:p w14:paraId="6C074B83" w14:textId="77777777" w:rsidR="00E7648E" w:rsidRPr="007A133F" w:rsidRDefault="00E7648E" w:rsidP="00EF3FE2">
      <w:pPr>
        <w:pStyle w:val="Prrafodelista"/>
        <w:numPr>
          <w:ilvl w:val="0"/>
          <w:numId w:val="4"/>
        </w:num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>Conducta típica</w:t>
      </w:r>
    </w:p>
    <w:p w14:paraId="6EE8D626" w14:textId="67C86DD0" w:rsidR="00E7648E" w:rsidRPr="007A133F" w:rsidRDefault="00E7648E" w:rsidP="00EF3FE2">
      <w:pPr>
        <w:pStyle w:val="Prrafodelista"/>
        <w:numPr>
          <w:ilvl w:val="0"/>
          <w:numId w:val="5"/>
        </w:num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 xml:space="preserve">Cuando el sujeto activo le da un uso diferente al acordado o permitido por la persona beneficiaria de dichos bienes provenientes de </w:t>
      </w:r>
      <w:r w:rsidR="00313C6B" w:rsidRPr="007A133F">
        <w:rPr>
          <w:rFonts w:ascii="Century Gothic" w:hAnsi="Century Gothic"/>
          <w:sz w:val="24"/>
          <w:szCs w:val="24"/>
        </w:rPr>
        <w:t>programas</w:t>
      </w:r>
      <w:r w:rsidRPr="007A133F">
        <w:rPr>
          <w:rFonts w:ascii="Century Gothic" w:hAnsi="Century Gothic"/>
          <w:sz w:val="24"/>
          <w:szCs w:val="24"/>
        </w:rPr>
        <w:t xml:space="preserve"> sociales.</w:t>
      </w:r>
    </w:p>
    <w:p w14:paraId="756C6FDB" w14:textId="36A88689" w:rsidR="00E7648E" w:rsidRPr="007A133F" w:rsidRDefault="00E7648E" w:rsidP="00EF3FE2">
      <w:pPr>
        <w:pStyle w:val="Prrafodelista"/>
        <w:numPr>
          <w:ilvl w:val="0"/>
          <w:numId w:val="5"/>
        </w:num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 xml:space="preserve">Cuando el sujeto activo haga una entrega incompleta, de diferente calidad y o especie de los bienes provenientes de </w:t>
      </w:r>
      <w:r w:rsidR="00313C6B" w:rsidRPr="007A133F">
        <w:rPr>
          <w:rFonts w:ascii="Century Gothic" w:hAnsi="Century Gothic"/>
          <w:sz w:val="24"/>
          <w:szCs w:val="24"/>
        </w:rPr>
        <w:t>programas</w:t>
      </w:r>
      <w:r w:rsidRPr="007A133F">
        <w:rPr>
          <w:rFonts w:ascii="Century Gothic" w:hAnsi="Century Gothic"/>
          <w:sz w:val="24"/>
          <w:szCs w:val="24"/>
        </w:rPr>
        <w:t xml:space="preserve"> sociales. </w:t>
      </w:r>
    </w:p>
    <w:p w14:paraId="5C0C0EBB" w14:textId="2B490960" w:rsidR="00E7648E" w:rsidRPr="007A133F" w:rsidRDefault="00E7648E" w:rsidP="00EF3FE2">
      <w:pPr>
        <w:pStyle w:val="Prrafodelista"/>
        <w:numPr>
          <w:ilvl w:val="0"/>
          <w:numId w:val="4"/>
        </w:num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 xml:space="preserve">Bien jurídicamente tutelado es el patrimonio de las personas beneficiarias, específicamente los bienes, valores </w:t>
      </w:r>
      <w:r w:rsidR="007A133F" w:rsidRPr="007A133F">
        <w:rPr>
          <w:rFonts w:ascii="Century Gothic" w:hAnsi="Century Gothic"/>
          <w:sz w:val="24"/>
          <w:szCs w:val="24"/>
        </w:rPr>
        <w:t>u</w:t>
      </w:r>
      <w:r w:rsidRPr="007A133F">
        <w:rPr>
          <w:rFonts w:ascii="Century Gothic" w:hAnsi="Century Gothic"/>
          <w:sz w:val="24"/>
          <w:szCs w:val="24"/>
        </w:rPr>
        <w:t xml:space="preserve"> objetos que provienen de </w:t>
      </w:r>
      <w:r w:rsidR="00313C6B" w:rsidRPr="007A133F">
        <w:rPr>
          <w:rFonts w:ascii="Century Gothic" w:hAnsi="Century Gothic"/>
          <w:sz w:val="24"/>
          <w:szCs w:val="24"/>
        </w:rPr>
        <w:t>programas</w:t>
      </w:r>
      <w:r w:rsidRPr="007A133F">
        <w:rPr>
          <w:rFonts w:ascii="Century Gothic" w:hAnsi="Century Gothic"/>
          <w:sz w:val="24"/>
          <w:szCs w:val="24"/>
        </w:rPr>
        <w:t xml:space="preserve"> sociales. </w:t>
      </w:r>
    </w:p>
    <w:p w14:paraId="559E049C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2A23A4FF" w14:textId="2FAB308A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 xml:space="preserve">Resultando en </w:t>
      </w:r>
      <w:r w:rsidR="00AC31A7">
        <w:rPr>
          <w:rFonts w:ascii="Century Gothic" w:hAnsi="Century Gothic"/>
          <w:sz w:val="24"/>
          <w:szCs w:val="24"/>
        </w:rPr>
        <w:t>la</w:t>
      </w:r>
      <w:r w:rsidRPr="007A133F">
        <w:rPr>
          <w:rFonts w:ascii="Century Gothic" w:hAnsi="Century Gothic"/>
          <w:sz w:val="24"/>
          <w:szCs w:val="24"/>
        </w:rPr>
        <w:t xml:space="preserve"> siguiente </w:t>
      </w:r>
      <w:r w:rsidR="00AC31A7">
        <w:rPr>
          <w:rFonts w:ascii="Century Gothic" w:hAnsi="Century Gothic"/>
          <w:sz w:val="24"/>
          <w:szCs w:val="24"/>
        </w:rPr>
        <w:t>fracción</w:t>
      </w:r>
      <w:r w:rsidRPr="007A133F">
        <w:rPr>
          <w:rFonts w:ascii="Century Gothic" w:hAnsi="Century Gothic"/>
          <w:sz w:val="24"/>
          <w:szCs w:val="24"/>
        </w:rPr>
        <w:t xml:space="preserve"> que sería adicionad</w:t>
      </w:r>
      <w:r w:rsidR="00AC31A7">
        <w:rPr>
          <w:rFonts w:ascii="Century Gothic" w:hAnsi="Century Gothic"/>
          <w:sz w:val="24"/>
          <w:szCs w:val="24"/>
        </w:rPr>
        <w:t>a a las conductas equiparables</w:t>
      </w:r>
      <w:r w:rsidRPr="007A133F">
        <w:rPr>
          <w:rFonts w:ascii="Century Gothic" w:hAnsi="Century Gothic"/>
          <w:sz w:val="24"/>
          <w:szCs w:val="24"/>
        </w:rPr>
        <w:t xml:space="preserve"> al abuso de confianza, en el artículo 221 del catálogo estatal de delitos como </w:t>
      </w:r>
      <w:r w:rsidR="007A133F" w:rsidRPr="007A133F">
        <w:rPr>
          <w:rFonts w:ascii="Century Gothic" w:hAnsi="Century Gothic"/>
          <w:sz w:val="24"/>
          <w:szCs w:val="24"/>
        </w:rPr>
        <w:t>F</w:t>
      </w:r>
      <w:r w:rsidRPr="007A133F">
        <w:rPr>
          <w:rFonts w:ascii="Century Gothic" w:hAnsi="Century Gothic"/>
          <w:sz w:val="24"/>
          <w:szCs w:val="24"/>
        </w:rPr>
        <w:t xml:space="preserve">racción </w:t>
      </w:r>
      <w:r w:rsidR="007A133F" w:rsidRPr="007A133F">
        <w:rPr>
          <w:rFonts w:ascii="Century Gothic" w:hAnsi="Century Gothic"/>
          <w:sz w:val="24"/>
          <w:szCs w:val="24"/>
        </w:rPr>
        <w:t>V</w:t>
      </w:r>
      <w:r w:rsidRPr="007A133F">
        <w:rPr>
          <w:rFonts w:ascii="Century Gothic" w:hAnsi="Century Gothic"/>
          <w:sz w:val="24"/>
          <w:szCs w:val="24"/>
        </w:rPr>
        <w:t xml:space="preserve">:  </w:t>
      </w:r>
      <w:r w:rsidRPr="007A133F">
        <w:rPr>
          <w:rFonts w:ascii="Century Gothic" w:hAnsi="Century Gothic" w:cs="Arial"/>
          <w:color w:val="000000"/>
          <w:sz w:val="24"/>
          <w:szCs w:val="24"/>
        </w:rPr>
        <w:t xml:space="preserve">A quien se le haya transmitido la tenencia de bienes, valores u objetos provenientes de </w:t>
      </w:r>
      <w:r w:rsidR="00313C6B" w:rsidRPr="007A133F">
        <w:rPr>
          <w:rFonts w:ascii="Century Gothic" w:hAnsi="Century Gothic" w:cs="Arial"/>
          <w:color w:val="000000"/>
          <w:sz w:val="24"/>
          <w:szCs w:val="24"/>
        </w:rPr>
        <w:t>programas</w:t>
      </w:r>
      <w:r w:rsidRPr="007A133F">
        <w:rPr>
          <w:rFonts w:ascii="Century Gothic" w:hAnsi="Century Gothic" w:cs="Arial"/>
          <w:color w:val="000000"/>
          <w:sz w:val="24"/>
          <w:szCs w:val="24"/>
        </w:rPr>
        <w:t xml:space="preserve"> sociales, </w:t>
      </w:r>
      <w:r w:rsidRPr="007A133F">
        <w:rPr>
          <w:rFonts w:ascii="Century Gothic" w:hAnsi="Century Gothic" w:cs="Arial"/>
          <w:color w:val="000000"/>
          <w:sz w:val="24"/>
          <w:szCs w:val="24"/>
        </w:rPr>
        <w:lastRenderedPageBreak/>
        <w:t>destine éstos para fines distintos a los consentidos por la persona beneficiaria o los entregue en menor cantidad o calidad.</w:t>
      </w:r>
    </w:p>
    <w:p w14:paraId="321E5FAA" w14:textId="77777777" w:rsidR="00313C6B" w:rsidRPr="007A133F" w:rsidRDefault="00313C6B" w:rsidP="00EF3FE2">
      <w:pPr>
        <w:spacing w:line="360" w:lineRule="auto"/>
        <w:ind w:firstLine="708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14:paraId="26DE425B" w14:textId="6A18414D" w:rsidR="00313C6B" w:rsidRPr="007A133F" w:rsidRDefault="00B14B26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 w:cs="Arial"/>
          <w:color w:val="000000"/>
          <w:sz w:val="24"/>
          <w:szCs w:val="24"/>
        </w:rPr>
        <w:t>Adicionando,</w:t>
      </w:r>
      <w:r w:rsidR="00313C6B" w:rsidRPr="007A133F">
        <w:rPr>
          <w:rFonts w:ascii="Century Gothic" w:hAnsi="Century Gothic" w:cs="Arial"/>
          <w:color w:val="000000"/>
          <w:sz w:val="24"/>
          <w:szCs w:val="24"/>
        </w:rPr>
        <w:t xml:space="preserve"> además, un segundo párrafo</w:t>
      </w:r>
      <w:r w:rsidR="00CB0D40">
        <w:rPr>
          <w:rFonts w:ascii="Century Gothic" w:hAnsi="Century Gothic" w:cs="Arial"/>
          <w:color w:val="000000"/>
          <w:sz w:val="24"/>
          <w:szCs w:val="24"/>
        </w:rPr>
        <w:t xml:space="preserve">, </w:t>
      </w:r>
      <w:r w:rsidR="00313C6B" w:rsidRPr="007A133F">
        <w:rPr>
          <w:rFonts w:ascii="Century Gothic" w:hAnsi="Century Gothic" w:cs="Arial"/>
          <w:color w:val="000000"/>
          <w:sz w:val="24"/>
          <w:szCs w:val="24"/>
        </w:rPr>
        <w:t xml:space="preserve">para delimitar </w:t>
      </w:r>
      <w:r w:rsidR="00CB0D40">
        <w:rPr>
          <w:rFonts w:ascii="Century Gothic" w:hAnsi="Century Gothic" w:cs="Arial"/>
          <w:color w:val="000000"/>
          <w:sz w:val="24"/>
          <w:szCs w:val="24"/>
        </w:rPr>
        <w:t>el agravante de la pena</w:t>
      </w:r>
      <w:r w:rsidR="00313C6B" w:rsidRPr="007A133F">
        <w:rPr>
          <w:rFonts w:ascii="Century Gothic" w:hAnsi="Century Gothic" w:cs="Arial"/>
          <w:color w:val="000000"/>
          <w:sz w:val="24"/>
          <w:szCs w:val="24"/>
        </w:rPr>
        <w:t>, ya que además de proteger el patrimonio de los beneficiados, atendiendo a los sectores poblacionales a los cuales se dirigen dichos programas, es necesario tutelar su dignidad humana, protegiéndolos del dolo con el que las personas que son sus cuidadoras o familiares pudiesen llegar a actuar</w:t>
      </w:r>
      <w:r w:rsidR="00671276">
        <w:rPr>
          <w:rFonts w:ascii="Century Gothic" w:hAnsi="Century Gothic" w:cs="Arial"/>
          <w:color w:val="000000"/>
          <w:sz w:val="24"/>
          <w:szCs w:val="24"/>
        </w:rPr>
        <w:t xml:space="preserve"> por su condición de vulnerabilidad</w:t>
      </w:r>
      <w:r w:rsidR="00313C6B" w:rsidRPr="007A133F">
        <w:rPr>
          <w:rFonts w:ascii="Century Gothic" w:hAnsi="Century Gothic" w:cs="Arial"/>
          <w:color w:val="000000"/>
          <w:sz w:val="24"/>
          <w:szCs w:val="24"/>
        </w:rPr>
        <w:t xml:space="preserve">. </w:t>
      </w:r>
    </w:p>
    <w:p w14:paraId="347D99B0" w14:textId="77777777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517DC09D" w14:textId="2669552F" w:rsidR="00E7648E" w:rsidRPr="007A133F" w:rsidRDefault="00E7648E" w:rsidP="00EF3FE2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t xml:space="preserve">La protección de los derechos y el bienestar de las personas a quienes se dirigen los </w:t>
      </w:r>
      <w:r w:rsidR="009935FE" w:rsidRPr="007A133F">
        <w:rPr>
          <w:rFonts w:ascii="Century Gothic" w:hAnsi="Century Gothic"/>
          <w:sz w:val="24"/>
          <w:szCs w:val="24"/>
        </w:rPr>
        <w:t>programas</w:t>
      </w:r>
      <w:r w:rsidRPr="007A133F">
        <w:rPr>
          <w:rFonts w:ascii="Century Gothic" w:hAnsi="Century Gothic"/>
          <w:sz w:val="24"/>
          <w:szCs w:val="24"/>
        </w:rPr>
        <w:t xml:space="preserve"> sociales, y que de manera general son grupos vulnerables, es una responsabilidad del Estado y de la sociedad en su conjunto. La presente iniciativa busca cerrar una brecha legal que permite la impunidad en casos </w:t>
      </w:r>
      <w:r w:rsidR="00CB0D40">
        <w:rPr>
          <w:rFonts w:ascii="Century Gothic" w:hAnsi="Century Gothic"/>
          <w:sz w:val="24"/>
          <w:szCs w:val="24"/>
        </w:rPr>
        <w:t>en los que existe una evidente situación de desigualdad</w:t>
      </w:r>
      <w:r w:rsidRPr="007A133F">
        <w:rPr>
          <w:rFonts w:ascii="Century Gothic" w:hAnsi="Century Gothic"/>
          <w:sz w:val="24"/>
          <w:szCs w:val="24"/>
        </w:rPr>
        <w:t>, fortaleciendo así el marco jurídico para garantizar la justicia y la dignidad de los sectores más vulnerables de nuestra población.</w:t>
      </w:r>
    </w:p>
    <w:p w14:paraId="3315BD06" w14:textId="77777777" w:rsidR="00E7648E" w:rsidRPr="007A133F" w:rsidRDefault="00E7648E" w:rsidP="00EF3FE2">
      <w:pPr>
        <w:spacing w:line="360" w:lineRule="auto"/>
        <w:ind w:left="1200" w:hanging="600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452E" w:rsidRPr="007A133F" w14:paraId="37FBC555" w14:textId="77777777" w:rsidTr="0024452E">
        <w:tc>
          <w:tcPr>
            <w:tcW w:w="4414" w:type="dxa"/>
          </w:tcPr>
          <w:p w14:paraId="3184ED02" w14:textId="22A5DF3F" w:rsidR="0024452E" w:rsidRPr="007A133F" w:rsidRDefault="0024452E" w:rsidP="00EF3FE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7A133F">
              <w:rPr>
                <w:rFonts w:ascii="Century Gothic" w:hAnsi="Century Gothic"/>
                <w:sz w:val="22"/>
                <w:szCs w:val="22"/>
              </w:rPr>
              <w:t>Texto propuesto</w:t>
            </w:r>
          </w:p>
        </w:tc>
        <w:tc>
          <w:tcPr>
            <w:tcW w:w="4414" w:type="dxa"/>
          </w:tcPr>
          <w:p w14:paraId="538532D4" w14:textId="72002084" w:rsidR="0024452E" w:rsidRPr="007A133F" w:rsidRDefault="0024452E" w:rsidP="00EF3FE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7A133F">
              <w:rPr>
                <w:rFonts w:ascii="Century Gothic" w:hAnsi="Century Gothic"/>
                <w:sz w:val="22"/>
                <w:szCs w:val="22"/>
              </w:rPr>
              <w:t>Texto vigente</w:t>
            </w:r>
          </w:p>
        </w:tc>
      </w:tr>
      <w:tr w:rsidR="00B30B21" w:rsidRPr="007A133F" w14:paraId="58818659" w14:textId="77777777" w:rsidTr="0024452E">
        <w:tc>
          <w:tcPr>
            <w:tcW w:w="4414" w:type="dxa"/>
          </w:tcPr>
          <w:p w14:paraId="50CE314F" w14:textId="6F4A55F4" w:rsidR="00B30B21" w:rsidRPr="007A133F" w:rsidRDefault="00B30B21" w:rsidP="00EF3FE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7A133F">
              <w:rPr>
                <w:rFonts w:ascii="Century Gothic" w:hAnsi="Century Gothic"/>
                <w:sz w:val="22"/>
                <w:szCs w:val="22"/>
              </w:rPr>
              <w:t>Código Penal del Estado de Chihuahua</w:t>
            </w:r>
          </w:p>
        </w:tc>
        <w:tc>
          <w:tcPr>
            <w:tcW w:w="4414" w:type="dxa"/>
          </w:tcPr>
          <w:p w14:paraId="11467EF7" w14:textId="1A54E3AB" w:rsidR="00B30B21" w:rsidRPr="007A133F" w:rsidRDefault="00B30B21" w:rsidP="00EF3FE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7A133F">
              <w:rPr>
                <w:rFonts w:ascii="Century Gothic" w:hAnsi="Century Gothic"/>
                <w:sz w:val="22"/>
                <w:szCs w:val="22"/>
              </w:rPr>
              <w:t>Código Penal del Estado de Chihuahua</w:t>
            </w:r>
          </w:p>
        </w:tc>
      </w:tr>
      <w:tr w:rsidR="00B30B21" w:rsidRPr="007A133F" w14:paraId="7B934E72" w14:textId="77777777" w:rsidTr="0024452E">
        <w:tc>
          <w:tcPr>
            <w:tcW w:w="4414" w:type="dxa"/>
          </w:tcPr>
          <w:p w14:paraId="7E34B729" w14:textId="77777777" w:rsidR="00B30B21" w:rsidRPr="007A133F" w:rsidRDefault="00B30B21" w:rsidP="00EF3FE2">
            <w:pPr>
              <w:spacing w:line="360" w:lineRule="auto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>Artículo 221.</w:t>
            </w:r>
          </w:p>
          <w:p w14:paraId="476388DE" w14:textId="77777777" w:rsidR="00B30B21" w:rsidRPr="007A133F" w:rsidRDefault="00B30B21" w:rsidP="00EF3FE2">
            <w:pPr>
              <w:spacing w:line="360" w:lineRule="auto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>Las mismas penas previstas en el artículo anterior se impondrán:</w:t>
            </w:r>
          </w:p>
          <w:p w14:paraId="508698EB" w14:textId="77777777" w:rsidR="00B30B21" w:rsidRPr="007A133F" w:rsidRDefault="00B30B21" w:rsidP="00EF3FE2">
            <w:pPr>
              <w:spacing w:line="360" w:lineRule="auto"/>
              <w:ind w:left="2124" w:hanging="424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56A55B44" w14:textId="362418F0" w:rsidR="00B30B21" w:rsidRPr="007A133F" w:rsidRDefault="00B30B21" w:rsidP="00EF3FE2">
            <w:pPr>
              <w:spacing w:line="360" w:lineRule="auto"/>
              <w:ind w:left="600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lastRenderedPageBreak/>
              <w:t xml:space="preserve">I. </w:t>
            </w: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ab/>
              <w:t xml:space="preserve">Al propietario o poseedor de una cosa mueble, </w:t>
            </w:r>
            <w:proofErr w:type="gramStart"/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>que</w:t>
            </w:r>
            <w:proofErr w:type="gramEnd"/>
            <w:r w:rsidR="00B14B26"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</w:t>
            </w: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>sin tener la libre disposición sobre la misma a virtud de cualquier título legítimo en favor de tercero, se apropie o disponga de ella con perjuicio de otro;</w:t>
            </w:r>
          </w:p>
          <w:p w14:paraId="20AB2F20" w14:textId="77777777" w:rsidR="00B30B21" w:rsidRPr="007A133F" w:rsidRDefault="00B30B21" w:rsidP="00EF3FE2">
            <w:pPr>
              <w:spacing w:line="360" w:lineRule="auto"/>
              <w:ind w:left="1308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623B95EC" w14:textId="77777777" w:rsidR="00B30B21" w:rsidRPr="007A133F" w:rsidRDefault="00B30B21" w:rsidP="00EF3FE2">
            <w:pPr>
              <w:spacing w:line="360" w:lineRule="auto"/>
              <w:ind w:left="600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>II.</w:t>
            </w: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ab/>
              <w:t xml:space="preserve"> A quien haga aparecer como suyo, sin ser de su propiedad, un depósito cautelar ordenado por la autoridad en un procedimiento penal;</w:t>
            </w:r>
          </w:p>
          <w:p w14:paraId="22F35A86" w14:textId="77777777" w:rsidR="00B30B21" w:rsidRPr="007A133F" w:rsidRDefault="00B30B21" w:rsidP="00EF3FE2">
            <w:pPr>
              <w:spacing w:line="360" w:lineRule="auto"/>
              <w:ind w:left="1308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6CE48DB6" w14:textId="57B08D7C" w:rsidR="00B30B21" w:rsidRPr="007A133F" w:rsidRDefault="00B30B21" w:rsidP="00EF3FE2">
            <w:pPr>
              <w:spacing w:line="360" w:lineRule="auto"/>
              <w:ind w:left="600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III. </w:t>
            </w: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ab/>
              <w:t xml:space="preserve">A quien habiendo recibido mercancías con subsidio o en franquicia para darles un destino determinado, las distraiga de ese destino o desvirtúe en cualquier forma los fines perseguidos con el subsidio o la franquicia; </w:t>
            </w:r>
          </w:p>
          <w:p w14:paraId="171D6074" w14:textId="77777777" w:rsidR="00B30B21" w:rsidRPr="007A133F" w:rsidRDefault="00B30B21" w:rsidP="00EF3FE2">
            <w:pPr>
              <w:spacing w:line="360" w:lineRule="auto"/>
              <w:ind w:left="2300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5D09F3D1" w14:textId="76B68140" w:rsidR="00B30B21" w:rsidRPr="007A133F" w:rsidRDefault="00B30B21" w:rsidP="00EF3FE2">
            <w:pPr>
              <w:spacing w:line="360" w:lineRule="auto"/>
              <w:ind w:left="600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IV. A los gerentes, directivos, administradores, mandatarios o intermediarios       de personas morales, constructores o vendedores que, habiendo </w:t>
            </w: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lastRenderedPageBreak/>
              <w:t xml:space="preserve">recibido dinero, títulos o valores por el importe total o parcial del precio de alguna compraventa de inmuebles o para constituir un gravamen real sobre éstos, no los destine al objeto de la operación concertada y disponga de ellos en provecho propio o de tercero; y </w:t>
            </w:r>
          </w:p>
          <w:p w14:paraId="61DB832C" w14:textId="77777777" w:rsidR="00B30B21" w:rsidRPr="007A133F" w:rsidRDefault="00B30B21" w:rsidP="00EF3FE2">
            <w:pPr>
              <w:spacing w:line="360" w:lineRule="auto"/>
              <w:ind w:left="2300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3D441E8E" w14:textId="29CF556C" w:rsidR="00B30B21" w:rsidRPr="007A133F" w:rsidRDefault="00B30B21" w:rsidP="00EF3FE2">
            <w:pPr>
              <w:spacing w:line="360" w:lineRule="auto"/>
              <w:ind w:left="600" w:hanging="600"/>
              <w:jc w:val="both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V.     </w:t>
            </w:r>
            <w:r w:rsidRPr="007A133F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 xml:space="preserve">A quien se le haya transmitido la tenencia de bienes, valores u objetos provenientes de </w:t>
            </w:r>
            <w:r w:rsidR="00313C6B" w:rsidRPr="007A133F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>programas</w:t>
            </w:r>
            <w:r w:rsidRPr="007A133F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  <w:t xml:space="preserve"> sociales, destine éstos para fines distintos a los consentidos por la persona beneficiaria o los entregue en menor cantidad o calidad. </w:t>
            </w:r>
          </w:p>
          <w:p w14:paraId="49D61323" w14:textId="77777777" w:rsidR="00313C6B" w:rsidRPr="007A133F" w:rsidRDefault="00313C6B" w:rsidP="00EF3FE2">
            <w:pPr>
              <w:spacing w:line="360" w:lineRule="auto"/>
              <w:ind w:left="600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2C5D9877" w14:textId="59147885" w:rsidR="00CB0D40" w:rsidRPr="007A133F" w:rsidRDefault="00CB0D40" w:rsidP="00CB0D40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7A133F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 xml:space="preserve">En el supuesto de la fracción </w:t>
            </w: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V</w:t>
            </w:r>
            <w:r w:rsidRPr="007A133F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,</w:t>
            </w:r>
            <w:r w:rsidRPr="00CD4C7B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 xml:space="preserve">la pena de prisión se incrementará hasta en una tercera parte de la prevista en el artículo 220. </w:t>
            </w:r>
          </w:p>
          <w:p w14:paraId="7C0BDC25" w14:textId="468661AA" w:rsidR="00B30B21" w:rsidRPr="00EE6698" w:rsidRDefault="00B30B21" w:rsidP="00313C6B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3EE72E9" w14:textId="77777777" w:rsidR="00B30B21" w:rsidRPr="007A133F" w:rsidRDefault="00B30B21" w:rsidP="00EF3FE2">
            <w:pPr>
              <w:spacing w:line="360" w:lineRule="auto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lastRenderedPageBreak/>
              <w:t>Artículo 221.</w:t>
            </w:r>
          </w:p>
          <w:p w14:paraId="2DBB287E" w14:textId="77777777" w:rsidR="00B30B21" w:rsidRPr="007A133F" w:rsidRDefault="00B30B21" w:rsidP="00EF3FE2">
            <w:pPr>
              <w:spacing w:line="360" w:lineRule="auto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>Las mismas penas previstas en el artículo anterior se impondrán:</w:t>
            </w:r>
          </w:p>
          <w:p w14:paraId="000D2712" w14:textId="77777777" w:rsidR="00B30B21" w:rsidRPr="007A133F" w:rsidRDefault="00B30B21" w:rsidP="00EF3FE2">
            <w:pPr>
              <w:spacing w:line="360" w:lineRule="auto"/>
              <w:ind w:left="1132" w:hanging="424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13A080FC" w14:textId="77777777" w:rsidR="00B30B21" w:rsidRPr="007A133F" w:rsidRDefault="00B30B21" w:rsidP="00EF3FE2">
            <w:pPr>
              <w:spacing w:line="360" w:lineRule="auto"/>
              <w:ind w:left="600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lastRenderedPageBreak/>
              <w:t xml:space="preserve">I. </w:t>
            </w: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ab/>
              <w:t xml:space="preserve">Al propietario o poseedor de una cosa mueble, </w:t>
            </w:r>
            <w:proofErr w:type="gramStart"/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>que</w:t>
            </w:r>
            <w:proofErr w:type="gramEnd"/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sin tener la libre disposición sobre la misma a virtud de cualquier título legítimo en favor de tercero, se apropie o disponga de ella con perjuicio de otro;</w:t>
            </w:r>
          </w:p>
          <w:p w14:paraId="0F80F3CE" w14:textId="77777777" w:rsidR="00B30B21" w:rsidRPr="007A133F" w:rsidRDefault="00B30B21" w:rsidP="00EF3FE2">
            <w:pPr>
              <w:spacing w:line="360" w:lineRule="auto"/>
              <w:ind w:left="600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6115E611" w14:textId="77777777" w:rsidR="00B30B21" w:rsidRPr="007A133F" w:rsidRDefault="00B30B21" w:rsidP="00EF3FE2">
            <w:pPr>
              <w:spacing w:line="360" w:lineRule="auto"/>
              <w:ind w:left="600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>II.</w:t>
            </w: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ab/>
              <w:t xml:space="preserve"> A quien haga aparecer como suyo, sin ser de su propiedad, un depósito cautelar ordenado por la autoridad en un procedimiento penal;</w:t>
            </w:r>
          </w:p>
          <w:p w14:paraId="202805B8" w14:textId="77777777" w:rsidR="00B30B21" w:rsidRPr="007A133F" w:rsidRDefault="00B30B21" w:rsidP="00EF3FE2">
            <w:pPr>
              <w:spacing w:line="360" w:lineRule="auto"/>
              <w:ind w:left="600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3A70288E" w14:textId="77777777" w:rsidR="00B30B21" w:rsidRPr="007A133F" w:rsidRDefault="00B30B21" w:rsidP="00EF3FE2">
            <w:pPr>
              <w:spacing w:line="360" w:lineRule="auto"/>
              <w:ind w:left="600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III. </w:t>
            </w: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ab/>
              <w:t>A quien habiendo recibido mercancías con subsidio o en franquicia para darles un destino determinado, las distraiga de ese destino o desvirtúe en cualquier forma los fines perseguidos con el subsidio o la franquicia; y</w:t>
            </w:r>
          </w:p>
          <w:p w14:paraId="7BD098B6" w14:textId="77777777" w:rsidR="00B30B21" w:rsidRPr="007A133F" w:rsidRDefault="00B30B21" w:rsidP="00EF3FE2">
            <w:pPr>
              <w:spacing w:line="360" w:lineRule="auto"/>
              <w:ind w:left="1308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14:paraId="0C7F891D" w14:textId="77777777" w:rsidR="00B30B21" w:rsidRPr="007A133F" w:rsidRDefault="00B30B21" w:rsidP="00EF3FE2">
            <w:pPr>
              <w:spacing w:line="360" w:lineRule="auto"/>
              <w:ind w:left="600" w:hanging="600"/>
              <w:jc w:val="both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IV.      A los gerentes, directivos, administradores, mandatarios o intermediarios       de personas morales, constructores o vendedores que, habiendo </w:t>
            </w:r>
            <w:r w:rsidRPr="007A133F">
              <w:rPr>
                <w:rFonts w:ascii="Century Gothic" w:hAnsi="Century Gothic" w:cs="Arial"/>
                <w:color w:val="000000"/>
                <w:sz w:val="22"/>
                <w:szCs w:val="22"/>
              </w:rPr>
              <w:lastRenderedPageBreak/>
              <w:t>recibido dinero, títulos o valores por el importe total o parcial del precio de alguna compraventa de inmuebles o para constituir un gravamen real sobre éstos, no los destine al objeto de la operación concertada y disponga de ellos en provecho propio o de tercero.</w:t>
            </w:r>
          </w:p>
          <w:p w14:paraId="6E097325" w14:textId="77777777" w:rsidR="00B30B21" w:rsidRPr="007A133F" w:rsidRDefault="00B30B21" w:rsidP="00EF3FE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592597F" w14:textId="1B1E57C2" w:rsidR="009D0CB4" w:rsidRPr="007A133F" w:rsidRDefault="009D0CB4" w:rsidP="00EF3FE2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6196AFD" w14:textId="2BF981A4" w:rsidR="001E38C1" w:rsidRDefault="006313AF" w:rsidP="00393310">
      <w:pPr>
        <w:spacing w:line="360" w:lineRule="auto"/>
        <w:ind w:firstLine="708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/>
          <w:sz w:val="24"/>
          <w:szCs w:val="24"/>
        </w:rPr>
        <w:lastRenderedPageBreak/>
        <w:t xml:space="preserve">Por todo lo anteriormente expuesto, aumento a consideración de esta soberanía, la siguiente iniciativa con carácter de: </w:t>
      </w:r>
    </w:p>
    <w:p w14:paraId="1DEF3B49" w14:textId="77777777" w:rsidR="007A133F" w:rsidRPr="007A133F" w:rsidRDefault="007A133F" w:rsidP="00393310">
      <w:pPr>
        <w:spacing w:line="360" w:lineRule="auto"/>
        <w:ind w:firstLine="708"/>
        <w:rPr>
          <w:rFonts w:ascii="Century Gothic" w:hAnsi="Century Gothic"/>
          <w:sz w:val="24"/>
          <w:szCs w:val="24"/>
        </w:rPr>
      </w:pPr>
    </w:p>
    <w:p w14:paraId="576FB174" w14:textId="77777777" w:rsidR="007B298A" w:rsidRPr="007A133F" w:rsidRDefault="006313AF" w:rsidP="007B298A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7A133F">
        <w:rPr>
          <w:rFonts w:ascii="Century Gothic" w:hAnsi="Century Gothic"/>
          <w:b/>
          <w:bCs/>
          <w:sz w:val="24"/>
          <w:szCs w:val="24"/>
        </w:rPr>
        <w:t>Decreto</w:t>
      </w:r>
    </w:p>
    <w:p w14:paraId="5D540F96" w14:textId="781504FD" w:rsidR="0039153F" w:rsidRPr="007A133F" w:rsidRDefault="007B298A" w:rsidP="00830CE7">
      <w:pPr>
        <w:spacing w:line="360" w:lineRule="auto"/>
        <w:ind w:firstLine="708"/>
        <w:jc w:val="both"/>
        <w:rPr>
          <w:rFonts w:ascii="Century Gothic" w:hAnsi="Century Gothic"/>
          <w:b/>
          <w:bCs/>
          <w:sz w:val="24"/>
          <w:szCs w:val="24"/>
        </w:rPr>
      </w:pPr>
      <w:r w:rsidRPr="007A133F">
        <w:rPr>
          <w:rFonts w:ascii="Century Gothic" w:hAnsi="Century Gothic"/>
          <w:b/>
          <w:bCs/>
          <w:sz w:val="24"/>
          <w:szCs w:val="24"/>
        </w:rPr>
        <w:t xml:space="preserve">ARTÍCULO ÚNICO. </w:t>
      </w:r>
      <w:r w:rsidRPr="007A133F">
        <w:rPr>
          <w:rFonts w:ascii="Century Gothic" w:hAnsi="Century Gothic"/>
          <w:sz w:val="24"/>
          <w:szCs w:val="24"/>
        </w:rPr>
        <w:t>S</w:t>
      </w:r>
      <w:r w:rsidR="002A4323" w:rsidRPr="007A133F">
        <w:rPr>
          <w:rFonts w:ascii="Century Gothic" w:hAnsi="Century Gothic"/>
          <w:sz w:val="24"/>
          <w:szCs w:val="24"/>
        </w:rPr>
        <w:t>e adiciona</w:t>
      </w:r>
      <w:r w:rsidR="007D66A6" w:rsidRPr="007A133F">
        <w:rPr>
          <w:rFonts w:ascii="Century Gothic" w:hAnsi="Century Gothic"/>
          <w:sz w:val="24"/>
          <w:szCs w:val="24"/>
        </w:rPr>
        <w:t xml:space="preserve"> la fracción </w:t>
      </w:r>
      <w:r w:rsidR="0039153F" w:rsidRPr="007A133F">
        <w:rPr>
          <w:rFonts w:ascii="Century Gothic" w:hAnsi="Century Gothic"/>
          <w:sz w:val="24"/>
          <w:szCs w:val="24"/>
        </w:rPr>
        <w:t>V</w:t>
      </w:r>
      <w:r w:rsidR="008E54D2" w:rsidRPr="007A133F">
        <w:rPr>
          <w:rFonts w:ascii="Century Gothic" w:hAnsi="Century Gothic"/>
          <w:sz w:val="24"/>
          <w:szCs w:val="24"/>
        </w:rPr>
        <w:t xml:space="preserve"> y un </w:t>
      </w:r>
      <w:r w:rsidR="008F033B" w:rsidRPr="007A133F">
        <w:rPr>
          <w:rFonts w:ascii="Century Gothic" w:hAnsi="Century Gothic"/>
          <w:sz w:val="24"/>
          <w:szCs w:val="24"/>
        </w:rPr>
        <w:t>P</w:t>
      </w:r>
      <w:r w:rsidR="008E54D2" w:rsidRPr="007A133F">
        <w:rPr>
          <w:rFonts w:ascii="Century Gothic" w:hAnsi="Century Gothic"/>
          <w:sz w:val="24"/>
          <w:szCs w:val="24"/>
        </w:rPr>
        <w:t xml:space="preserve">árrafo </w:t>
      </w:r>
      <w:r w:rsidR="008F033B" w:rsidRPr="007A133F">
        <w:rPr>
          <w:rFonts w:ascii="Century Gothic" w:hAnsi="Century Gothic"/>
          <w:sz w:val="24"/>
          <w:szCs w:val="24"/>
        </w:rPr>
        <w:t>S</w:t>
      </w:r>
      <w:r w:rsidR="008E54D2" w:rsidRPr="007A133F">
        <w:rPr>
          <w:rFonts w:ascii="Century Gothic" w:hAnsi="Century Gothic"/>
          <w:sz w:val="24"/>
          <w:szCs w:val="24"/>
        </w:rPr>
        <w:t xml:space="preserve">egundo </w:t>
      </w:r>
      <w:r w:rsidR="00150AC1" w:rsidRPr="007A133F">
        <w:rPr>
          <w:rFonts w:ascii="Century Gothic" w:hAnsi="Century Gothic"/>
          <w:sz w:val="24"/>
          <w:szCs w:val="24"/>
        </w:rPr>
        <w:t xml:space="preserve">al </w:t>
      </w:r>
      <w:r w:rsidR="008E54D2" w:rsidRPr="007A133F">
        <w:rPr>
          <w:rFonts w:ascii="Century Gothic" w:hAnsi="Century Gothic"/>
          <w:sz w:val="24"/>
          <w:szCs w:val="24"/>
        </w:rPr>
        <w:t>artículo</w:t>
      </w:r>
      <w:r w:rsidR="00150AC1" w:rsidRPr="007A133F">
        <w:rPr>
          <w:rFonts w:ascii="Century Gothic" w:hAnsi="Century Gothic"/>
          <w:sz w:val="24"/>
          <w:szCs w:val="24"/>
        </w:rPr>
        <w:t xml:space="preserve"> 2</w:t>
      </w:r>
      <w:r w:rsidR="00D747EA">
        <w:rPr>
          <w:rFonts w:ascii="Century Gothic" w:hAnsi="Century Gothic"/>
          <w:sz w:val="24"/>
          <w:szCs w:val="24"/>
        </w:rPr>
        <w:t>2</w:t>
      </w:r>
      <w:r w:rsidR="00150AC1" w:rsidRPr="007A133F">
        <w:rPr>
          <w:rFonts w:ascii="Century Gothic" w:hAnsi="Century Gothic"/>
          <w:sz w:val="24"/>
          <w:szCs w:val="24"/>
        </w:rPr>
        <w:t xml:space="preserve">1 del Código </w:t>
      </w:r>
      <w:r w:rsidR="0039153F" w:rsidRPr="007A133F">
        <w:rPr>
          <w:rFonts w:ascii="Century Gothic" w:hAnsi="Century Gothic"/>
          <w:sz w:val="24"/>
          <w:szCs w:val="24"/>
        </w:rPr>
        <w:t>Penal del Estado de Chihuahua</w:t>
      </w:r>
      <w:r w:rsidR="003C6072" w:rsidRPr="007A133F">
        <w:rPr>
          <w:rFonts w:ascii="Century Gothic" w:hAnsi="Century Gothic"/>
          <w:sz w:val="24"/>
          <w:szCs w:val="24"/>
        </w:rPr>
        <w:t xml:space="preserve"> para quedar como sigue:</w:t>
      </w:r>
    </w:p>
    <w:p w14:paraId="741EAA9E" w14:textId="77777777" w:rsidR="007B298A" w:rsidRPr="007A133F" w:rsidRDefault="007B298A" w:rsidP="00393310">
      <w:pPr>
        <w:spacing w:line="360" w:lineRule="auto"/>
        <w:ind w:firstLine="708"/>
        <w:rPr>
          <w:rFonts w:ascii="Century Gothic" w:hAnsi="Century Gothic"/>
          <w:sz w:val="24"/>
          <w:szCs w:val="24"/>
        </w:rPr>
      </w:pPr>
    </w:p>
    <w:p w14:paraId="557C7CC1" w14:textId="77777777" w:rsidR="008E54D2" w:rsidRPr="007A133F" w:rsidRDefault="00E81B55" w:rsidP="0082424D">
      <w:pPr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7A133F">
        <w:rPr>
          <w:rFonts w:ascii="Century Gothic" w:hAnsi="Century Gothic" w:cs="Arial"/>
          <w:b/>
          <w:bCs/>
          <w:color w:val="000000"/>
          <w:sz w:val="24"/>
          <w:szCs w:val="24"/>
        </w:rPr>
        <w:t>Artículo 221.</w:t>
      </w:r>
      <w:r w:rsidR="008B2495" w:rsidRPr="007A133F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</w:t>
      </w:r>
    </w:p>
    <w:p w14:paraId="480FDDD6" w14:textId="692542B1" w:rsidR="00E81B55" w:rsidRPr="007A133F" w:rsidRDefault="00E81B55" w:rsidP="0082424D">
      <w:pPr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7A133F">
        <w:rPr>
          <w:rFonts w:ascii="Century Gothic" w:hAnsi="Century Gothic" w:cs="Arial"/>
          <w:color w:val="000000"/>
          <w:sz w:val="24"/>
          <w:szCs w:val="24"/>
        </w:rPr>
        <w:t>Las mismas penas previstas en el artículo anterior se impondrán:</w:t>
      </w:r>
    </w:p>
    <w:p w14:paraId="1435038A" w14:textId="476D8D7B" w:rsidR="00E81B55" w:rsidRPr="007A133F" w:rsidRDefault="008B2495" w:rsidP="008E54D2">
      <w:pPr>
        <w:pStyle w:val="Prrafodelista"/>
        <w:numPr>
          <w:ilvl w:val="0"/>
          <w:numId w:val="6"/>
        </w:numPr>
        <w:spacing w:line="360" w:lineRule="auto"/>
        <w:ind w:left="1428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7A133F">
        <w:rPr>
          <w:rFonts w:ascii="Century Gothic" w:hAnsi="Century Gothic" w:cs="Arial"/>
          <w:color w:val="000000"/>
          <w:sz w:val="24"/>
          <w:szCs w:val="24"/>
        </w:rPr>
        <w:t>(…)</w:t>
      </w:r>
    </w:p>
    <w:p w14:paraId="46C94219" w14:textId="77777777" w:rsidR="008B2495" w:rsidRPr="007A133F" w:rsidRDefault="008B2495" w:rsidP="008E54D2">
      <w:pPr>
        <w:spacing w:line="360" w:lineRule="auto"/>
        <w:ind w:left="108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14:paraId="4541CCB8" w14:textId="7B9D5C0A" w:rsidR="008B2495" w:rsidRPr="007A133F" w:rsidRDefault="008B2495" w:rsidP="008E54D2">
      <w:pPr>
        <w:pStyle w:val="Prrafodelista"/>
        <w:numPr>
          <w:ilvl w:val="0"/>
          <w:numId w:val="6"/>
        </w:numPr>
        <w:spacing w:line="360" w:lineRule="auto"/>
        <w:ind w:left="1428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7A133F">
        <w:rPr>
          <w:rFonts w:ascii="Century Gothic" w:hAnsi="Century Gothic" w:cs="Arial"/>
          <w:color w:val="000000"/>
          <w:sz w:val="24"/>
          <w:szCs w:val="24"/>
        </w:rPr>
        <w:t>(…)</w:t>
      </w:r>
    </w:p>
    <w:p w14:paraId="73E15836" w14:textId="77777777" w:rsidR="008B2495" w:rsidRPr="007A133F" w:rsidRDefault="008B2495" w:rsidP="008E54D2">
      <w:pPr>
        <w:spacing w:line="360" w:lineRule="auto"/>
        <w:ind w:left="108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14:paraId="50D58E43" w14:textId="2563E670" w:rsidR="00E81B55" w:rsidRPr="007A133F" w:rsidRDefault="00E81B55" w:rsidP="008E54D2">
      <w:pPr>
        <w:spacing w:line="360" w:lineRule="auto"/>
        <w:ind w:left="1308" w:hanging="600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7A133F">
        <w:rPr>
          <w:rFonts w:ascii="Century Gothic" w:hAnsi="Century Gothic" w:cs="Arial"/>
          <w:color w:val="000000"/>
          <w:sz w:val="24"/>
          <w:szCs w:val="24"/>
        </w:rPr>
        <w:t xml:space="preserve">III. </w:t>
      </w:r>
      <w:r w:rsidRPr="007A133F">
        <w:rPr>
          <w:rFonts w:ascii="Century Gothic" w:hAnsi="Century Gothic" w:cs="Arial"/>
          <w:color w:val="000000"/>
          <w:sz w:val="24"/>
          <w:szCs w:val="24"/>
        </w:rPr>
        <w:tab/>
      </w:r>
      <w:r w:rsidR="008E54D2" w:rsidRPr="007A133F">
        <w:rPr>
          <w:rFonts w:ascii="Century Gothic" w:hAnsi="Century Gothic" w:cs="Arial"/>
          <w:color w:val="000000"/>
          <w:sz w:val="24"/>
          <w:szCs w:val="24"/>
        </w:rPr>
        <w:t xml:space="preserve">  (…)</w:t>
      </w:r>
      <w:r w:rsidRPr="007A133F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14:paraId="2BBF84F8" w14:textId="77777777" w:rsidR="00E81B55" w:rsidRPr="007A133F" w:rsidRDefault="00E81B55" w:rsidP="008E54D2">
      <w:pPr>
        <w:spacing w:line="360" w:lineRule="auto"/>
        <w:ind w:left="1308" w:hanging="600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14:paraId="6D5CF5C2" w14:textId="336E9439" w:rsidR="00E81B55" w:rsidRPr="007A133F" w:rsidRDefault="00E81B55" w:rsidP="008E54D2">
      <w:pPr>
        <w:spacing w:line="360" w:lineRule="auto"/>
        <w:ind w:left="1308" w:hanging="600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7A133F">
        <w:rPr>
          <w:rFonts w:ascii="Century Gothic" w:hAnsi="Century Gothic" w:cs="Arial"/>
          <w:color w:val="000000"/>
          <w:sz w:val="24"/>
          <w:szCs w:val="24"/>
        </w:rPr>
        <w:t xml:space="preserve">IV.   </w:t>
      </w:r>
      <w:proofErr w:type="gramStart"/>
      <w:r w:rsidRPr="007A133F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7A133F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7A133F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A1350D" w:rsidRPr="007A133F">
        <w:rPr>
          <w:rFonts w:ascii="Century Gothic" w:hAnsi="Century Gothic" w:cs="Arial"/>
          <w:color w:val="000000"/>
          <w:sz w:val="24"/>
          <w:szCs w:val="24"/>
        </w:rPr>
        <w:t>(</w:t>
      </w:r>
      <w:proofErr w:type="gramEnd"/>
      <w:r w:rsidR="00A1350D" w:rsidRPr="007A133F">
        <w:rPr>
          <w:rFonts w:ascii="Century Gothic" w:hAnsi="Century Gothic" w:cs="Arial"/>
          <w:color w:val="000000"/>
          <w:sz w:val="24"/>
          <w:szCs w:val="24"/>
        </w:rPr>
        <w:t>…)</w:t>
      </w:r>
    </w:p>
    <w:p w14:paraId="224D0140" w14:textId="77777777" w:rsidR="00E81B55" w:rsidRPr="007A133F" w:rsidRDefault="00E81B55" w:rsidP="008E54D2">
      <w:pPr>
        <w:spacing w:line="360" w:lineRule="auto"/>
        <w:ind w:left="1308" w:hanging="600"/>
        <w:jc w:val="both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14:paraId="7F35ABC5" w14:textId="211392EF" w:rsidR="00E81B55" w:rsidRPr="007A133F" w:rsidRDefault="00E81B55" w:rsidP="008E54D2">
      <w:pPr>
        <w:spacing w:line="360" w:lineRule="auto"/>
        <w:ind w:left="1308" w:hanging="600"/>
        <w:jc w:val="both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7A133F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V.     A quien se le haya transmitido la tenencia de bienes, valores u objetos provenientes de </w:t>
      </w:r>
      <w:r w:rsidR="008E54D2" w:rsidRPr="007A133F">
        <w:rPr>
          <w:rFonts w:ascii="Century Gothic" w:hAnsi="Century Gothic" w:cs="Arial"/>
          <w:b/>
          <w:bCs/>
          <w:color w:val="000000"/>
          <w:sz w:val="24"/>
          <w:szCs w:val="24"/>
        </w:rPr>
        <w:t>programas</w:t>
      </w:r>
      <w:r w:rsidRPr="007A133F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sociales, destine éstos para fines distintos a los consentidos por la persona beneficiaria o los entregue en menor cantidad o calidad. </w:t>
      </w:r>
    </w:p>
    <w:p w14:paraId="06F89FFD" w14:textId="77777777" w:rsidR="00313C6B" w:rsidRPr="007A133F" w:rsidRDefault="00313C6B" w:rsidP="008E54D2">
      <w:pPr>
        <w:spacing w:line="360" w:lineRule="auto"/>
        <w:ind w:left="1308" w:hanging="600"/>
        <w:jc w:val="both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14:paraId="578CE07C" w14:textId="7AB9C765" w:rsidR="008E54D2" w:rsidRPr="007A133F" w:rsidRDefault="008E54D2" w:rsidP="00313C6B">
      <w:pPr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7A133F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En el supuesto de la fracción </w:t>
      </w:r>
      <w:r w:rsidR="00CD4C7B">
        <w:rPr>
          <w:rFonts w:ascii="Century Gothic" w:hAnsi="Century Gothic" w:cs="Arial"/>
          <w:b/>
          <w:bCs/>
          <w:color w:val="000000"/>
          <w:sz w:val="24"/>
          <w:szCs w:val="24"/>
        </w:rPr>
        <w:t>V</w:t>
      </w:r>
      <w:r w:rsidR="00BD4464" w:rsidRPr="007A133F">
        <w:rPr>
          <w:rFonts w:ascii="Century Gothic" w:hAnsi="Century Gothic" w:cs="Arial"/>
          <w:b/>
          <w:bCs/>
          <w:color w:val="000000"/>
          <w:sz w:val="24"/>
          <w:szCs w:val="24"/>
        </w:rPr>
        <w:t>,</w:t>
      </w:r>
      <w:r w:rsidR="00CD4C7B" w:rsidRPr="00CD4C7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</w:t>
      </w:r>
      <w:r w:rsidR="00CB0D40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la pena de prisión se incrementará hasta en una tercera parte de la prevista en el </w:t>
      </w:r>
      <w:proofErr w:type="spellStart"/>
      <w:r w:rsidR="00CB0D40">
        <w:rPr>
          <w:rFonts w:ascii="Century Gothic" w:hAnsi="Century Gothic" w:cs="Arial"/>
          <w:b/>
          <w:bCs/>
          <w:color w:val="000000"/>
          <w:sz w:val="24"/>
          <w:szCs w:val="24"/>
        </w:rPr>
        <w:t>articulo</w:t>
      </w:r>
      <w:proofErr w:type="spellEnd"/>
      <w:r w:rsidR="00CB0D40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220. </w:t>
      </w:r>
    </w:p>
    <w:p w14:paraId="74D84BFE" w14:textId="77777777" w:rsidR="00111D9C" w:rsidRPr="007A133F" w:rsidRDefault="00111D9C" w:rsidP="0053362B">
      <w:pPr>
        <w:spacing w:line="360" w:lineRule="auto"/>
        <w:ind w:left="1200" w:hanging="600"/>
        <w:jc w:val="both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14:paraId="60ABD3B9" w14:textId="16E89CE9" w:rsidR="0053362B" w:rsidRPr="007A133F" w:rsidRDefault="0053362B" w:rsidP="00111D9C">
      <w:pPr>
        <w:spacing w:line="360" w:lineRule="auto"/>
        <w:ind w:left="1200" w:hanging="60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7A133F">
        <w:rPr>
          <w:rFonts w:ascii="Century Gothic" w:hAnsi="Century Gothic" w:cs="Arial"/>
          <w:b/>
          <w:bCs/>
          <w:color w:val="000000"/>
          <w:sz w:val="24"/>
          <w:szCs w:val="24"/>
        </w:rPr>
        <w:t>T R A N S I T O R I O S:</w:t>
      </w:r>
    </w:p>
    <w:p w14:paraId="3AE64F40" w14:textId="77777777" w:rsidR="0053362B" w:rsidRPr="007A133F" w:rsidRDefault="0053362B" w:rsidP="0053362B">
      <w:pPr>
        <w:spacing w:line="360" w:lineRule="auto"/>
        <w:ind w:left="1200" w:hanging="600"/>
        <w:jc w:val="both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14:paraId="67466737" w14:textId="44FF2FAC" w:rsidR="0053362B" w:rsidRPr="007A133F" w:rsidRDefault="0053362B" w:rsidP="008B043D">
      <w:pPr>
        <w:spacing w:line="360" w:lineRule="auto"/>
        <w:ind w:firstLine="708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7A133F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ARTÍCULO PRIMERO. </w:t>
      </w:r>
      <w:r w:rsidRPr="007A133F">
        <w:rPr>
          <w:rFonts w:ascii="Century Gothic" w:hAnsi="Century Gothic" w:cs="Arial"/>
          <w:color w:val="000000"/>
          <w:sz w:val="24"/>
          <w:szCs w:val="24"/>
        </w:rPr>
        <w:t>Este decreto entrará en vigor al día siguiente de su publicación en el Periódico Oficial del Estado.</w:t>
      </w:r>
    </w:p>
    <w:p w14:paraId="12F29BED" w14:textId="77777777" w:rsidR="0053362B" w:rsidRPr="007A133F" w:rsidRDefault="0053362B" w:rsidP="008B043D">
      <w:pPr>
        <w:spacing w:line="360" w:lineRule="auto"/>
        <w:ind w:left="1200" w:firstLine="708"/>
        <w:jc w:val="both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14:paraId="00548707" w14:textId="77777777" w:rsidR="0053362B" w:rsidRPr="007A133F" w:rsidRDefault="0053362B" w:rsidP="008B043D">
      <w:pPr>
        <w:spacing w:line="360" w:lineRule="auto"/>
        <w:ind w:firstLine="708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7A133F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ECONOMICO. </w:t>
      </w:r>
      <w:r w:rsidRPr="007A133F">
        <w:rPr>
          <w:rFonts w:ascii="Century Gothic" w:hAnsi="Century Gothic" w:cs="Arial"/>
          <w:color w:val="000000"/>
          <w:sz w:val="24"/>
          <w:szCs w:val="24"/>
        </w:rPr>
        <w:t>Aprobado que sea, túrnese a la Secretaría para que elabore la minuta de Decreto en los términos correspondientes.</w:t>
      </w:r>
    </w:p>
    <w:p w14:paraId="45CCC64C" w14:textId="77777777" w:rsidR="0053362B" w:rsidRPr="007A133F" w:rsidRDefault="0053362B" w:rsidP="008B043D">
      <w:pPr>
        <w:spacing w:line="360" w:lineRule="auto"/>
        <w:ind w:left="1200" w:firstLine="708"/>
        <w:jc w:val="both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14:paraId="5E9A8226" w14:textId="7416C520" w:rsidR="0053362B" w:rsidRPr="007A133F" w:rsidRDefault="008B043D" w:rsidP="008B043D">
      <w:pPr>
        <w:spacing w:line="360" w:lineRule="auto"/>
        <w:ind w:firstLine="708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7A133F">
        <w:rPr>
          <w:rFonts w:ascii="Century Gothic" w:hAnsi="Century Gothic" w:cs="Arial"/>
          <w:color w:val="000000"/>
          <w:sz w:val="24"/>
          <w:szCs w:val="24"/>
        </w:rPr>
        <w:t>DADO en</w:t>
      </w:r>
      <w:r w:rsidR="0053362B" w:rsidRPr="007A133F">
        <w:rPr>
          <w:rFonts w:ascii="Century Gothic" w:hAnsi="Century Gothic" w:cs="Arial"/>
          <w:color w:val="000000"/>
          <w:sz w:val="24"/>
          <w:szCs w:val="24"/>
        </w:rPr>
        <w:t xml:space="preserve"> el recinto oficial del Poder Legislativo, en la Ciudad de Chihuahua, Chihuahua, a los </w:t>
      </w:r>
      <w:r w:rsidR="00313C6B" w:rsidRPr="007A133F">
        <w:rPr>
          <w:rFonts w:ascii="Century Gothic" w:hAnsi="Century Gothic" w:cs="Arial"/>
          <w:color w:val="000000"/>
          <w:sz w:val="24"/>
          <w:szCs w:val="24"/>
        </w:rPr>
        <w:t>2</w:t>
      </w:r>
      <w:r w:rsidR="00CB0D40">
        <w:rPr>
          <w:rFonts w:ascii="Century Gothic" w:hAnsi="Century Gothic" w:cs="Arial"/>
          <w:color w:val="000000"/>
          <w:sz w:val="24"/>
          <w:szCs w:val="24"/>
        </w:rPr>
        <w:t>2</w:t>
      </w:r>
      <w:r w:rsidR="0053362B" w:rsidRPr="007A133F">
        <w:rPr>
          <w:rFonts w:ascii="Century Gothic" w:hAnsi="Century Gothic" w:cs="Arial"/>
          <w:color w:val="000000"/>
          <w:sz w:val="24"/>
          <w:szCs w:val="24"/>
        </w:rPr>
        <w:t xml:space="preserve"> días del mes de ma</w:t>
      </w:r>
      <w:r w:rsidR="00313C6B" w:rsidRPr="007A133F">
        <w:rPr>
          <w:rFonts w:ascii="Century Gothic" w:hAnsi="Century Gothic" w:cs="Arial"/>
          <w:color w:val="000000"/>
          <w:sz w:val="24"/>
          <w:szCs w:val="24"/>
        </w:rPr>
        <w:t>y</w:t>
      </w:r>
      <w:r w:rsidR="0053362B" w:rsidRPr="007A133F">
        <w:rPr>
          <w:rFonts w:ascii="Century Gothic" w:hAnsi="Century Gothic" w:cs="Arial"/>
          <w:color w:val="000000"/>
          <w:sz w:val="24"/>
          <w:szCs w:val="24"/>
        </w:rPr>
        <w:t>o del año dos mil veinticinco.</w:t>
      </w:r>
    </w:p>
    <w:p w14:paraId="5CDFD1DA" w14:textId="7DC216AA" w:rsidR="007A133F" w:rsidRDefault="007A133F" w:rsidP="007A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7A133F">
        <w:rPr>
          <w:rFonts w:ascii="Century Gothic" w:hAnsi="Century Gothic" w:cs="Arial"/>
          <w:b/>
          <w:bCs/>
          <w:sz w:val="24"/>
          <w:szCs w:val="24"/>
        </w:rPr>
        <w:t>ATENTAMENTE</w:t>
      </w:r>
    </w:p>
    <w:p w14:paraId="19EC6BF9" w14:textId="1DF6FECF" w:rsidR="007A133F" w:rsidRDefault="007A133F" w:rsidP="007A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79A0C63" w14:textId="5BDA0CDA" w:rsidR="007A133F" w:rsidRDefault="007A133F" w:rsidP="007A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572BEDB2" w14:textId="77777777" w:rsidR="007A133F" w:rsidRPr="007A133F" w:rsidRDefault="007A133F" w:rsidP="007A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182891E" w14:textId="77777777" w:rsidR="007A133F" w:rsidRPr="007A133F" w:rsidRDefault="007A133F" w:rsidP="007A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7A133F">
        <w:rPr>
          <w:rFonts w:ascii="Century Gothic" w:hAnsi="Century Gothic" w:cs="Arial"/>
          <w:b/>
          <w:bCs/>
          <w:sz w:val="24"/>
          <w:szCs w:val="24"/>
        </w:rPr>
        <w:t>DIP. ARTURO ZUBIA FERNANDEZ</w:t>
      </w:r>
    </w:p>
    <w:p w14:paraId="57D2ED1C" w14:textId="77777777" w:rsidR="007A133F" w:rsidRPr="007A133F" w:rsidRDefault="007A133F" w:rsidP="007A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7A133F">
        <w:rPr>
          <w:rFonts w:ascii="Century Gothic" w:hAnsi="Century Gothic" w:cs="Arial"/>
          <w:b/>
          <w:bCs/>
          <w:sz w:val="24"/>
          <w:szCs w:val="24"/>
        </w:rPr>
        <w:t>EN REPRESENTACIÓN DEL GRUPO PARLAMENTARIO DE ACCIÓN NACIONAL</w:t>
      </w:r>
    </w:p>
    <w:p w14:paraId="51DF2144" w14:textId="77777777" w:rsidR="007A133F" w:rsidRPr="007A133F" w:rsidRDefault="007A133F" w:rsidP="007A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B9EC977" w14:textId="77777777" w:rsidR="007A133F" w:rsidRDefault="007A133F" w:rsidP="007A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507FD368" w14:textId="77777777" w:rsidR="007A133F" w:rsidRDefault="007A133F" w:rsidP="007A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C532C3B" w14:textId="77777777" w:rsidR="007A133F" w:rsidRDefault="007A133F" w:rsidP="007A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6DCF841" w14:textId="77777777" w:rsidR="007A133F" w:rsidRDefault="007A133F" w:rsidP="007A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364E0E2" w14:textId="77777777" w:rsidR="007A133F" w:rsidRDefault="007A133F" w:rsidP="007A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80BFC3A" w14:textId="42535EB3" w:rsidR="007A133F" w:rsidRPr="007A133F" w:rsidRDefault="007A133F" w:rsidP="007A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7A133F">
        <w:rPr>
          <w:rFonts w:ascii="Century Gothic" w:hAnsi="Century Gothic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B15F299" wp14:editId="040891A8">
                <wp:simplePos x="0" y="0"/>
                <wp:positionH relativeFrom="margin">
                  <wp:posOffset>-114935</wp:posOffset>
                </wp:positionH>
                <wp:positionV relativeFrom="paragraph">
                  <wp:posOffset>8250555</wp:posOffset>
                </wp:positionV>
                <wp:extent cx="5492750" cy="463550"/>
                <wp:effectExtent l="0" t="0" r="12700" b="1270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7B44" w14:textId="77777777" w:rsidR="007A133F" w:rsidRPr="00AD4233" w:rsidRDefault="007A133F" w:rsidP="007A133F">
                            <w:pPr>
                              <w:spacing w:line="360" w:lineRule="auto"/>
                              <w:ind w:right="4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eastAsia="es-MX"/>
                              </w:rPr>
                            </w:pPr>
                            <w:r w:rsidRPr="00464255">
                              <w:rPr>
                                <w:rFonts w:ascii="Arial" w:hAnsi="Arial" w:cs="Arial"/>
                                <w:sz w:val="14"/>
                              </w:rPr>
                              <w:t xml:space="preserve">ESTA HOJA DE FIRMAS </w:t>
                            </w:r>
                            <w:r w:rsidRPr="00AD423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PERTENECE </w:t>
                            </w:r>
                            <w:r w:rsidRPr="00AD4233">
                              <w:rPr>
                                <w:rFonts w:ascii="Arial" w:hAnsi="Arial" w:cs="Arial"/>
                                <w:sz w:val="12"/>
                                <w:szCs w:val="12"/>
                                <w:lang w:eastAsia="es-MX"/>
                              </w:rPr>
                              <w:t xml:space="preserve">Iniciativa con carácter de Decreto, por el que se reforman </w:t>
                            </w:r>
                            <w:r w:rsidRPr="00AD423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Ley para la Inclusión y Desarrollo de las Personas con Discapacidad en el Estado de Chihuahua </w:t>
                            </w:r>
                            <w:r w:rsidRPr="00AD4233">
                              <w:rPr>
                                <w:rFonts w:ascii="Arial" w:hAnsi="Arial" w:cs="Arial"/>
                                <w:sz w:val="12"/>
                                <w:szCs w:val="12"/>
                                <w:lang w:eastAsia="es-MX"/>
                              </w:rPr>
                              <w:t xml:space="preserve">y el Código Administrativo del Estado de Chihuahua, ambos del Estado de Chihuahua, en materia de discapacidad e inclusión. </w:t>
                            </w:r>
                          </w:p>
                          <w:p w14:paraId="0C60D438" w14:textId="77777777" w:rsidR="007A133F" w:rsidRPr="00AD4233" w:rsidRDefault="007A133F" w:rsidP="007A133F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9BA2D20" w14:textId="77777777" w:rsidR="007A133F" w:rsidRPr="00AD4233" w:rsidRDefault="007A133F" w:rsidP="007A133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5F2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.05pt;margin-top:649.65pt;width:432.5pt;height:36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">
                <v:textbox>
                  <w:txbxContent>
                    <w:p w14:paraId="56977B44" w14:textId="77777777" w:rsidR="007A133F" w:rsidRPr="00AD4233" w:rsidRDefault="007A133F" w:rsidP="007A133F">
                      <w:pPr>
                        <w:spacing w:line="360" w:lineRule="auto"/>
                        <w:ind w:right="4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eastAsia="es-MX"/>
                        </w:rPr>
                      </w:pPr>
                      <w:r w:rsidRPr="00464255">
                        <w:rPr>
                          <w:rFonts w:ascii="Arial" w:hAnsi="Arial" w:cs="Arial"/>
                          <w:sz w:val="14"/>
                        </w:rPr>
                        <w:t xml:space="preserve">ESTA HOJA DE FIRMAS </w:t>
                      </w:r>
                      <w:r w:rsidRPr="00AD423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PERTENECE </w:t>
                      </w:r>
                      <w:r w:rsidRPr="00AD4233">
                        <w:rPr>
                          <w:rFonts w:ascii="Arial" w:hAnsi="Arial" w:cs="Arial"/>
                          <w:sz w:val="12"/>
                          <w:szCs w:val="12"/>
                          <w:lang w:eastAsia="es-MX"/>
                        </w:rPr>
                        <w:t xml:space="preserve">Iniciativa con carácter de Decreto, por el que se reforman </w:t>
                      </w:r>
                      <w:r w:rsidRPr="00AD423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Ley para la Inclusión y Desarrollo de las Personas con Discapacidad en el Estado de Chihuahua </w:t>
                      </w:r>
                      <w:r w:rsidRPr="00AD4233">
                        <w:rPr>
                          <w:rFonts w:ascii="Arial" w:hAnsi="Arial" w:cs="Arial"/>
                          <w:sz w:val="12"/>
                          <w:szCs w:val="12"/>
                          <w:lang w:eastAsia="es-MX"/>
                        </w:rPr>
                        <w:t xml:space="preserve">y el Código Administrativo del Estado de Chihuahua, ambos del Estado de Chihuahua, en materia de discapacidad e inclusión. </w:t>
                      </w:r>
                    </w:p>
                    <w:p w14:paraId="0C60D438" w14:textId="77777777" w:rsidR="007A133F" w:rsidRPr="00AD4233" w:rsidRDefault="007A133F" w:rsidP="007A133F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9BA2D20" w14:textId="77777777" w:rsidR="007A133F" w:rsidRPr="00AD4233" w:rsidRDefault="007A133F" w:rsidP="007A133F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4"/>
      </w:tblGrid>
      <w:tr w:rsidR="007A133F" w:rsidRPr="007A133F" w14:paraId="6CFB426E" w14:textId="77777777" w:rsidTr="00C543A2">
        <w:tc>
          <w:tcPr>
            <w:tcW w:w="4250" w:type="dxa"/>
          </w:tcPr>
          <w:p w14:paraId="7ED824B1" w14:textId="369B84DB" w:rsid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7449DC1" w14:textId="6E64A092" w:rsidR="00671276" w:rsidRDefault="00671276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570E85E" w14:textId="778F2434" w:rsidR="00671276" w:rsidRDefault="00671276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96CD8B9" w14:textId="77777777" w:rsidR="00671276" w:rsidRPr="007A133F" w:rsidRDefault="00671276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504A298" w14:textId="77777777" w:rsidR="007A133F" w:rsidRPr="007A133F" w:rsidRDefault="007A133F" w:rsidP="00C543A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A133F">
              <w:rPr>
                <w:rFonts w:ascii="Century Gothic" w:hAnsi="Century Gothic"/>
                <w:b/>
                <w:bCs/>
                <w:sz w:val="24"/>
                <w:szCs w:val="24"/>
              </w:rPr>
              <w:t>DIP. JOSÉ ALFREDO CHÁVEZ     MADRID</w:t>
            </w:r>
          </w:p>
          <w:p w14:paraId="5DDE8AA4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D79A539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EC447E8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</w:tcPr>
          <w:p w14:paraId="4B078511" w14:textId="6FC31888" w:rsid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A9105C1" w14:textId="189689C5" w:rsidR="00671276" w:rsidRDefault="00671276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22FF712" w14:textId="652669B1" w:rsidR="00671276" w:rsidRDefault="00671276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DB1AAAF" w14:textId="77777777" w:rsidR="00671276" w:rsidRPr="007A133F" w:rsidRDefault="00671276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6BD5CBC" w14:textId="77777777" w:rsid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A133F">
              <w:rPr>
                <w:rFonts w:ascii="Century Gothic" w:hAnsi="Century Gothic"/>
                <w:b/>
                <w:bCs/>
                <w:sz w:val="24"/>
                <w:szCs w:val="24"/>
              </w:rPr>
              <w:t>DIP. SÁUL MIRELES CORRAL</w:t>
            </w:r>
          </w:p>
          <w:p w14:paraId="78B919F0" w14:textId="77777777" w:rsidR="007A133F" w:rsidRPr="007A133F" w:rsidRDefault="007A133F" w:rsidP="007A133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97E5CE2" w14:textId="77777777" w:rsidR="007A133F" w:rsidRDefault="007A133F" w:rsidP="007A133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DB1D800" w14:textId="77777777" w:rsidR="007A133F" w:rsidRDefault="007A133F" w:rsidP="007A133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765AD9D" w14:textId="77777777" w:rsidR="007A133F" w:rsidRDefault="007A133F" w:rsidP="007A133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86F6D3" w14:textId="77777777" w:rsidR="007A133F" w:rsidRDefault="007A133F" w:rsidP="007A133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DCCCB8" w14:textId="77777777" w:rsidR="007A133F" w:rsidRDefault="007A133F" w:rsidP="007A133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4D9D5A5" w14:textId="77777777" w:rsidR="007A133F" w:rsidRDefault="007A133F" w:rsidP="007A133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88CBB1" w14:textId="38A674C1" w:rsidR="007A133F" w:rsidRPr="007A133F" w:rsidRDefault="007A133F" w:rsidP="007A13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A133F" w:rsidRPr="007A133F" w14:paraId="2E27BB40" w14:textId="77777777" w:rsidTr="00C543A2">
        <w:tc>
          <w:tcPr>
            <w:tcW w:w="4250" w:type="dxa"/>
          </w:tcPr>
          <w:p w14:paraId="7E305CFC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06C2676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A133F">
              <w:rPr>
                <w:rFonts w:ascii="Century Gothic" w:hAnsi="Century Gothic"/>
                <w:b/>
                <w:bCs/>
                <w:sz w:val="24"/>
                <w:szCs w:val="24"/>
              </w:rPr>
              <w:t>DIP. CARLA YAMILETH RIVAS MARTINEZ</w:t>
            </w:r>
          </w:p>
        </w:tc>
        <w:tc>
          <w:tcPr>
            <w:tcW w:w="4254" w:type="dxa"/>
          </w:tcPr>
          <w:p w14:paraId="700C3A88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02E600E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A133F">
              <w:rPr>
                <w:rFonts w:ascii="Century Gothic" w:hAnsi="Century Gothic"/>
                <w:b/>
                <w:bCs/>
                <w:sz w:val="24"/>
                <w:szCs w:val="24"/>
              </w:rPr>
              <w:t>DIP. EDNA XÓCHITL CONTRERAS HERRERA.</w:t>
            </w:r>
          </w:p>
        </w:tc>
      </w:tr>
      <w:tr w:rsidR="007A133F" w:rsidRPr="007A133F" w14:paraId="4C724C76" w14:textId="77777777" w:rsidTr="00C543A2">
        <w:tc>
          <w:tcPr>
            <w:tcW w:w="4250" w:type="dxa"/>
          </w:tcPr>
          <w:p w14:paraId="454748A3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ABA6C81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24B0496" w14:textId="1682C820" w:rsid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244211C" w14:textId="7AB6EC76" w:rsid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69A5B09" w14:textId="7AA33EF5" w:rsid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3B34346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2FBAFFC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C9B0096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A133F">
              <w:rPr>
                <w:rFonts w:ascii="Century Gothic" w:hAnsi="Century Gothic"/>
                <w:b/>
                <w:bCs/>
                <w:sz w:val="24"/>
                <w:szCs w:val="24"/>
              </w:rPr>
              <w:t>DIP. JOCELINE VEGA VARGAS</w:t>
            </w:r>
          </w:p>
        </w:tc>
        <w:tc>
          <w:tcPr>
            <w:tcW w:w="4254" w:type="dxa"/>
          </w:tcPr>
          <w:p w14:paraId="31722A26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3C7D25C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3DDC07E" w14:textId="13E60A5D" w:rsidR="007A133F" w:rsidRDefault="007A133F" w:rsidP="007A133F">
            <w:pPr>
              <w:spacing w:line="360" w:lineRule="auto"/>
              <w:ind w:firstLine="708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B284914" w14:textId="5388866A" w:rsidR="007A133F" w:rsidRDefault="007A133F" w:rsidP="007A133F">
            <w:pPr>
              <w:spacing w:line="360" w:lineRule="auto"/>
              <w:ind w:firstLine="708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7997DFB" w14:textId="77777777" w:rsidR="007A133F" w:rsidRPr="007A133F" w:rsidRDefault="007A133F" w:rsidP="007A133F">
            <w:pPr>
              <w:spacing w:line="360" w:lineRule="auto"/>
              <w:ind w:firstLine="708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D2E724A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9E327CF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A7B04C2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A133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DIP. NANCY JANETH FRÍAS </w:t>
            </w:r>
            <w:proofErr w:type="spellStart"/>
            <w:r w:rsidRPr="007A133F">
              <w:rPr>
                <w:rFonts w:ascii="Century Gothic" w:hAnsi="Century Gothic"/>
                <w:b/>
                <w:bCs/>
                <w:sz w:val="24"/>
                <w:szCs w:val="24"/>
              </w:rPr>
              <w:t>FRÍAS</w:t>
            </w:r>
            <w:proofErr w:type="spellEnd"/>
          </w:p>
        </w:tc>
      </w:tr>
      <w:tr w:rsidR="007A133F" w:rsidRPr="007A133F" w14:paraId="2C505C5C" w14:textId="77777777" w:rsidTr="00C543A2">
        <w:tc>
          <w:tcPr>
            <w:tcW w:w="4250" w:type="dxa"/>
          </w:tcPr>
          <w:p w14:paraId="57EC175E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7495C73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46C5F72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C96970A" w14:textId="6F28C173" w:rsid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9923DA2" w14:textId="4A533635" w:rsid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5537E98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82D59F0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EE0170B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A133F">
              <w:rPr>
                <w:rFonts w:ascii="Century Gothic" w:hAnsi="Century Gothic"/>
                <w:b/>
                <w:bCs/>
                <w:sz w:val="24"/>
                <w:szCs w:val="24"/>
              </w:rPr>
              <w:t>DIP. JORGE CARLOS SOTO PRIETO</w:t>
            </w:r>
          </w:p>
        </w:tc>
        <w:tc>
          <w:tcPr>
            <w:tcW w:w="4254" w:type="dxa"/>
          </w:tcPr>
          <w:p w14:paraId="35E0C615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B1BD93E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669C92F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357E99D" w14:textId="0AC17F6B" w:rsidR="007A133F" w:rsidRDefault="007A133F" w:rsidP="007A133F">
            <w:pPr>
              <w:tabs>
                <w:tab w:val="left" w:pos="3000"/>
              </w:tabs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ab/>
            </w:r>
          </w:p>
          <w:p w14:paraId="3C41D322" w14:textId="444DA016" w:rsidR="007A133F" w:rsidRDefault="007A133F" w:rsidP="007A133F">
            <w:pPr>
              <w:tabs>
                <w:tab w:val="left" w:pos="3000"/>
              </w:tabs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1033292" w14:textId="77777777" w:rsidR="007A133F" w:rsidRPr="007A133F" w:rsidRDefault="007A133F" w:rsidP="007A133F">
            <w:pPr>
              <w:tabs>
                <w:tab w:val="left" w:pos="3000"/>
              </w:tabs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EAA0833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C09500A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A133F">
              <w:rPr>
                <w:rFonts w:ascii="Century Gothic" w:hAnsi="Century Gothic"/>
                <w:b/>
                <w:bCs/>
                <w:sz w:val="24"/>
                <w:szCs w:val="24"/>
              </w:rPr>
              <w:t>DIP. ROBERTO MARCELINO CARREÓN HUITRÓN</w:t>
            </w:r>
          </w:p>
        </w:tc>
      </w:tr>
      <w:tr w:rsidR="007A133F" w:rsidRPr="007A133F" w14:paraId="16FAB59C" w14:textId="77777777" w:rsidTr="00C543A2">
        <w:tc>
          <w:tcPr>
            <w:tcW w:w="4250" w:type="dxa"/>
          </w:tcPr>
          <w:p w14:paraId="21F40F43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AFA4F03" w14:textId="22B80F4A" w:rsid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A2F544A" w14:textId="54C15C85" w:rsid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90738A7" w14:textId="77777777" w:rsidR="007A133F" w:rsidRPr="007A133F" w:rsidRDefault="007A133F" w:rsidP="007A133F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FB5FF7A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416DFE8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A133F">
              <w:rPr>
                <w:rFonts w:ascii="Century Gothic" w:hAnsi="Century Gothic"/>
                <w:b/>
                <w:bCs/>
                <w:sz w:val="24"/>
                <w:szCs w:val="24"/>
              </w:rPr>
              <w:t>DIP. CARLOS ALFREDO OLSON</w:t>
            </w:r>
          </w:p>
          <w:p w14:paraId="5C98B965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A133F">
              <w:rPr>
                <w:rFonts w:ascii="Century Gothic" w:hAnsi="Century Gothic"/>
                <w:b/>
                <w:bCs/>
                <w:sz w:val="24"/>
                <w:szCs w:val="24"/>
              </w:rPr>
              <w:t>SAN VICENTE</w:t>
            </w:r>
          </w:p>
          <w:p w14:paraId="6A0D4A08" w14:textId="77777777" w:rsidR="007A133F" w:rsidRPr="007A133F" w:rsidRDefault="007A133F" w:rsidP="00C543A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ADDF5CB" w14:textId="77777777" w:rsidR="007A133F" w:rsidRPr="007A133F" w:rsidRDefault="007A133F" w:rsidP="00C543A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02B1AE7" w14:textId="77777777" w:rsidR="007A133F" w:rsidRPr="007A133F" w:rsidRDefault="007A133F" w:rsidP="00C543A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0B3E590" w14:textId="667C4C6C" w:rsidR="007A133F" w:rsidRDefault="007A133F" w:rsidP="00C543A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98CA96B" w14:textId="344C5413" w:rsidR="007A133F" w:rsidRDefault="007A133F" w:rsidP="00C543A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422D73" w14:textId="58D678BB" w:rsidR="007A133F" w:rsidRDefault="007A133F" w:rsidP="00C543A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E283C3" w14:textId="2AE5A3E9" w:rsidR="007A133F" w:rsidRDefault="007A133F" w:rsidP="00C543A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6CDF3D7" w14:textId="661062E8" w:rsidR="007A133F" w:rsidRDefault="007A133F" w:rsidP="00C543A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17B34B" w14:textId="77777777" w:rsidR="007A133F" w:rsidRPr="007A133F" w:rsidRDefault="007A133F" w:rsidP="00C543A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7A9064" w14:textId="77777777" w:rsidR="007A133F" w:rsidRPr="007A133F" w:rsidRDefault="007A133F" w:rsidP="00C543A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9022651" w14:textId="77777777" w:rsidR="007A133F" w:rsidRPr="007A133F" w:rsidRDefault="007A133F" w:rsidP="00C543A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A133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    DIP. ISMAEL PÉREZ PAVÍA.</w:t>
            </w:r>
          </w:p>
        </w:tc>
        <w:tc>
          <w:tcPr>
            <w:tcW w:w="4254" w:type="dxa"/>
          </w:tcPr>
          <w:p w14:paraId="1284D10A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C54176C" w14:textId="45152C72" w:rsid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856D9B8" w14:textId="16EB4C8D" w:rsid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BE4757E" w14:textId="77777777" w:rsidR="007A133F" w:rsidRPr="007A133F" w:rsidRDefault="007A133F" w:rsidP="00C543A2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11332D9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892738B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A133F">
              <w:rPr>
                <w:rFonts w:ascii="Century Gothic" w:hAnsi="Century Gothic"/>
                <w:b/>
                <w:bCs/>
                <w:sz w:val="24"/>
                <w:szCs w:val="24"/>
              </w:rPr>
              <w:t>DIP. YESENIA GUADALUPE REYES CALZADÍAS</w:t>
            </w:r>
          </w:p>
          <w:p w14:paraId="156764A1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A8C32C1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F83EDC8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345D90F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9A5189F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DAE757D" w14:textId="2C524D19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8DDFB34" w14:textId="77777777" w:rsidR="007A133F" w:rsidRPr="007A133F" w:rsidRDefault="007A133F" w:rsidP="00C543A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696DFEE8" w14:textId="6C647C1D" w:rsidR="003C6072" w:rsidRPr="007A133F" w:rsidRDefault="007A133F" w:rsidP="008B043D">
      <w:pPr>
        <w:spacing w:line="360" w:lineRule="auto"/>
        <w:ind w:firstLine="708"/>
        <w:rPr>
          <w:rFonts w:ascii="Century Gothic" w:hAnsi="Century Gothic"/>
          <w:sz w:val="24"/>
          <w:szCs w:val="24"/>
        </w:rPr>
      </w:pPr>
      <w:r w:rsidRPr="007A133F">
        <w:rPr>
          <w:rFonts w:ascii="Century Gothic" w:hAnsi="Century Gothic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C884BD" wp14:editId="68A95256">
                <wp:simplePos x="0" y="0"/>
                <wp:positionH relativeFrom="margin">
                  <wp:posOffset>274212</wp:posOffset>
                </wp:positionH>
                <wp:positionV relativeFrom="paragraph">
                  <wp:posOffset>216152</wp:posOffset>
                </wp:positionV>
                <wp:extent cx="5492750" cy="534837"/>
                <wp:effectExtent l="0" t="0" r="12700" b="1778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534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5FB94" w14:textId="0495CD78" w:rsidR="007A133F" w:rsidRPr="007A133F" w:rsidRDefault="007A133F" w:rsidP="007A133F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  <w:r w:rsidRPr="00627C92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 xml:space="preserve">ESTA HOJA DE FIRMAS PERTENECE: </w:t>
                            </w:r>
                            <w:r w:rsidRPr="007A133F">
                              <w:rPr>
                                <w:rStyle w:val="bumpedfont15"/>
                                <w:rFonts w:ascii="Century Gothic" w:hAnsi="Century Gothic" w:cs="Calibri"/>
                                <w:color w:val="000000"/>
                                <w:sz w:val="18"/>
                                <w:szCs w:val="18"/>
                              </w:rPr>
                              <w:t>Iniciativa con Carácter de Decreto a fin de reformar el artículo 211 del Código Penal del Estado de Chihuahua, para establecer una conducta equiparable al delito de abuso de confianza</w:t>
                            </w:r>
                          </w:p>
                          <w:p w14:paraId="5C81157C" w14:textId="77777777" w:rsidR="007A133F" w:rsidRPr="007A133F" w:rsidRDefault="007A133F" w:rsidP="007A133F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F222324" w14:textId="77777777" w:rsidR="007A133F" w:rsidRPr="00910E49" w:rsidRDefault="007A133F" w:rsidP="007A133F">
                            <w:pPr>
                              <w:spacing w:line="360" w:lineRule="auto"/>
                              <w:ind w:right="4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eastAsia="es-MX"/>
                              </w:rPr>
                            </w:pPr>
                            <w:r w:rsidRPr="00910E49">
                              <w:rPr>
                                <w:rFonts w:ascii="Arial" w:hAnsi="Arial" w:cs="Arial"/>
                                <w:sz w:val="12"/>
                                <w:szCs w:val="12"/>
                                <w:lang w:eastAsia="es-MX"/>
                              </w:rPr>
                              <w:t xml:space="preserve"> </w:t>
                            </w:r>
                          </w:p>
                          <w:p w14:paraId="3BAB07E7" w14:textId="77777777" w:rsidR="007A133F" w:rsidRPr="00AD4233" w:rsidRDefault="007A133F" w:rsidP="007A133F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B5AEB02" w14:textId="77777777" w:rsidR="007A133F" w:rsidRPr="00AD4233" w:rsidRDefault="007A133F" w:rsidP="007A133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84BD" id="_x0000_s1027" type="#_x0000_t202" style="position:absolute;left:0;text-align:left;margin-left:21.6pt;margin-top:17pt;width:432.5pt;height:42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">
                <v:textbox>
                  <w:txbxContent>
                    <w:p w14:paraId="2CB5FB94" w14:textId="0495CD78" w:rsidR="007A133F" w:rsidRPr="007A133F" w:rsidRDefault="007A133F" w:rsidP="007A133F">
                      <w:pPr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  <w:r w:rsidRPr="00627C92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 xml:space="preserve">ESTA HOJA DE FIRMAS PERTENECE: </w:t>
                      </w:r>
                      <w:r w:rsidRPr="007A133F">
                        <w:rPr>
                          <w:rStyle w:val="bumpedfont15"/>
                          <w:rFonts w:ascii="Century Gothic" w:hAnsi="Century Gothic" w:cs="Calibri"/>
                          <w:color w:val="000000"/>
                          <w:sz w:val="18"/>
                          <w:szCs w:val="18"/>
                        </w:rPr>
                        <w:t>Iniciativa con Carácter de Decreto a fin de reformar el artículo 211 del Código Penal del Estado de Chihuahua, para establecer una conducta equiparable al delito de abuso de confianza</w:t>
                      </w:r>
                    </w:p>
                    <w:p w14:paraId="5C81157C" w14:textId="77777777" w:rsidR="007A133F" w:rsidRPr="007A133F" w:rsidRDefault="007A133F" w:rsidP="007A133F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F222324" w14:textId="77777777" w:rsidR="007A133F" w:rsidRPr="00910E49" w:rsidRDefault="007A133F" w:rsidP="007A133F">
                      <w:pPr>
                        <w:spacing w:line="360" w:lineRule="auto"/>
                        <w:ind w:right="4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eastAsia="es-MX"/>
                        </w:rPr>
                      </w:pPr>
                      <w:r w:rsidRPr="00910E49">
                        <w:rPr>
                          <w:rFonts w:ascii="Arial" w:hAnsi="Arial" w:cs="Arial"/>
                          <w:sz w:val="12"/>
                          <w:szCs w:val="12"/>
                          <w:lang w:eastAsia="es-MX"/>
                        </w:rPr>
                        <w:t xml:space="preserve"> </w:t>
                      </w:r>
                    </w:p>
                    <w:p w14:paraId="3BAB07E7" w14:textId="77777777" w:rsidR="007A133F" w:rsidRPr="00AD4233" w:rsidRDefault="007A133F" w:rsidP="007A133F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B5AEB02" w14:textId="77777777" w:rsidR="007A133F" w:rsidRPr="00AD4233" w:rsidRDefault="007A133F" w:rsidP="007A133F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CA55EE" w14:textId="77777777" w:rsidR="0039153F" w:rsidRPr="007A133F" w:rsidRDefault="0039153F" w:rsidP="008B043D">
      <w:pPr>
        <w:spacing w:line="360" w:lineRule="auto"/>
        <w:ind w:firstLine="708"/>
        <w:rPr>
          <w:rFonts w:ascii="Century Gothic" w:hAnsi="Century Gothic"/>
          <w:sz w:val="24"/>
          <w:szCs w:val="24"/>
        </w:rPr>
      </w:pPr>
    </w:p>
    <w:p w14:paraId="21DC92B9" w14:textId="25F57AA8" w:rsidR="007A133F" w:rsidRPr="007A133F" w:rsidRDefault="007A133F" w:rsidP="00F2454A">
      <w:pPr>
        <w:spacing w:line="360" w:lineRule="auto"/>
        <w:ind w:firstLine="708"/>
        <w:jc w:val="center"/>
        <w:rPr>
          <w:rFonts w:ascii="Century Gothic" w:hAnsi="Century Gothic"/>
          <w:sz w:val="24"/>
          <w:szCs w:val="24"/>
        </w:rPr>
      </w:pPr>
    </w:p>
    <w:p w14:paraId="556F4264" w14:textId="77777777" w:rsidR="007A133F" w:rsidRPr="007A133F" w:rsidRDefault="007A133F" w:rsidP="00F2454A">
      <w:pPr>
        <w:spacing w:line="360" w:lineRule="auto"/>
        <w:ind w:firstLine="708"/>
        <w:jc w:val="center"/>
        <w:rPr>
          <w:rFonts w:ascii="Century Gothic" w:hAnsi="Century Gothic"/>
          <w:sz w:val="24"/>
          <w:szCs w:val="24"/>
        </w:rPr>
      </w:pPr>
    </w:p>
    <w:sectPr w:rsidR="007A133F" w:rsidRPr="007A133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032D" w14:textId="77777777" w:rsidR="00083A24" w:rsidRDefault="00083A24" w:rsidP="007A133F">
      <w:r>
        <w:separator/>
      </w:r>
    </w:p>
  </w:endnote>
  <w:endnote w:type="continuationSeparator" w:id="0">
    <w:p w14:paraId="1436C6AF" w14:textId="77777777" w:rsidR="00083A24" w:rsidRDefault="00083A24" w:rsidP="007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4EE5" w14:textId="77777777" w:rsidR="00083A24" w:rsidRDefault="00083A24" w:rsidP="007A133F">
      <w:r>
        <w:separator/>
      </w:r>
    </w:p>
  </w:footnote>
  <w:footnote w:type="continuationSeparator" w:id="0">
    <w:p w14:paraId="0F874A3F" w14:textId="77777777" w:rsidR="00083A24" w:rsidRDefault="00083A24" w:rsidP="007A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6D5B" w14:textId="481B15B1" w:rsidR="007A133F" w:rsidRDefault="007A133F">
    <w:pPr>
      <w:pStyle w:val="Encabezado"/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51ECDF0" wp14:editId="64E22A68">
          <wp:simplePos x="0" y="0"/>
          <wp:positionH relativeFrom="column">
            <wp:posOffset>-1042035</wp:posOffset>
          </wp:positionH>
          <wp:positionV relativeFrom="paragraph">
            <wp:posOffset>-640080</wp:posOffset>
          </wp:positionV>
          <wp:extent cx="7772400" cy="10439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43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514D0" w14:textId="77777777" w:rsidR="007A133F" w:rsidRDefault="007A133F">
    <w:pPr>
      <w:pStyle w:val="Encabezado"/>
      <w:rPr>
        <w:noProof/>
        <w:lang w:val="es-ES"/>
      </w:rPr>
    </w:pPr>
  </w:p>
  <w:p w14:paraId="51ADBCFC" w14:textId="77777777" w:rsidR="007A133F" w:rsidRDefault="007A133F">
    <w:pPr>
      <w:pStyle w:val="Encabezado"/>
      <w:rPr>
        <w:noProof/>
        <w:lang w:val="es-ES"/>
      </w:rPr>
    </w:pPr>
  </w:p>
  <w:p w14:paraId="3AC23189" w14:textId="173785F7" w:rsidR="007A133F" w:rsidRDefault="007A133F">
    <w:pPr>
      <w:pStyle w:val="Encabezado"/>
      <w:rPr>
        <w:noProof/>
        <w:lang w:val="es-ES"/>
      </w:rPr>
    </w:pPr>
  </w:p>
  <w:p w14:paraId="7BDC967E" w14:textId="4BBA4B54" w:rsidR="007A133F" w:rsidRDefault="007A133F">
    <w:pPr>
      <w:pStyle w:val="Encabezado"/>
      <w:rPr>
        <w:noProof/>
        <w:lang w:val="es-ES"/>
      </w:rPr>
    </w:pPr>
  </w:p>
  <w:p w14:paraId="370E40B4" w14:textId="77777777" w:rsidR="007A133F" w:rsidRDefault="007A133F">
    <w:pPr>
      <w:pStyle w:val="Encabezado"/>
      <w:rPr>
        <w:noProof/>
        <w:lang w:val="es-ES"/>
      </w:rPr>
    </w:pPr>
  </w:p>
  <w:p w14:paraId="62272667" w14:textId="77777777" w:rsidR="007A133F" w:rsidRDefault="007A133F">
    <w:pPr>
      <w:pStyle w:val="Encabezado"/>
      <w:rPr>
        <w:noProof/>
        <w:lang w:val="es-ES"/>
      </w:rPr>
    </w:pPr>
  </w:p>
  <w:p w14:paraId="7E5932F5" w14:textId="77777777" w:rsidR="007A133F" w:rsidRDefault="007A133F">
    <w:pPr>
      <w:pStyle w:val="Encabezado"/>
      <w:rPr>
        <w:noProof/>
        <w:lang w:val="es-ES"/>
      </w:rPr>
    </w:pPr>
  </w:p>
  <w:p w14:paraId="37CDB0C2" w14:textId="77777777" w:rsidR="007A133F" w:rsidRDefault="007A133F">
    <w:pPr>
      <w:pStyle w:val="Encabezado"/>
      <w:rPr>
        <w:noProof/>
        <w:lang w:val="es-ES"/>
      </w:rPr>
    </w:pPr>
  </w:p>
  <w:p w14:paraId="2EFE7343" w14:textId="77777777" w:rsidR="007A133F" w:rsidRDefault="007A133F">
    <w:pPr>
      <w:pStyle w:val="Encabezado"/>
      <w:rPr>
        <w:noProof/>
        <w:lang w:val="es-ES"/>
      </w:rPr>
    </w:pPr>
  </w:p>
  <w:p w14:paraId="630356E0" w14:textId="77777777" w:rsidR="007A133F" w:rsidRDefault="007A133F">
    <w:pPr>
      <w:pStyle w:val="Encabezado"/>
      <w:rPr>
        <w:noProof/>
        <w:lang w:val="es-ES"/>
      </w:rPr>
    </w:pPr>
  </w:p>
  <w:p w14:paraId="41E0A334" w14:textId="5BF3CF0F" w:rsidR="007A133F" w:rsidRDefault="007A13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969"/>
    <w:multiLevelType w:val="hybridMultilevel"/>
    <w:tmpl w:val="9F9242E2"/>
    <w:lvl w:ilvl="0" w:tplc="FFFFFFFF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80" w:hanging="360"/>
      </w:pPr>
    </w:lvl>
    <w:lvl w:ilvl="2" w:tplc="080A001B" w:tentative="1">
      <w:start w:val="1"/>
      <w:numFmt w:val="lowerRoman"/>
      <w:lvlText w:val="%3."/>
      <w:lvlJc w:val="right"/>
      <w:pPr>
        <w:ind w:left="2400" w:hanging="180"/>
      </w:pPr>
    </w:lvl>
    <w:lvl w:ilvl="3" w:tplc="080A000F" w:tentative="1">
      <w:start w:val="1"/>
      <w:numFmt w:val="decimal"/>
      <w:lvlText w:val="%4."/>
      <w:lvlJc w:val="left"/>
      <w:pPr>
        <w:ind w:left="3120" w:hanging="360"/>
      </w:pPr>
    </w:lvl>
    <w:lvl w:ilvl="4" w:tplc="080A0019" w:tentative="1">
      <w:start w:val="1"/>
      <w:numFmt w:val="lowerLetter"/>
      <w:lvlText w:val="%5."/>
      <w:lvlJc w:val="left"/>
      <w:pPr>
        <w:ind w:left="3840" w:hanging="360"/>
      </w:pPr>
    </w:lvl>
    <w:lvl w:ilvl="5" w:tplc="080A001B" w:tentative="1">
      <w:start w:val="1"/>
      <w:numFmt w:val="lowerRoman"/>
      <w:lvlText w:val="%6."/>
      <w:lvlJc w:val="right"/>
      <w:pPr>
        <w:ind w:left="4560" w:hanging="180"/>
      </w:pPr>
    </w:lvl>
    <w:lvl w:ilvl="6" w:tplc="080A000F" w:tentative="1">
      <w:start w:val="1"/>
      <w:numFmt w:val="decimal"/>
      <w:lvlText w:val="%7."/>
      <w:lvlJc w:val="left"/>
      <w:pPr>
        <w:ind w:left="5280" w:hanging="360"/>
      </w:pPr>
    </w:lvl>
    <w:lvl w:ilvl="7" w:tplc="080A0019" w:tentative="1">
      <w:start w:val="1"/>
      <w:numFmt w:val="lowerLetter"/>
      <w:lvlText w:val="%8."/>
      <w:lvlJc w:val="left"/>
      <w:pPr>
        <w:ind w:left="6000" w:hanging="360"/>
      </w:pPr>
    </w:lvl>
    <w:lvl w:ilvl="8" w:tplc="08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1AE7F37"/>
    <w:multiLevelType w:val="hybridMultilevel"/>
    <w:tmpl w:val="7C2060AA"/>
    <w:lvl w:ilvl="0" w:tplc="F322146C">
      <w:start w:val="1"/>
      <w:numFmt w:val="upperRoman"/>
      <w:lvlText w:val="%1."/>
      <w:lvlJc w:val="left"/>
      <w:pPr>
        <w:ind w:left="1854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7241F42"/>
    <w:multiLevelType w:val="multilevel"/>
    <w:tmpl w:val="C936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957E3"/>
    <w:multiLevelType w:val="hybridMultilevel"/>
    <w:tmpl w:val="4F0A9C4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D7C6E"/>
    <w:multiLevelType w:val="hybridMultilevel"/>
    <w:tmpl w:val="2F9828BC"/>
    <w:lvl w:ilvl="0" w:tplc="0100AF68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52CDF"/>
    <w:multiLevelType w:val="hybridMultilevel"/>
    <w:tmpl w:val="941A5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FD"/>
    <w:rsid w:val="0000774A"/>
    <w:rsid w:val="00083A24"/>
    <w:rsid w:val="000F1002"/>
    <w:rsid w:val="00111D9C"/>
    <w:rsid w:val="00113B06"/>
    <w:rsid w:val="0011736F"/>
    <w:rsid w:val="00123A60"/>
    <w:rsid w:val="0013053C"/>
    <w:rsid w:val="00150AC1"/>
    <w:rsid w:val="00155EA6"/>
    <w:rsid w:val="001600B3"/>
    <w:rsid w:val="001658B4"/>
    <w:rsid w:val="00167B73"/>
    <w:rsid w:val="00175780"/>
    <w:rsid w:val="0018064F"/>
    <w:rsid w:val="001A1598"/>
    <w:rsid w:val="001C63E0"/>
    <w:rsid w:val="001E38C1"/>
    <w:rsid w:val="002201A5"/>
    <w:rsid w:val="00236F9C"/>
    <w:rsid w:val="0024452E"/>
    <w:rsid w:val="002A4323"/>
    <w:rsid w:val="002E7512"/>
    <w:rsid w:val="00313C6B"/>
    <w:rsid w:val="003160E8"/>
    <w:rsid w:val="00332384"/>
    <w:rsid w:val="00335220"/>
    <w:rsid w:val="0037325A"/>
    <w:rsid w:val="0039153F"/>
    <w:rsid w:val="00393310"/>
    <w:rsid w:val="00393D87"/>
    <w:rsid w:val="00397351"/>
    <w:rsid w:val="003C6072"/>
    <w:rsid w:val="003F332E"/>
    <w:rsid w:val="00443A4E"/>
    <w:rsid w:val="00473164"/>
    <w:rsid w:val="00486B9A"/>
    <w:rsid w:val="004A02DD"/>
    <w:rsid w:val="004A2C22"/>
    <w:rsid w:val="004C5EAE"/>
    <w:rsid w:val="00505FA5"/>
    <w:rsid w:val="0053362B"/>
    <w:rsid w:val="00533F5F"/>
    <w:rsid w:val="00535D12"/>
    <w:rsid w:val="005537F5"/>
    <w:rsid w:val="005759D5"/>
    <w:rsid w:val="00583FD0"/>
    <w:rsid w:val="005878E3"/>
    <w:rsid w:val="00591189"/>
    <w:rsid w:val="005E5F0C"/>
    <w:rsid w:val="006313AF"/>
    <w:rsid w:val="00652F68"/>
    <w:rsid w:val="00671276"/>
    <w:rsid w:val="00671E95"/>
    <w:rsid w:val="006846BA"/>
    <w:rsid w:val="00690A79"/>
    <w:rsid w:val="00694061"/>
    <w:rsid w:val="00695523"/>
    <w:rsid w:val="006A375B"/>
    <w:rsid w:val="006D140A"/>
    <w:rsid w:val="006E6547"/>
    <w:rsid w:val="00715646"/>
    <w:rsid w:val="00743404"/>
    <w:rsid w:val="007A133F"/>
    <w:rsid w:val="007B298A"/>
    <w:rsid w:val="007D3776"/>
    <w:rsid w:val="007D66A6"/>
    <w:rsid w:val="008228A6"/>
    <w:rsid w:val="00830CE7"/>
    <w:rsid w:val="0086165F"/>
    <w:rsid w:val="00894009"/>
    <w:rsid w:val="008A7EFB"/>
    <w:rsid w:val="008B043D"/>
    <w:rsid w:val="008B2495"/>
    <w:rsid w:val="008E54D2"/>
    <w:rsid w:val="008F033B"/>
    <w:rsid w:val="008F3066"/>
    <w:rsid w:val="0094074F"/>
    <w:rsid w:val="00953B4D"/>
    <w:rsid w:val="0095512F"/>
    <w:rsid w:val="0096077E"/>
    <w:rsid w:val="009645CE"/>
    <w:rsid w:val="00965A09"/>
    <w:rsid w:val="0097429A"/>
    <w:rsid w:val="009935FE"/>
    <w:rsid w:val="00996D20"/>
    <w:rsid w:val="00997F31"/>
    <w:rsid w:val="009C20DA"/>
    <w:rsid w:val="009D0659"/>
    <w:rsid w:val="009D0CB4"/>
    <w:rsid w:val="009F4247"/>
    <w:rsid w:val="00A07B28"/>
    <w:rsid w:val="00A1350D"/>
    <w:rsid w:val="00A237C8"/>
    <w:rsid w:val="00A46CB2"/>
    <w:rsid w:val="00A53814"/>
    <w:rsid w:val="00A623B7"/>
    <w:rsid w:val="00AB272B"/>
    <w:rsid w:val="00AB7E75"/>
    <w:rsid w:val="00AC31A7"/>
    <w:rsid w:val="00AF0D8F"/>
    <w:rsid w:val="00AF16D4"/>
    <w:rsid w:val="00AF2F8D"/>
    <w:rsid w:val="00AF5950"/>
    <w:rsid w:val="00B14B26"/>
    <w:rsid w:val="00B30B21"/>
    <w:rsid w:val="00B5457A"/>
    <w:rsid w:val="00B90DB3"/>
    <w:rsid w:val="00BA4236"/>
    <w:rsid w:val="00BD4464"/>
    <w:rsid w:val="00BD785B"/>
    <w:rsid w:val="00BE3F65"/>
    <w:rsid w:val="00BF203C"/>
    <w:rsid w:val="00C247F1"/>
    <w:rsid w:val="00C25458"/>
    <w:rsid w:val="00C466C2"/>
    <w:rsid w:val="00C50AFD"/>
    <w:rsid w:val="00C865BF"/>
    <w:rsid w:val="00C87BCF"/>
    <w:rsid w:val="00C9363F"/>
    <w:rsid w:val="00CB0D40"/>
    <w:rsid w:val="00CB5607"/>
    <w:rsid w:val="00CB579B"/>
    <w:rsid w:val="00CD1206"/>
    <w:rsid w:val="00CD4C7B"/>
    <w:rsid w:val="00D00331"/>
    <w:rsid w:val="00D154AC"/>
    <w:rsid w:val="00D20B5E"/>
    <w:rsid w:val="00D366D8"/>
    <w:rsid w:val="00D40621"/>
    <w:rsid w:val="00D54346"/>
    <w:rsid w:val="00D6734F"/>
    <w:rsid w:val="00D747EA"/>
    <w:rsid w:val="00DC4F17"/>
    <w:rsid w:val="00DF4934"/>
    <w:rsid w:val="00E22D4A"/>
    <w:rsid w:val="00E512E6"/>
    <w:rsid w:val="00E64FE0"/>
    <w:rsid w:val="00E70704"/>
    <w:rsid w:val="00E7648E"/>
    <w:rsid w:val="00E76657"/>
    <w:rsid w:val="00E81B55"/>
    <w:rsid w:val="00EE46B8"/>
    <w:rsid w:val="00EE6698"/>
    <w:rsid w:val="00EF23D8"/>
    <w:rsid w:val="00EF3FE2"/>
    <w:rsid w:val="00EF7789"/>
    <w:rsid w:val="00F2454A"/>
    <w:rsid w:val="00F441EE"/>
    <w:rsid w:val="00F50786"/>
    <w:rsid w:val="00F5200B"/>
    <w:rsid w:val="00F70E22"/>
    <w:rsid w:val="00F77146"/>
    <w:rsid w:val="00F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7DC6"/>
  <w15:chartTrackingRefBased/>
  <w15:docId w15:val="{6652E985-7A7D-4F12-BCF0-44ACF849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1E38C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E38C1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AFD"/>
    <w:pPr>
      <w:ind w:left="708"/>
    </w:pPr>
  </w:style>
  <w:style w:type="table" w:styleId="Tablaconcuadrcula">
    <w:name w:val="Table Grid"/>
    <w:basedOn w:val="Tablanormal"/>
    <w:uiPriority w:val="39"/>
    <w:rsid w:val="0024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E38C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E38C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relative">
    <w:name w:val="relative"/>
    <w:basedOn w:val="Fuentedeprrafopredeter"/>
    <w:rsid w:val="001E38C1"/>
  </w:style>
  <w:style w:type="character" w:customStyle="1" w:styleId="ms-1">
    <w:name w:val="ms-1"/>
    <w:basedOn w:val="Fuentedeprrafopredeter"/>
    <w:rsid w:val="001E38C1"/>
  </w:style>
  <w:style w:type="character" w:customStyle="1" w:styleId="max-w-full">
    <w:name w:val="max-w-full"/>
    <w:basedOn w:val="Fuentedeprrafopredeter"/>
    <w:rsid w:val="001E38C1"/>
  </w:style>
  <w:style w:type="character" w:customStyle="1" w:styleId="-me-1">
    <w:name w:val="-me-1"/>
    <w:basedOn w:val="Fuentedeprrafopredeter"/>
    <w:rsid w:val="001E38C1"/>
  </w:style>
  <w:style w:type="paragraph" w:styleId="NormalWeb">
    <w:name w:val="Normal (Web)"/>
    <w:basedOn w:val="Normal"/>
    <w:uiPriority w:val="99"/>
    <w:semiHidden/>
    <w:unhideWhenUsed/>
    <w:rsid w:val="00C865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35D12"/>
    <w:rPr>
      <w:b/>
      <w:bCs/>
    </w:rPr>
  </w:style>
  <w:style w:type="paragraph" w:customStyle="1" w:styleId="s4">
    <w:name w:val="s4"/>
    <w:basedOn w:val="Normal"/>
    <w:rsid w:val="00F520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eastAsia="es-MX"/>
    </w:rPr>
  </w:style>
  <w:style w:type="character" w:customStyle="1" w:styleId="bumpedfont15">
    <w:name w:val="bumpedfont15"/>
    <w:basedOn w:val="Fuentedeprrafopredeter"/>
    <w:rsid w:val="00F5200B"/>
  </w:style>
  <w:style w:type="paragraph" w:customStyle="1" w:styleId="s5">
    <w:name w:val="s5"/>
    <w:basedOn w:val="Normal"/>
    <w:rsid w:val="00F520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eastAsia="es-MX"/>
    </w:rPr>
  </w:style>
  <w:style w:type="paragraph" w:customStyle="1" w:styleId="s6">
    <w:name w:val="s6"/>
    <w:basedOn w:val="Normal"/>
    <w:rsid w:val="00F520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eastAsia="es-MX"/>
    </w:rPr>
  </w:style>
  <w:style w:type="paragraph" w:customStyle="1" w:styleId="s7">
    <w:name w:val="s7"/>
    <w:basedOn w:val="Normal"/>
    <w:rsid w:val="00F520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5200B"/>
  </w:style>
  <w:style w:type="paragraph" w:customStyle="1" w:styleId="s8">
    <w:name w:val="s8"/>
    <w:basedOn w:val="Normal"/>
    <w:rsid w:val="00F520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A13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33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13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33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8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1624</Words>
  <Characters>8938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Fernanda De la Fuente Aragón</dc:creator>
  <cp:keywords/>
  <dc:description/>
  <cp:lastModifiedBy>Andrea Daniela Flores Chacon</cp:lastModifiedBy>
  <cp:revision>2</cp:revision>
  <dcterms:created xsi:type="dcterms:W3CDTF">2025-05-21T20:01:00Z</dcterms:created>
  <dcterms:modified xsi:type="dcterms:W3CDTF">2025-05-21T20:01:00Z</dcterms:modified>
</cp:coreProperties>
</file>