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A5E" w14:textId="77777777" w:rsidR="001E42BE" w:rsidRPr="008F0FD6" w:rsidRDefault="001E42BE" w:rsidP="008F0FD6">
      <w:pPr>
        <w:spacing w:after="0"/>
        <w:jc w:val="both"/>
        <w:rPr>
          <w:rFonts w:ascii="Century Gothic" w:hAnsi="Century Gothic" w:cs="Arial"/>
          <w:sz w:val="28"/>
          <w:szCs w:val="28"/>
          <w:lang w:val="es-MX"/>
        </w:rPr>
      </w:pPr>
    </w:p>
    <w:p w14:paraId="7F89C0F1" w14:textId="77777777" w:rsidR="001E42BE" w:rsidRPr="008F0FD6" w:rsidRDefault="001E42BE" w:rsidP="008F0FD6">
      <w:pPr>
        <w:spacing w:after="0" w:line="240" w:lineRule="auto"/>
        <w:jc w:val="both"/>
        <w:rPr>
          <w:rFonts w:ascii="Century Gothic" w:hAnsi="Century Gothic" w:cs="Arial"/>
          <w:sz w:val="28"/>
          <w:szCs w:val="28"/>
          <w:lang w:val="es-MX"/>
        </w:rPr>
      </w:pPr>
    </w:p>
    <w:p w14:paraId="62BBD19D" w14:textId="77777777" w:rsidR="001E42BE" w:rsidRPr="008F0FD6" w:rsidRDefault="001E42BE" w:rsidP="008F0FD6">
      <w:pPr>
        <w:spacing w:after="0" w:line="240" w:lineRule="auto"/>
        <w:jc w:val="both"/>
        <w:rPr>
          <w:rFonts w:ascii="Century Gothic" w:hAnsi="Century Gothic" w:cs="Arial"/>
          <w:sz w:val="28"/>
          <w:szCs w:val="28"/>
          <w:lang w:val="es-MX"/>
        </w:rPr>
      </w:pPr>
    </w:p>
    <w:p w14:paraId="5A655BCF" w14:textId="77777777" w:rsidR="006C6B4D" w:rsidRPr="008F0FD6" w:rsidRDefault="006C6B4D" w:rsidP="008F0FD6">
      <w:pPr>
        <w:jc w:val="both"/>
        <w:rPr>
          <w:rFonts w:ascii="Century Gothic" w:hAnsi="Century Gothic"/>
          <w:b/>
          <w:sz w:val="28"/>
          <w:szCs w:val="28"/>
        </w:rPr>
      </w:pPr>
      <w:r w:rsidRPr="008F0FD6">
        <w:rPr>
          <w:rFonts w:ascii="Century Gothic" w:hAnsi="Century Gothic"/>
          <w:b/>
          <w:sz w:val="28"/>
          <w:szCs w:val="28"/>
        </w:rPr>
        <w:t xml:space="preserve">H. CONGRESO DEL ESTADO DE CHIHUAHUA </w:t>
      </w:r>
    </w:p>
    <w:p w14:paraId="7D8003FD" w14:textId="77777777" w:rsidR="006C6B4D" w:rsidRPr="008F0FD6" w:rsidRDefault="006C6B4D" w:rsidP="008F0FD6">
      <w:pPr>
        <w:jc w:val="both"/>
        <w:rPr>
          <w:rFonts w:ascii="Century Gothic" w:hAnsi="Century Gothic"/>
          <w:b/>
          <w:sz w:val="28"/>
          <w:szCs w:val="28"/>
        </w:rPr>
      </w:pPr>
      <w:proofErr w:type="gramStart"/>
      <w:r w:rsidRPr="008F0FD6">
        <w:rPr>
          <w:rFonts w:ascii="Century Gothic" w:hAnsi="Century Gothic"/>
          <w:b/>
          <w:sz w:val="28"/>
          <w:szCs w:val="28"/>
        </w:rPr>
        <w:t>PRESENTE.-</w:t>
      </w:r>
      <w:proofErr w:type="gramEnd"/>
    </w:p>
    <w:p w14:paraId="541106C4" w14:textId="1072DC79" w:rsidR="006C6B4D" w:rsidRPr="005562D4" w:rsidRDefault="006C6B4D" w:rsidP="008F0FD6">
      <w:pPr>
        <w:jc w:val="both"/>
        <w:rPr>
          <w:rFonts w:ascii="Century Gothic" w:hAnsi="Century Gothic"/>
          <w:sz w:val="28"/>
          <w:szCs w:val="28"/>
        </w:rPr>
      </w:pPr>
      <w:r w:rsidRPr="008F0FD6">
        <w:rPr>
          <w:rFonts w:ascii="Century Gothic" w:hAnsi="Century Gothic"/>
          <w:sz w:val="28"/>
          <w:szCs w:val="28"/>
        </w:rPr>
        <w:t xml:space="preserve">Los suscritos en nuestro carácter de diputadas y diputados de la </w:t>
      </w:r>
      <w:r w:rsidRPr="005562D4">
        <w:rPr>
          <w:rFonts w:ascii="Century Gothic" w:hAnsi="Century Gothic"/>
          <w:b/>
          <w:sz w:val="28"/>
          <w:szCs w:val="28"/>
        </w:rPr>
        <w:t>Sexagésima Octava Legislatura de H. Congreso del Estado de Chihuahua</w:t>
      </w:r>
      <w:r w:rsidRPr="008F0FD6">
        <w:rPr>
          <w:rFonts w:ascii="Century Gothic" w:hAnsi="Century Gothic"/>
          <w:sz w:val="28"/>
          <w:szCs w:val="28"/>
        </w:rPr>
        <w:t xml:space="preserve"> integrantes del Grupo Parlamentario de </w:t>
      </w:r>
      <w:r w:rsidRPr="005562D4">
        <w:rPr>
          <w:rFonts w:ascii="Century Gothic" w:hAnsi="Century Gothic"/>
          <w:b/>
          <w:sz w:val="28"/>
          <w:szCs w:val="28"/>
        </w:rPr>
        <w:t>MORENA</w:t>
      </w:r>
      <w:r w:rsidRPr="008F0FD6">
        <w:rPr>
          <w:rFonts w:ascii="Century Gothic" w:hAnsi="Century Gothic"/>
          <w:sz w:val="28"/>
          <w:szCs w:val="28"/>
        </w:rPr>
        <w:t xml:space="preserve"> con fundamento en </w:t>
      </w:r>
      <w:r w:rsidRPr="008F0FD6">
        <w:rPr>
          <w:rFonts w:ascii="Century Gothic" w:hAnsi="Century Gothic"/>
          <w:color w:val="000000"/>
          <w:sz w:val="28"/>
          <w:szCs w:val="28"/>
        </w:rPr>
        <w:t xml:space="preserve">lo dispuesto por los artículos 64 fracción III de la Constitución Política; 167 fracción I, 168 de la Ley Orgánica del Poder Legislativo; 75 y 77 del Reglamento Interior de Prácticas Parlamentarias del Poder Legislativo; todos ordenamientos del Estado de Chihuahua, comparecemos </w:t>
      </w:r>
      <w:r w:rsidRPr="008F0FD6">
        <w:rPr>
          <w:rFonts w:ascii="Century Gothic" w:hAnsi="Century Gothic"/>
          <w:sz w:val="28"/>
          <w:szCs w:val="28"/>
        </w:rPr>
        <w:t xml:space="preserve">ante esta Soberanía, a fin de someter a consideración del Pleno el siguiente proyecto con carácter de </w:t>
      </w:r>
      <w:r w:rsidRPr="005562D4">
        <w:rPr>
          <w:rFonts w:ascii="Century Gothic" w:hAnsi="Century Gothic"/>
          <w:b/>
          <w:sz w:val="28"/>
          <w:szCs w:val="28"/>
        </w:rPr>
        <w:t>DECRETO ante el H. Congreso de la Unión</w:t>
      </w:r>
      <w:r w:rsidRPr="008F0FD6">
        <w:rPr>
          <w:rFonts w:ascii="Century Gothic" w:hAnsi="Century Gothic"/>
          <w:sz w:val="28"/>
          <w:szCs w:val="28"/>
        </w:rPr>
        <w:t xml:space="preserve">, </w:t>
      </w:r>
      <w:r w:rsidR="00427610">
        <w:rPr>
          <w:rFonts w:ascii="Century Gothic" w:hAnsi="Century Gothic"/>
          <w:sz w:val="28"/>
          <w:szCs w:val="28"/>
        </w:rPr>
        <w:t xml:space="preserve">a fin de </w:t>
      </w:r>
      <w:r w:rsidR="00CD6564">
        <w:rPr>
          <w:rFonts w:ascii="Century Gothic" w:hAnsi="Century Gothic"/>
          <w:sz w:val="28"/>
          <w:szCs w:val="28"/>
        </w:rPr>
        <w:t>reformar los artículos</w:t>
      </w:r>
      <w:r w:rsidR="00EF1875">
        <w:rPr>
          <w:rFonts w:ascii="Century Gothic" w:hAnsi="Century Gothic"/>
          <w:sz w:val="28"/>
          <w:szCs w:val="28"/>
        </w:rPr>
        <w:t xml:space="preserve"> </w:t>
      </w:r>
      <w:r w:rsidR="00EF1875" w:rsidRPr="00B81107">
        <w:rPr>
          <w:rFonts w:ascii="Century Gothic" w:hAnsi="Century Gothic"/>
          <w:b/>
          <w:sz w:val="28"/>
          <w:szCs w:val="28"/>
        </w:rPr>
        <w:t>134 y 138 de la Ley del Seguro Social</w:t>
      </w:r>
      <w:r w:rsidR="00EF1875">
        <w:rPr>
          <w:rFonts w:ascii="Century Gothic" w:hAnsi="Century Gothic"/>
          <w:sz w:val="28"/>
          <w:szCs w:val="28"/>
        </w:rPr>
        <w:t xml:space="preserve"> </w:t>
      </w:r>
      <w:r w:rsidR="00B81107" w:rsidRPr="00B81107">
        <w:rPr>
          <w:rFonts w:ascii="Century Gothic" w:hAnsi="Century Gothic"/>
          <w:sz w:val="28"/>
          <w:szCs w:val="28"/>
        </w:rPr>
        <w:t xml:space="preserve">en materia de </w:t>
      </w:r>
      <w:r w:rsidR="00B81107" w:rsidRPr="00B81107">
        <w:rPr>
          <w:rFonts w:ascii="Century Gothic" w:hAnsi="Century Gothic"/>
          <w:b/>
          <w:sz w:val="28"/>
          <w:szCs w:val="28"/>
        </w:rPr>
        <w:t>lenguaje incluyente,  seguridad social y derechos laborales</w:t>
      </w:r>
      <w:r w:rsidR="00B81107" w:rsidRPr="00B81107">
        <w:rPr>
          <w:rFonts w:ascii="Century Gothic" w:hAnsi="Century Gothic"/>
          <w:sz w:val="28"/>
          <w:szCs w:val="28"/>
        </w:rPr>
        <w:t xml:space="preserve"> de las personas con discapacidad y neurodivergencia</w:t>
      </w:r>
      <w:r w:rsidR="00B81107">
        <w:rPr>
          <w:rFonts w:ascii="Century Gothic" w:hAnsi="Century Gothic"/>
          <w:sz w:val="28"/>
          <w:szCs w:val="28"/>
        </w:rPr>
        <w:t>,</w:t>
      </w:r>
      <w:r w:rsidR="00B81107" w:rsidRPr="00B81107">
        <w:rPr>
          <w:rFonts w:ascii="Century Gothic" w:hAnsi="Century Gothic"/>
          <w:sz w:val="28"/>
          <w:szCs w:val="28"/>
        </w:rPr>
        <w:t xml:space="preserve"> </w:t>
      </w:r>
      <w:r w:rsidRPr="008F0FD6">
        <w:rPr>
          <w:rFonts w:ascii="Century Gothic" w:hAnsi="Century Gothic"/>
          <w:sz w:val="28"/>
          <w:szCs w:val="28"/>
        </w:rPr>
        <w:t>con sustento en la siguiente:</w:t>
      </w:r>
      <w:r w:rsidR="00260021">
        <w:rPr>
          <w:rFonts w:ascii="Century Gothic" w:hAnsi="Century Gothic"/>
          <w:sz w:val="28"/>
          <w:szCs w:val="28"/>
        </w:rPr>
        <w:t xml:space="preserve"> </w:t>
      </w:r>
    </w:p>
    <w:p w14:paraId="2C3D5D14" w14:textId="77777777" w:rsidR="006C6B4D" w:rsidRPr="005562D4" w:rsidRDefault="006C6B4D" w:rsidP="005562D4">
      <w:pPr>
        <w:jc w:val="center"/>
        <w:rPr>
          <w:rFonts w:ascii="Century Gothic" w:hAnsi="Century Gothic" w:cs="Arial"/>
          <w:b/>
          <w:sz w:val="28"/>
          <w:szCs w:val="28"/>
        </w:rPr>
      </w:pPr>
      <w:r w:rsidRPr="005562D4">
        <w:rPr>
          <w:rFonts w:ascii="Century Gothic" w:hAnsi="Century Gothic" w:cs="Arial"/>
          <w:b/>
          <w:sz w:val="28"/>
          <w:szCs w:val="28"/>
        </w:rPr>
        <w:t>EXPOSICIÓN DE MOTIVOS</w:t>
      </w:r>
    </w:p>
    <w:p w14:paraId="377A35DD" w14:textId="77777777" w:rsidR="00ED1DCF" w:rsidRPr="00ED1DCF" w:rsidRDefault="00ED1DCF" w:rsidP="00ED1DCF">
      <w:pPr>
        <w:jc w:val="both"/>
        <w:rPr>
          <w:rFonts w:ascii="Century Gothic" w:hAnsi="Century Gothic" w:cs="Arial"/>
          <w:sz w:val="28"/>
          <w:szCs w:val="28"/>
        </w:rPr>
      </w:pPr>
      <w:r w:rsidRPr="00ED1DCF">
        <w:rPr>
          <w:rFonts w:ascii="Century Gothic" w:hAnsi="Century Gothic" w:cs="Arial"/>
          <w:sz w:val="28"/>
          <w:szCs w:val="28"/>
        </w:rPr>
        <w:t>El enfoque médico de la discapacidad es una visión arcaica, donde por mucho tiempo se tuvo la idea que las personas con discapacidad tenían un problema que debía ser corregido. Pero hoy sabemos que la discapacidad no radica en la persona, sino en las barreras que imponemos como sociedad y que les impiden acceder a las mismas oportunidades en igualdad de circunstancias.</w:t>
      </w:r>
    </w:p>
    <w:p w14:paraId="32C478FA" w14:textId="77777777" w:rsidR="00ED1DCF" w:rsidRDefault="00ED1DCF" w:rsidP="00ED1DCF">
      <w:pPr>
        <w:jc w:val="both"/>
        <w:rPr>
          <w:rFonts w:ascii="Century Gothic" w:hAnsi="Century Gothic" w:cs="Arial"/>
          <w:sz w:val="28"/>
          <w:szCs w:val="28"/>
        </w:rPr>
      </w:pPr>
      <w:r w:rsidRPr="00ED1DCF">
        <w:rPr>
          <w:rFonts w:ascii="Century Gothic" w:hAnsi="Century Gothic" w:cs="Arial"/>
          <w:sz w:val="28"/>
          <w:szCs w:val="28"/>
        </w:rPr>
        <w:t xml:space="preserve">De acuerdo con la Convención de los Derechos de las personas con discapacidad, el Estado tiene la responsabilidad de garantizar el pleno respeto de la dignidad y la igualdad de derechos de todas las </w:t>
      </w:r>
    </w:p>
    <w:p w14:paraId="618F9673" w14:textId="77777777" w:rsidR="00ED1DCF" w:rsidRDefault="00ED1DCF" w:rsidP="00ED1DCF">
      <w:pPr>
        <w:jc w:val="both"/>
        <w:rPr>
          <w:rFonts w:ascii="Century Gothic" w:hAnsi="Century Gothic" w:cs="Arial"/>
          <w:sz w:val="28"/>
          <w:szCs w:val="28"/>
        </w:rPr>
      </w:pPr>
    </w:p>
    <w:p w14:paraId="6671438A" w14:textId="3661D0AF" w:rsidR="00ED1DCF" w:rsidRPr="00ED1DCF" w:rsidRDefault="00ED1DCF" w:rsidP="00ED1DCF">
      <w:pPr>
        <w:jc w:val="both"/>
        <w:rPr>
          <w:rFonts w:ascii="Century Gothic" w:hAnsi="Century Gothic" w:cs="Arial"/>
          <w:sz w:val="28"/>
          <w:szCs w:val="28"/>
        </w:rPr>
      </w:pPr>
      <w:r w:rsidRPr="00ED1DCF">
        <w:rPr>
          <w:rFonts w:ascii="Century Gothic" w:hAnsi="Century Gothic" w:cs="Arial"/>
          <w:sz w:val="28"/>
          <w:szCs w:val="28"/>
        </w:rPr>
        <w:t>personas, realizando los ajustes razonables para asegurar a las personas con discapacidad el goce o ejercicio de sus derechos en igualdad de condiciones con las demás, no se busca dar ventaja, sino nivelar el piso para todos, es una obligación ética, legal y social, no es un acto de caridad, sino de justicia y cumplimiento de derechos humanos.</w:t>
      </w:r>
    </w:p>
    <w:p w14:paraId="2238EBC9" w14:textId="629B7DCC" w:rsidR="00ED1DCF" w:rsidRPr="00ED1DCF" w:rsidRDefault="00ED1DCF" w:rsidP="00ED1DCF">
      <w:pPr>
        <w:jc w:val="both"/>
        <w:rPr>
          <w:rFonts w:ascii="Century Gothic" w:hAnsi="Century Gothic" w:cs="Arial"/>
          <w:sz w:val="28"/>
          <w:szCs w:val="28"/>
        </w:rPr>
      </w:pPr>
      <w:r w:rsidRPr="00ED1DCF">
        <w:rPr>
          <w:rFonts w:ascii="Century Gothic" w:hAnsi="Century Gothic" w:cs="Arial"/>
          <w:sz w:val="28"/>
          <w:szCs w:val="28"/>
        </w:rPr>
        <w:t xml:space="preserve">El lenguaje tiene un impacto directo en la manera en que concebimos a las personas. Durante años, términos como "incapacitado", "minusválido" o "defecto psíquico" han dado una visión errónea de las personas con discapacidad. En la actualidad, la visión social de la discapacidad </w:t>
      </w:r>
      <w:r w:rsidR="00EB7A51">
        <w:rPr>
          <w:rFonts w:ascii="Century Gothic" w:hAnsi="Century Gothic" w:cs="Arial"/>
          <w:sz w:val="28"/>
          <w:szCs w:val="28"/>
        </w:rPr>
        <w:t>y</w:t>
      </w:r>
      <w:r w:rsidRPr="00ED1DCF">
        <w:rPr>
          <w:rFonts w:ascii="Century Gothic" w:hAnsi="Century Gothic" w:cs="Arial"/>
          <w:sz w:val="28"/>
          <w:szCs w:val="28"/>
        </w:rPr>
        <w:t xml:space="preserve"> neurodivergencia ha logrado un avance relevante a nivel internacional, y es nuestra obligación actualizar nuestra legislación, para erradicar términos que perpetúan la discriminación y adoptar un enfoque basado en derechos humanos.</w:t>
      </w:r>
    </w:p>
    <w:p w14:paraId="7CBA5203" w14:textId="77777777" w:rsidR="00ED1DCF" w:rsidRPr="00ED1DCF" w:rsidRDefault="00ED1DCF" w:rsidP="00ED1DCF">
      <w:pPr>
        <w:jc w:val="both"/>
        <w:rPr>
          <w:rFonts w:ascii="Century Gothic" w:hAnsi="Century Gothic" w:cs="Arial"/>
          <w:sz w:val="28"/>
          <w:szCs w:val="28"/>
        </w:rPr>
      </w:pPr>
      <w:r w:rsidRPr="00ED1DCF">
        <w:rPr>
          <w:rFonts w:ascii="Century Gothic" w:hAnsi="Century Gothic" w:cs="Arial"/>
          <w:sz w:val="28"/>
          <w:szCs w:val="28"/>
        </w:rPr>
        <w:t>En este sentido, es importante puntualizar, que para todas las personas, las oportunidades laborales no solo representan una fuente de ingresos, sino también son medios de dignificación, reconocimiento de habilidades y el potencial único de cada individuo, donde la inclusión debe enfocarse en sus fortalezas y habilidades, sin importar la condición o discapacidad de la persona, estrategia que además de cumplir con la obligación legal, promueve la equidad, enriquece los entornos de trabajo y mejora la productividad general.</w:t>
      </w:r>
    </w:p>
    <w:p w14:paraId="73C18E03" w14:textId="77777777" w:rsidR="00ED1DCF" w:rsidRDefault="00ED1DCF" w:rsidP="00ED1DCF">
      <w:pPr>
        <w:jc w:val="both"/>
        <w:rPr>
          <w:rFonts w:ascii="Century Gothic" w:hAnsi="Century Gothic" w:cs="Arial"/>
          <w:sz w:val="28"/>
          <w:szCs w:val="28"/>
        </w:rPr>
      </w:pPr>
      <w:r w:rsidRPr="00ED1DCF">
        <w:rPr>
          <w:rFonts w:ascii="Century Gothic" w:hAnsi="Century Gothic" w:cs="Arial"/>
          <w:sz w:val="28"/>
          <w:szCs w:val="28"/>
        </w:rPr>
        <w:t xml:space="preserve">Es fundamental avanzar hacia un modelo progresista de Derechos Humanos eliminando todos los paradigmas restrictivos y reconociendo que todas las personas tienen capacidad de desempeñarse en el ámbito laboral en la medida en que se les </w:t>
      </w:r>
    </w:p>
    <w:p w14:paraId="28E6D37A" w14:textId="77777777" w:rsidR="00ED1DCF" w:rsidRDefault="00ED1DCF" w:rsidP="00ED1DCF">
      <w:pPr>
        <w:jc w:val="both"/>
        <w:rPr>
          <w:rFonts w:ascii="Century Gothic" w:hAnsi="Century Gothic" w:cs="Arial"/>
          <w:sz w:val="28"/>
          <w:szCs w:val="28"/>
        </w:rPr>
      </w:pPr>
    </w:p>
    <w:p w14:paraId="12E92EAF" w14:textId="63720997" w:rsidR="00ED1DCF" w:rsidRPr="00ED1DCF" w:rsidRDefault="00ED1DCF" w:rsidP="00ED1DCF">
      <w:pPr>
        <w:jc w:val="both"/>
        <w:rPr>
          <w:rFonts w:ascii="Century Gothic" w:hAnsi="Century Gothic" w:cs="Arial"/>
          <w:sz w:val="28"/>
          <w:szCs w:val="28"/>
        </w:rPr>
      </w:pPr>
      <w:r w:rsidRPr="00ED1DCF">
        <w:rPr>
          <w:rFonts w:ascii="Century Gothic" w:hAnsi="Century Gothic" w:cs="Arial"/>
          <w:sz w:val="28"/>
          <w:szCs w:val="28"/>
        </w:rPr>
        <w:t>brinden las condiciones adecuadas haciendo ajustes para sus dificultades así, lograr su inclusión y participación efectiva.  La discapacidad no es una limitación al talento: lo es la falta de oportunidades y de voluntad para eliminar las barreras que impiden su expresión.</w:t>
      </w:r>
    </w:p>
    <w:p w14:paraId="16B0B124" w14:textId="4BD8FEE7" w:rsidR="00ED1DCF" w:rsidRPr="00ED1DCF" w:rsidRDefault="00ED1DCF" w:rsidP="00ED1DCF">
      <w:pPr>
        <w:jc w:val="both"/>
        <w:rPr>
          <w:rFonts w:ascii="Century Gothic" w:hAnsi="Century Gothic" w:cs="Arial"/>
          <w:sz w:val="28"/>
          <w:szCs w:val="28"/>
        </w:rPr>
      </w:pPr>
      <w:r w:rsidRPr="00ED1DCF">
        <w:rPr>
          <w:rFonts w:ascii="Century Gothic" w:hAnsi="Century Gothic" w:cs="Arial"/>
          <w:sz w:val="28"/>
          <w:szCs w:val="28"/>
        </w:rPr>
        <w:t xml:space="preserve">Es preocupante que la Ley del Seguro Social, en la actualidad establece que la pensión de orfandad se mantendrá hasta que el beneficiario cumpla con dieciséis o veinticinco años, dependiendo de las circunstancias. En el caso de que el beneficiario sea mayor de dieciséis años y desempeñe un trabajo remunerado, no tendrá derecho a percibir esta pensión, salvo en el supuesto de que la persona padezca una “incapacidad”, </w:t>
      </w:r>
      <w:r w:rsidR="003B251E">
        <w:rPr>
          <w:rFonts w:ascii="Century Gothic" w:hAnsi="Century Gothic" w:cs="Arial"/>
          <w:sz w:val="28"/>
          <w:szCs w:val="28"/>
        </w:rPr>
        <w:t>se</w:t>
      </w:r>
      <w:r w:rsidRPr="00ED1DCF">
        <w:rPr>
          <w:rFonts w:ascii="Century Gothic" w:hAnsi="Century Gothic" w:cs="Arial"/>
          <w:sz w:val="28"/>
          <w:szCs w:val="28"/>
        </w:rPr>
        <w:t xml:space="preserve"> continua con una visión</w:t>
      </w:r>
      <w:r w:rsidR="003B251E">
        <w:rPr>
          <w:rFonts w:ascii="Century Gothic" w:hAnsi="Century Gothic" w:cs="Arial"/>
          <w:sz w:val="28"/>
          <w:szCs w:val="28"/>
        </w:rPr>
        <w:t xml:space="preserve"> </w:t>
      </w:r>
      <w:r w:rsidR="003B251E" w:rsidRPr="00ED1DCF">
        <w:rPr>
          <w:rFonts w:ascii="Century Gothic" w:hAnsi="Century Gothic" w:cs="Arial"/>
          <w:sz w:val="28"/>
          <w:szCs w:val="28"/>
        </w:rPr>
        <w:t>centrada</w:t>
      </w:r>
      <w:r w:rsidRPr="00ED1DCF">
        <w:rPr>
          <w:rFonts w:ascii="Century Gothic" w:hAnsi="Century Gothic" w:cs="Arial"/>
          <w:sz w:val="28"/>
          <w:szCs w:val="28"/>
        </w:rPr>
        <w:t xml:space="preserve"> en sus limitaciones y asumiendo que carece de capacidades o habilidades, igual que en el tema de asignaciones familiares, perspectiva que ha quedado superada en los lineamientos internacionales con los que debemos alinearnos. </w:t>
      </w:r>
    </w:p>
    <w:p w14:paraId="6BBC31DC" w14:textId="3216BB63" w:rsidR="00292BB1" w:rsidRPr="008F0FD6" w:rsidRDefault="00ED1DCF" w:rsidP="00ED1DCF">
      <w:pPr>
        <w:jc w:val="both"/>
        <w:rPr>
          <w:rFonts w:ascii="Century Gothic" w:hAnsi="Century Gothic" w:cs="Arial"/>
          <w:bCs/>
          <w:sz w:val="28"/>
          <w:szCs w:val="28"/>
        </w:rPr>
      </w:pPr>
      <w:r w:rsidRPr="00ED1DCF">
        <w:rPr>
          <w:rFonts w:ascii="Century Gothic" w:hAnsi="Century Gothic" w:cs="Arial"/>
          <w:sz w:val="28"/>
          <w:szCs w:val="28"/>
        </w:rPr>
        <w:t xml:space="preserve">Con esta reforma, se busca cambiar el enfoque de resaltar sus deficiencias, y en su lugar se reconozcan los derechos de todas </w:t>
      </w:r>
      <w:r w:rsidR="003B251E">
        <w:rPr>
          <w:rFonts w:ascii="Century Gothic" w:hAnsi="Century Gothic" w:cs="Arial"/>
          <w:sz w:val="28"/>
          <w:szCs w:val="28"/>
        </w:rPr>
        <w:t>las personas</w:t>
      </w:r>
      <w:r w:rsidRPr="00ED1DCF">
        <w:rPr>
          <w:rFonts w:ascii="Century Gothic" w:hAnsi="Century Gothic" w:cs="Arial"/>
          <w:sz w:val="28"/>
          <w:szCs w:val="28"/>
        </w:rPr>
        <w:t>, lográndose una redacción más inclusiva y actualizada con los ordenamientos internacionales al incorporar a las personas neurodivergentes, por las barreras estructurales, sociales y actitudinales que también limitan su participación en igualdad de circunstancias que toda la sociedad.</w:t>
      </w:r>
    </w:p>
    <w:p w14:paraId="5F6AFDA6" w14:textId="0E271736" w:rsidR="00292BB1" w:rsidRPr="008F0FD6" w:rsidRDefault="006C6B4D" w:rsidP="008F0FD6">
      <w:pPr>
        <w:jc w:val="both"/>
        <w:rPr>
          <w:rFonts w:ascii="Century Gothic" w:hAnsi="Century Gothic"/>
          <w:sz w:val="28"/>
          <w:szCs w:val="28"/>
        </w:rPr>
      </w:pPr>
      <w:r w:rsidRPr="008F0FD6">
        <w:rPr>
          <w:rFonts w:ascii="Century Gothic" w:hAnsi="Century Gothic"/>
          <w:sz w:val="28"/>
          <w:szCs w:val="28"/>
        </w:rPr>
        <w:t>Por lo anteriormente expuesto nos permitimos poner a consideración del Pleno el siguiente:</w:t>
      </w:r>
    </w:p>
    <w:p w14:paraId="4988B46D" w14:textId="6887FA01" w:rsidR="006C6B4D" w:rsidRDefault="006C6B4D" w:rsidP="005562D4">
      <w:pPr>
        <w:jc w:val="center"/>
        <w:rPr>
          <w:rFonts w:ascii="Century Gothic" w:hAnsi="Century Gothic" w:cs="Arial"/>
          <w:b/>
          <w:sz w:val="28"/>
          <w:szCs w:val="28"/>
        </w:rPr>
      </w:pPr>
      <w:r w:rsidRPr="005562D4">
        <w:rPr>
          <w:rFonts w:ascii="Century Gothic" w:hAnsi="Century Gothic" w:cs="Arial"/>
          <w:b/>
          <w:sz w:val="28"/>
          <w:szCs w:val="28"/>
        </w:rPr>
        <w:t>DECRETO ANTE EL H. CONRESO DE LA UNIÓN.</w:t>
      </w:r>
    </w:p>
    <w:p w14:paraId="362BAC8C" w14:textId="77777777" w:rsidR="00292BB1" w:rsidRPr="005562D4" w:rsidRDefault="00292BB1" w:rsidP="005562D4">
      <w:pPr>
        <w:jc w:val="center"/>
        <w:rPr>
          <w:rFonts w:ascii="Century Gothic" w:hAnsi="Century Gothic" w:cs="Arial"/>
          <w:b/>
          <w:sz w:val="28"/>
          <w:szCs w:val="28"/>
        </w:rPr>
      </w:pPr>
    </w:p>
    <w:p w14:paraId="2AD0A85B" w14:textId="77777777" w:rsidR="00D2738C" w:rsidRDefault="00D2738C" w:rsidP="008F0FD6">
      <w:pPr>
        <w:jc w:val="both"/>
        <w:rPr>
          <w:rFonts w:ascii="Century Gothic" w:hAnsi="Century Gothic" w:cs="Arial"/>
          <w:b/>
          <w:sz w:val="28"/>
          <w:szCs w:val="28"/>
        </w:rPr>
      </w:pPr>
    </w:p>
    <w:p w14:paraId="68C3C297" w14:textId="77777777" w:rsidR="00EB7A51" w:rsidRDefault="006C6B4D" w:rsidP="00D2738C">
      <w:pPr>
        <w:jc w:val="both"/>
        <w:rPr>
          <w:rFonts w:ascii="Century Gothic" w:hAnsi="Century Gothic" w:cs="Arial"/>
          <w:b/>
          <w:sz w:val="28"/>
          <w:szCs w:val="28"/>
        </w:rPr>
      </w:pPr>
      <w:r w:rsidRPr="005562D4">
        <w:rPr>
          <w:rFonts w:ascii="Century Gothic" w:hAnsi="Century Gothic" w:cs="Arial"/>
          <w:b/>
          <w:sz w:val="28"/>
          <w:szCs w:val="28"/>
        </w:rPr>
        <w:t>ARTÍCULO ÚNICO.</w:t>
      </w:r>
      <w:r w:rsidRPr="008F0FD6">
        <w:rPr>
          <w:rFonts w:ascii="Century Gothic" w:hAnsi="Century Gothic" w:cs="Arial"/>
          <w:sz w:val="28"/>
          <w:szCs w:val="28"/>
        </w:rPr>
        <w:t xml:space="preserve"> Se </w:t>
      </w:r>
      <w:r w:rsidR="00D2738C">
        <w:rPr>
          <w:rFonts w:ascii="Century Gothic" w:hAnsi="Century Gothic" w:cs="Arial"/>
          <w:sz w:val="28"/>
          <w:szCs w:val="28"/>
        </w:rPr>
        <w:t>reforman los artículos 134 y 138 de la Ley del Seguro Social</w:t>
      </w:r>
      <w:r w:rsidRPr="008F0FD6">
        <w:rPr>
          <w:rFonts w:ascii="Century Gothic" w:hAnsi="Century Gothic" w:cs="Arial"/>
          <w:sz w:val="28"/>
          <w:szCs w:val="28"/>
        </w:rPr>
        <w:t>, para quedar redactado</w:t>
      </w:r>
      <w:r w:rsidR="00D2738C">
        <w:rPr>
          <w:rFonts w:ascii="Century Gothic" w:hAnsi="Century Gothic" w:cs="Arial"/>
          <w:sz w:val="28"/>
          <w:szCs w:val="28"/>
        </w:rPr>
        <w:t>s</w:t>
      </w:r>
      <w:r w:rsidRPr="008F0FD6">
        <w:rPr>
          <w:rFonts w:ascii="Century Gothic" w:hAnsi="Century Gothic" w:cs="Arial"/>
          <w:sz w:val="28"/>
          <w:szCs w:val="28"/>
        </w:rPr>
        <w:t xml:space="preserve"> de la siguiente manera: </w:t>
      </w:r>
      <w:r w:rsidR="00D2738C">
        <w:rPr>
          <w:rFonts w:ascii="Century Gothic" w:hAnsi="Century Gothic" w:cs="Arial"/>
          <w:b/>
          <w:sz w:val="28"/>
          <w:szCs w:val="28"/>
        </w:rPr>
        <w:t xml:space="preserve"> </w:t>
      </w:r>
    </w:p>
    <w:p w14:paraId="549D8188" w14:textId="0235E5F6" w:rsidR="00D2738C" w:rsidRPr="00D2738C" w:rsidRDefault="00D2738C" w:rsidP="00D2738C">
      <w:pPr>
        <w:jc w:val="both"/>
        <w:rPr>
          <w:rFonts w:ascii="Century Gothic" w:hAnsi="Century Gothic" w:cs="Arial"/>
          <w:sz w:val="36"/>
          <w:szCs w:val="28"/>
        </w:rPr>
      </w:pPr>
      <w:r w:rsidRPr="00D2738C">
        <w:rPr>
          <w:rFonts w:ascii="Century Gothic" w:hAnsi="Century Gothic"/>
          <w:b/>
          <w:bCs/>
          <w:sz w:val="28"/>
        </w:rPr>
        <w:t>Artículo 134.</w:t>
      </w:r>
      <w:r w:rsidRPr="00D2738C">
        <w:rPr>
          <w:rFonts w:ascii="Century Gothic" w:hAnsi="Century Gothic"/>
          <w:sz w:val="28"/>
        </w:rPr>
        <w:t xml:space="preserve"> Tendrán derecho a recibir pensión de orfandad cada uno de los hijos menores de dieciséis años, cuando muera el padre o la madre y alguno de éstos hubiera tenido el carácter de asegurado, y acrediten tener ante el Instituto un mínimo de ciento cincuenta cotizaciones semanales o haber tenido la calidad de pensionados por invalidez. </w:t>
      </w:r>
    </w:p>
    <w:p w14:paraId="5D7E3462" w14:textId="77777777" w:rsidR="003C59AA" w:rsidRPr="003C59AA" w:rsidRDefault="003C59AA" w:rsidP="003C59AA">
      <w:pPr>
        <w:jc w:val="both"/>
        <w:rPr>
          <w:rFonts w:ascii="Century Gothic" w:hAnsi="Century Gothic"/>
        </w:rPr>
      </w:pPr>
      <w:r w:rsidRPr="003C59AA">
        <w:rPr>
          <w:rFonts w:ascii="Century Gothic" w:hAnsi="Century Gothic"/>
          <w:sz w:val="28"/>
        </w:rPr>
        <w:t>El Instituto prorrogará la pensión de orfandad, después de alcanzar el huérfano la edad de dieciséis años, y hasta la edad de veinticinco, si se encuentra estudiando en planteles del sistema educativo nacional, tomando en consideración las condiciones económicas, familiares y personales del beneficiario, siempre que no sea sujeto del régimen obligatorio.</w:t>
      </w:r>
      <w:r w:rsidRPr="003C59AA">
        <w:rPr>
          <w:rFonts w:ascii="Century Gothic" w:hAnsi="Century Gothic"/>
        </w:rPr>
        <w:t xml:space="preserve"> </w:t>
      </w:r>
    </w:p>
    <w:p w14:paraId="3385E643" w14:textId="42A184B5" w:rsidR="006C6B4D" w:rsidRDefault="00D2738C" w:rsidP="00D2738C">
      <w:pPr>
        <w:jc w:val="both"/>
        <w:rPr>
          <w:rFonts w:ascii="Century Gothic" w:hAnsi="Century Gothic"/>
          <w:b/>
          <w:bCs/>
          <w:sz w:val="28"/>
        </w:rPr>
      </w:pPr>
      <w:r w:rsidRPr="00D2738C">
        <w:rPr>
          <w:rFonts w:ascii="Century Gothic" w:hAnsi="Century Gothic"/>
          <w:sz w:val="28"/>
        </w:rPr>
        <w:t xml:space="preserve">El huérfano mayor de dieciséis años que desempeñe un trabajo remunerado no tiene derecho a percibir esta pensión; salvo que no pueda mantenerse por su propio trabajo, debido a una enfermedad crónica, </w:t>
      </w:r>
      <w:r w:rsidRPr="00D2738C">
        <w:rPr>
          <w:rFonts w:ascii="Century Gothic" w:hAnsi="Century Gothic"/>
          <w:b/>
          <w:bCs/>
          <w:sz w:val="28"/>
        </w:rPr>
        <w:t>discapacidad o neurodivergencia; en tal caso podrá recibir la pensión y continuar con su desarrollo laboral hasta en tanto continúe la necesidad.</w:t>
      </w:r>
    </w:p>
    <w:p w14:paraId="496CE9EC" w14:textId="77777777" w:rsidR="00A55F63" w:rsidRDefault="00A55F63" w:rsidP="00D2738C">
      <w:pPr>
        <w:jc w:val="both"/>
        <w:rPr>
          <w:rFonts w:ascii="Century Gothic" w:hAnsi="Century Gothic"/>
          <w:b/>
          <w:bCs/>
          <w:sz w:val="28"/>
        </w:rPr>
      </w:pPr>
    </w:p>
    <w:p w14:paraId="57D40087" w14:textId="23B0EECC" w:rsidR="00D2738C" w:rsidRDefault="00D2738C" w:rsidP="00D2738C">
      <w:pPr>
        <w:jc w:val="both"/>
        <w:rPr>
          <w:rFonts w:ascii="Century Gothic" w:hAnsi="Century Gothic"/>
          <w:sz w:val="28"/>
          <w:szCs w:val="28"/>
        </w:rPr>
      </w:pPr>
      <w:r w:rsidRPr="00D2738C">
        <w:rPr>
          <w:rFonts w:ascii="Century Gothic" w:hAnsi="Century Gothic"/>
          <w:b/>
          <w:bCs/>
          <w:sz w:val="28"/>
          <w:szCs w:val="28"/>
        </w:rPr>
        <w:t>Artículo 138.</w:t>
      </w:r>
      <w:r w:rsidRPr="00D2738C">
        <w:rPr>
          <w:rFonts w:ascii="Century Gothic" w:hAnsi="Century Gothic"/>
          <w:sz w:val="28"/>
          <w:szCs w:val="28"/>
        </w:rPr>
        <w:t xml:space="preserve"> Las asignaciones familiares consisten en una ayuda por concepto de carga familiar y se concederá a los beneficiarios del pensionado o pensionada por invalidez, de acuerdo con las reglas siguientes:</w:t>
      </w:r>
    </w:p>
    <w:p w14:paraId="55C5C5C6" w14:textId="1F412994" w:rsidR="00BE4F87" w:rsidRDefault="00BE4F87" w:rsidP="00D2738C">
      <w:pPr>
        <w:jc w:val="both"/>
        <w:rPr>
          <w:rFonts w:ascii="Century Gothic" w:hAnsi="Century Gothic"/>
          <w:sz w:val="28"/>
          <w:szCs w:val="28"/>
        </w:rPr>
      </w:pPr>
    </w:p>
    <w:p w14:paraId="21E4D4C8" w14:textId="77777777" w:rsidR="00BE4F87" w:rsidRPr="00D2738C" w:rsidRDefault="00BE4F87" w:rsidP="00D2738C">
      <w:pPr>
        <w:jc w:val="both"/>
        <w:rPr>
          <w:rFonts w:ascii="Century Gothic" w:hAnsi="Century Gothic"/>
          <w:sz w:val="28"/>
          <w:szCs w:val="28"/>
        </w:rPr>
      </w:pPr>
    </w:p>
    <w:p w14:paraId="460F8CF8" w14:textId="77777777" w:rsidR="003C59AA" w:rsidRPr="003C59AA" w:rsidRDefault="003C59AA" w:rsidP="003C59AA">
      <w:pPr>
        <w:pStyle w:val="Prrafodelista"/>
        <w:numPr>
          <w:ilvl w:val="0"/>
          <w:numId w:val="2"/>
        </w:numPr>
        <w:spacing w:after="160" w:line="259" w:lineRule="auto"/>
        <w:rPr>
          <w:rFonts w:ascii="Century Gothic" w:hAnsi="Century Gothic"/>
          <w:sz w:val="28"/>
        </w:rPr>
      </w:pPr>
      <w:r w:rsidRPr="003C59AA">
        <w:rPr>
          <w:rFonts w:ascii="Century Gothic" w:hAnsi="Century Gothic"/>
          <w:sz w:val="28"/>
        </w:rPr>
        <w:t>Para la o el cónyuge, o para quien hubiere mantenido relación de concubinato, o a quien haya suscrito una unión civil, el quince por ciento de la cuantía de la pensión;</w:t>
      </w:r>
    </w:p>
    <w:p w14:paraId="5D9FF0F1" w14:textId="77777777" w:rsidR="003C59AA" w:rsidRPr="003C59AA" w:rsidRDefault="003C59AA" w:rsidP="003C59AA">
      <w:pPr>
        <w:pStyle w:val="Prrafodelista"/>
        <w:numPr>
          <w:ilvl w:val="0"/>
          <w:numId w:val="2"/>
        </w:numPr>
        <w:spacing w:after="160" w:line="259" w:lineRule="auto"/>
        <w:rPr>
          <w:rFonts w:ascii="Century Gothic" w:hAnsi="Century Gothic"/>
          <w:sz w:val="28"/>
        </w:rPr>
      </w:pPr>
      <w:r w:rsidRPr="003C59AA">
        <w:rPr>
          <w:rFonts w:ascii="Century Gothic" w:hAnsi="Century Gothic"/>
          <w:sz w:val="28"/>
        </w:rPr>
        <w:t xml:space="preserve">Para cada uno de los hijos menores de dieciséis años del pensionado, el diez por ciento de la cuantía de la pensión; </w:t>
      </w:r>
    </w:p>
    <w:p w14:paraId="5BEB2823" w14:textId="77777777" w:rsidR="003C59AA" w:rsidRPr="003C59AA" w:rsidRDefault="003C59AA" w:rsidP="003C59AA">
      <w:pPr>
        <w:pStyle w:val="Prrafodelista"/>
        <w:numPr>
          <w:ilvl w:val="0"/>
          <w:numId w:val="2"/>
        </w:numPr>
        <w:spacing w:after="160" w:line="259" w:lineRule="auto"/>
        <w:rPr>
          <w:rFonts w:ascii="Century Gothic" w:hAnsi="Century Gothic"/>
          <w:sz w:val="28"/>
        </w:rPr>
      </w:pPr>
      <w:r w:rsidRPr="003C59AA">
        <w:rPr>
          <w:rFonts w:ascii="Century Gothic" w:hAnsi="Century Gothic"/>
          <w:sz w:val="28"/>
        </w:rPr>
        <w:t>Si el pensionado o pensionada no tuviera cónyuge o no mantuviere relación de concubinato o no haya suscrito una unión civil, ni tuviera hijos menores de dieciséis años, se concederá una asignación del diez por ciento para cada uno de los padres de la o el pensionado si dependieran económicamente de él o de ella;</w:t>
      </w:r>
    </w:p>
    <w:p w14:paraId="676FB7B4" w14:textId="77777777" w:rsidR="003C59AA" w:rsidRPr="003C59AA" w:rsidRDefault="003C59AA" w:rsidP="003C59AA">
      <w:pPr>
        <w:pStyle w:val="Prrafodelista"/>
        <w:numPr>
          <w:ilvl w:val="0"/>
          <w:numId w:val="2"/>
        </w:numPr>
        <w:spacing w:after="160" w:line="259" w:lineRule="auto"/>
        <w:rPr>
          <w:rFonts w:ascii="Century Gothic" w:hAnsi="Century Gothic"/>
          <w:sz w:val="28"/>
        </w:rPr>
      </w:pPr>
      <w:r w:rsidRPr="003C59AA">
        <w:rPr>
          <w:rFonts w:ascii="Century Gothic" w:hAnsi="Century Gothic"/>
          <w:sz w:val="28"/>
        </w:rPr>
        <w:t>Si el pensionado o pensionada no estuviera casado civilmente o no mantuviere relación de concubinato o no tuviera suscrita una unión civil, ni tuviera hijos, ni ascendientes que dependan económicamente de él o ella, se le concederá una ayuda asistencial equivalente al quince por ciento de la cuantía de la pensión que le corresponda, y</w:t>
      </w:r>
    </w:p>
    <w:p w14:paraId="43E7714C" w14:textId="77777777" w:rsidR="003C59AA" w:rsidRPr="003C59AA" w:rsidRDefault="003C59AA" w:rsidP="003C59AA">
      <w:pPr>
        <w:pStyle w:val="Prrafodelista"/>
        <w:numPr>
          <w:ilvl w:val="0"/>
          <w:numId w:val="2"/>
        </w:numPr>
        <w:spacing w:after="160" w:line="259" w:lineRule="auto"/>
        <w:rPr>
          <w:rFonts w:ascii="Century Gothic" w:hAnsi="Century Gothic"/>
          <w:sz w:val="28"/>
        </w:rPr>
      </w:pPr>
      <w:r w:rsidRPr="003C59AA">
        <w:rPr>
          <w:rFonts w:ascii="Century Gothic" w:hAnsi="Century Gothic"/>
          <w:sz w:val="28"/>
        </w:rPr>
        <w:t xml:space="preserve">Si el pensionado sólo tuviera un ascendiente con derecho al disfrute de asignación familiar, se le concederá una ayuda asistencial equivalente al diez por ciento de la cuantía de la pensión que deba disfrutar. </w:t>
      </w:r>
    </w:p>
    <w:p w14:paraId="66C7AE09" w14:textId="77777777" w:rsidR="003C59AA" w:rsidRDefault="003C59AA" w:rsidP="003C59AA">
      <w:pPr>
        <w:jc w:val="both"/>
      </w:pPr>
      <w:r w:rsidRPr="003C59AA">
        <w:rPr>
          <w:rFonts w:ascii="Century Gothic" w:hAnsi="Century Gothic"/>
          <w:sz w:val="28"/>
        </w:rPr>
        <w:t>Estas asignaciones familiares se entregarán de preferencia al propio pensionado, pero la correspondiente a los hijos podrá entregarse a la persona o institución que los tenga bajo su cargo directo, en el caso de no vivir con el pensionado.</w:t>
      </w:r>
      <w:r>
        <w:t xml:space="preserve"> </w:t>
      </w:r>
    </w:p>
    <w:p w14:paraId="69983364" w14:textId="6A5F5834" w:rsidR="00D2738C" w:rsidRDefault="00D2738C" w:rsidP="003C59AA">
      <w:pPr>
        <w:jc w:val="both"/>
        <w:rPr>
          <w:rFonts w:ascii="Century Gothic" w:hAnsi="Century Gothic"/>
          <w:b/>
          <w:bCs/>
          <w:sz w:val="28"/>
          <w:szCs w:val="28"/>
        </w:rPr>
      </w:pPr>
      <w:r w:rsidRPr="00D2738C">
        <w:rPr>
          <w:rFonts w:ascii="Century Gothic" w:hAnsi="Century Gothic"/>
          <w:b/>
          <w:bCs/>
          <w:sz w:val="28"/>
          <w:szCs w:val="28"/>
        </w:rPr>
        <w:t xml:space="preserve">Los hijos del pensionado que reciban asignaciones familiares y que no puedan mantenerse por sí mismos, debido enfermedad crónica, discapacidad o neurodivergencia, podrán continuar recibiendo la asignación aun cuando desempeñen un trabajo remunerado hasta en tanto continúe la necesidad. </w:t>
      </w:r>
    </w:p>
    <w:p w14:paraId="35C564F8" w14:textId="77777777" w:rsidR="00BE4F87" w:rsidRDefault="00BE4F87" w:rsidP="00BE4F87">
      <w:pPr>
        <w:pStyle w:val="NormalWeb"/>
        <w:jc w:val="both"/>
        <w:rPr>
          <w:rFonts w:ascii="Century Gothic" w:eastAsia="Calibri" w:hAnsi="Century Gothic"/>
          <w:bCs/>
          <w:sz w:val="28"/>
          <w:szCs w:val="28"/>
          <w:lang w:val="es-ES" w:eastAsia="en-US"/>
        </w:rPr>
      </w:pPr>
    </w:p>
    <w:p w14:paraId="758C554A" w14:textId="77777777" w:rsidR="00BE4F87" w:rsidRDefault="00BE4F87" w:rsidP="00BE4F87">
      <w:pPr>
        <w:pStyle w:val="NormalWeb"/>
        <w:jc w:val="both"/>
        <w:rPr>
          <w:rFonts w:ascii="Century Gothic" w:eastAsia="Calibri" w:hAnsi="Century Gothic"/>
          <w:bCs/>
          <w:sz w:val="28"/>
          <w:szCs w:val="28"/>
          <w:lang w:val="es-ES" w:eastAsia="en-US"/>
        </w:rPr>
      </w:pPr>
    </w:p>
    <w:p w14:paraId="7BA7BE8D" w14:textId="70BF4A25" w:rsidR="00BE4F87" w:rsidRDefault="00BE4F87" w:rsidP="00BE4F87">
      <w:pPr>
        <w:pStyle w:val="NormalWeb"/>
        <w:jc w:val="both"/>
        <w:rPr>
          <w:rFonts w:ascii="Century Gothic" w:eastAsia="Calibri" w:hAnsi="Century Gothic"/>
          <w:bCs/>
          <w:sz w:val="28"/>
          <w:szCs w:val="28"/>
          <w:lang w:val="es-ES" w:eastAsia="en-US"/>
        </w:rPr>
      </w:pPr>
      <w:r w:rsidRPr="00BE4F87">
        <w:rPr>
          <w:rFonts w:ascii="Century Gothic" w:eastAsia="Calibri" w:hAnsi="Century Gothic"/>
          <w:bCs/>
          <w:sz w:val="28"/>
          <w:szCs w:val="28"/>
          <w:lang w:val="es-ES" w:eastAsia="en-US"/>
        </w:rPr>
        <w:t>El Instituto concederá en los términos de este artículo, las asignaciones familiares a los hijos del pensionado, mayores de dieciséis años, si cumplen con las condiciones mencionadas.</w:t>
      </w:r>
    </w:p>
    <w:p w14:paraId="3CEC27E0" w14:textId="70760B98" w:rsidR="000C51A5" w:rsidRPr="002123ED" w:rsidRDefault="000C51A5" w:rsidP="000C51A5">
      <w:pPr>
        <w:pStyle w:val="NormalWeb"/>
        <w:jc w:val="center"/>
        <w:rPr>
          <w:rFonts w:ascii="Century Gothic" w:hAnsi="Century Gothic"/>
          <w:b/>
          <w:color w:val="000000"/>
          <w:sz w:val="28"/>
          <w:szCs w:val="28"/>
        </w:rPr>
      </w:pPr>
      <w:r>
        <w:rPr>
          <w:rFonts w:ascii="Century Gothic" w:hAnsi="Century Gothic"/>
          <w:b/>
          <w:color w:val="000000"/>
          <w:sz w:val="28"/>
          <w:szCs w:val="28"/>
        </w:rPr>
        <w:t>TRANSITORIOS:</w:t>
      </w:r>
    </w:p>
    <w:p w14:paraId="4AC283C8" w14:textId="2E1F097F" w:rsidR="000C51A5" w:rsidRPr="002123ED" w:rsidRDefault="000C51A5" w:rsidP="000C51A5">
      <w:pPr>
        <w:pStyle w:val="NormalWeb"/>
        <w:jc w:val="both"/>
        <w:rPr>
          <w:rFonts w:ascii="Century Gothic" w:hAnsi="Century Gothic"/>
          <w:color w:val="000000"/>
          <w:sz w:val="28"/>
          <w:szCs w:val="28"/>
        </w:rPr>
      </w:pPr>
      <w:r w:rsidRPr="002123ED">
        <w:rPr>
          <w:rFonts w:ascii="Century Gothic" w:hAnsi="Century Gothic"/>
          <w:b/>
          <w:color w:val="000000"/>
          <w:sz w:val="28"/>
          <w:szCs w:val="28"/>
        </w:rPr>
        <w:t>ARTÍCULO PRIMERO.</w:t>
      </w:r>
      <w:r w:rsidRPr="002123ED">
        <w:rPr>
          <w:rFonts w:ascii="Century Gothic" w:hAnsi="Century Gothic"/>
          <w:color w:val="000000"/>
          <w:sz w:val="28"/>
          <w:szCs w:val="28"/>
        </w:rPr>
        <w:t xml:space="preserve"> El presente Decreto entrará en vigor al día siguiente de su publicación en el </w:t>
      </w:r>
      <w:r w:rsidR="00FC3DAF">
        <w:rPr>
          <w:rFonts w:ascii="Century Gothic" w:hAnsi="Century Gothic"/>
          <w:color w:val="000000"/>
          <w:sz w:val="28"/>
          <w:szCs w:val="28"/>
        </w:rPr>
        <w:t>Diario</w:t>
      </w:r>
      <w:r w:rsidRPr="002123ED">
        <w:rPr>
          <w:rFonts w:ascii="Century Gothic" w:hAnsi="Century Gothic"/>
          <w:color w:val="000000"/>
          <w:sz w:val="28"/>
          <w:szCs w:val="28"/>
        </w:rPr>
        <w:t xml:space="preserve"> Oficial </w:t>
      </w:r>
      <w:r w:rsidR="00FC3DAF">
        <w:rPr>
          <w:rFonts w:ascii="Century Gothic" w:hAnsi="Century Gothic"/>
          <w:color w:val="000000"/>
          <w:sz w:val="28"/>
          <w:szCs w:val="28"/>
        </w:rPr>
        <w:t>de la Federación</w:t>
      </w:r>
      <w:r w:rsidRPr="002123ED">
        <w:rPr>
          <w:rFonts w:ascii="Century Gothic" w:hAnsi="Century Gothic"/>
          <w:color w:val="000000"/>
          <w:sz w:val="28"/>
          <w:szCs w:val="28"/>
        </w:rPr>
        <w:t>.</w:t>
      </w:r>
    </w:p>
    <w:p w14:paraId="23466D78" w14:textId="62311801" w:rsidR="000C51A5" w:rsidRPr="002123ED" w:rsidRDefault="000C51A5" w:rsidP="000C51A5">
      <w:pPr>
        <w:pStyle w:val="NormalWeb"/>
        <w:jc w:val="both"/>
        <w:rPr>
          <w:rFonts w:ascii="Century Gothic" w:hAnsi="Century Gothic"/>
          <w:color w:val="000000"/>
          <w:sz w:val="28"/>
          <w:szCs w:val="28"/>
        </w:rPr>
      </w:pPr>
      <w:r w:rsidRPr="002123ED">
        <w:rPr>
          <w:rFonts w:ascii="Century Gothic" w:hAnsi="Century Gothic"/>
          <w:b/>
          <w:color w:val="000000"/>
          <w:sz w:val="28"/>
          <w:szCs w:val="28"/>
        </w:rPr>
        <w:t>ECONÓMICO. -</w:t>
      </w:r>
      <w:r w:rsidRPr="002123ED">
        <w:rPr>
          <w:rFonts w:ascii="Century Gothic" w:hAnsi="Century Gothic"/>
          <w:color w:val="000000"/>
          <w:sz w:val="28"/>
          <w:szCs w:val="28"/>
        </w:rPr>
        <w:t xml:space="preserve"> Aprobado que sea túrnese a la Secretaría de Asuntos Legislativos y Jurídicos </w:t>
      </w:r>
      <w:r w:rsidR="00FC3DAF" w:rsidRPr="00FC3DAF">
        <w:rPr>
          <w:rFonts w:ascii="Century Gothic" w:hAnsi="Century Gothic"/>
          <w:color w:val="000000"/>
          <w:sz w:val="28"/>
          <w:szCs w:val="28"/>
        </w:rPr>
        <w:t>para que elabore la Minuta en los términos en que corresponda</w:t>
      </w:r>
      <w:r w:rsidRPr="002123ED">
        <w:rPr>
          <w:rFonts w:ascii="Century Gothic" w:hAnsi="Century Gothic"/>
          <w:color w:val="000000"/>
          <w:sz w:val="28"/>
          <w:szCs w:val="28"/>
        </w:rPr>
        <w:t>.</w:t>
      </w:r>
    </w:p>
    <w:p w14:paraId="5FE257F4" w14:textId="77777777" w:rsidR="000C51A5" w:rsidRPr="005E2115" w:rsidRDefault="000C51A5" w:rsidP="000C51A5">
      <w:pPr>
        <w:jc w:val="both"/>
        <w:rPr>
          <w:rFonts w:ascii="Century Gothic" w:hAnsi="Century Gothic"/>
          <w:sz w:val="28"/>
        </w:rPr>
      </w:pPr>
      <w:r w:rsidRPr="00A30D63">
        <w:rPr>
          <w:rFonts w:ascii="Century Gothic" w:hAnsi="Century Gothic"/>
          <w:b/>
          <w:i/>
          <w:sz w:val="28"/>
        </w:rPr>
        <w:t>Dado</w:t>
      </w:r>
      <w:r w:rsidRPr="00C96651">
        <w:rPr>
          <w:rFonts w:ascii="Century Gothic" w:hAnsi="Century Gothic"/>
          <w:sz w:val="28"/>
        </w:rPr>
        <w:t xml:space="preserve"> en el Salón de Sesiones del Poder Legislativo, en la ciudad de Chihuahua, Chihuahua a </w:t>
      </w:r>
      <w:r>
        <w:rPr>
          <w:rFonts w:ascii="Century Gothic" w:hAnsi="Century Gothic"/>
          <w:sz w:val="28"/>
        </w:rPr>
        <w:t>29</w:t>
      </w:r>
      <w:r w:rsidRPr="00C96651">
        <w:rPr>
          <w:rFonts w:ascii="Century Gothic" w:hAnsi="Century Gothic"/>
          <w:sz w:val="28"/>
        </w:rPr>
        <w:t xml:space="preserve"> de </w:t>
      </w:r>
      <w:r>
        <w:rPr>
          <w:rFonts w:ascii="Century Gothic" w:hAnsi="Century Gothic"/>
          <w:sz w:val="28"/>
        </w:rPr>
        <w:t>abril</w:t>
      </w:r>
      <w:r w:rsidRPr="00C96651">
        <w:rPr>
          <w:rFonts w:ascii="Century Gothic" w:hAnsi="Century Gothic"/>
          <w:sz w:val="28"/>
        </w:rPr>
        <w:t xml:space="preserve"> de 2025.  </w:t>
      </w:r>
    </w:p>
    <w:p w14:paraId="068FC5B8" w14:textId="77777777" w:rsidR="005D359B" w:rsidRDefault="005D359B" w:rsidP="008F0FD6">
      <w:pPr>
        <w:jc w:val="both"/>
        <w:rPr>
          <w:rFonts w:ascii="Century Gothic" w:hAnsi="Century Gothic" w:cs="Arial"/>
          <w:bCs/>
          <w:sz w:val="28"/>
          <w:szCs w:val="28"/>
        </w:rPr>
      </w:pPr>
    </w:p>
    <w:p w14:paraId="3E4C417E" w14:textId="471AA184" w:rsidR="006C6B4D" w:rsidRPr="005D359B"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ATENTAMENTE</w:t>
      </w:r>
    </w:p>
    <w:p w14:paraId="0E7944FC" w14:textId="7AD518AD" w:rsidR="006C6B4D" w:rsidRDefault="006C6B4D" w:rsidP="005D359B">
      <w:pPr>
        <w:jc w:val="center"/>
        <w:rPr>
          <w:rFonts w:ascii="Century Gothic" w:hAnsi="Century Gothic" w:cs="Arial"/>
          <w:b/>
          <w:bCs/>
          <w:sz w:val="28"/>
          <w:szCs w:val="28"/>
        </w:rPr>
      </w:pPr>
    </w:p>
    <w:p w14:paraId="5C20A8B8" w14:textId="77777777" w:rsidR="005D359B" w:rsidRPr="005D359B" w:rsidRDefault="005D359B" w:rsidP="005D359B">
      <w:pPr>
        <w:jc w:val="center"/>
        <w:rPr>
          <w:rFonts w:ascii="Century Gothic" w:hAnsi="Century Gothic" w:cs="Arial"/>
          <w:b/>
          <w:bCs/>
          <w:sz w:val="28"/>
          <w:szCs w:val="28"/>
        </w:rPr>
      </w:pPr>
    </w:p>
    <w:p w14:paraId="5D583297" w14:textId="6BF58F0E" w:rsidR="006C6B4D"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DIPUTADA HERMINIA GÓMEZ CARRASCO</w:t>
      </w:r>
    </w:p>
    <w:p w14:paraId="467E01B9" w14:textId="4C4D4CEC" w:rsidR="005D359B" w:rsidRDefault="005D359B" w:rsidP="005D359B">
      <w:pPr>
        <w:jc w:val="center"/>
        <w:rPr>
          <w:rFonts w:ascii="Century Gothic" w:hAnsi="Century Gothic" w:cs="Arial"/>
          <w:b/>
          <w:bCs/>
          <w:sz w:val="28"/>
          <w:szCs w:val="28"/>
        </w:rPr>
      </w:pPr>
    </w:p>
    <w:p w14:paraId="4C8CE87A" w14:textId="77777777" w:rsidR="00550936" w:rsidRDefault="00550936" w:rsidP="005D359B">
      <w:pPr>
        <w:jc w:val="cente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3525C040" w14:textId="77777777" w:rsidTr="00550936">
        <w:tc>
          <w:tcPr>
            <w:tcW w:w="4675" w:type="dxa"/>
          </w:tcPr>
          <w:p w14:paraId="154A86D0" w14:textId="77777777" w:rsidR="00550936" w:rsidRPr="0026795D" w:rsidRDefault="00550936" w:rsidP="00550936">
            <w:pPr>
              <w:jc w:val="center"/>
              <w:rPr>
                <w:rFonts w:ascii="Century Gothic" w:hAnsi="Century Gothic"/>
                <w:b/>
                <w:sz w:val="28"/>
                <w:szCs w:val="24"/>
              </w:rPr>
            </w:pPr>
            <w:r w:rsidRPr="0026795D">
              <w:rPr>
                <w:rFonts w:ascii="Century Gothic" w:hAnsi="Century Gothic"/>
                <w:b/>
                <w:sz w:val="28"/>
                <w:szCs w:val="24"/>
              </w:rPr>
              <w:t>DIP. BRENDA FRANCISCA RÍOS</w:t>
            </w:r>
          </w:p>
          <w:p w14:paraId="510499C9" w14:textId="77777777" w:rsidR="00550936" w:rsidRDefault="00550936" w:rsidP="008F0FD6">
            <w:pPr>
              <w:jc w:val="both"/>
              <w:rPr>
                <w:rFonts w:ascii="Century Gothic" w:hAnsi="Century Gothic" w:cs="Arial"/>
                <w:bCs/>
                <w:sz w:val="28"/>
                <w:szCs w:val="28"/>
              </w:rPr>
            </w:pPr>
          </w:p>
          <w:p w14:paraId="17800650" w14:textId="77777777" w:rsidR="00550936" w:rsidRDefault="00550936" w:rsidP="008F0FD6">
            <w:pPr>
              <w:jc w:val="both"/>
              <w:rPr>
                <w:rFonts w:ascii="Century Gothic" w:hAnsi="Century Gothic" w:cs="Arial"/>
                <w:bCs/>
                <w:sz w:val="28"/>
                <w:szCs w:val="28"/>
              </w:rPr>
            </w:pPr>
          </w:p>
          <w:p w14:paraId="2EFD7D1A" w14:textId="69DE7D76" w:rsidR="00550936" w:rsidRDefault="00550936" w:rsidP="008F0FD6">
            <w:pPr>
              <w:jc w:val="both"/>
              <w:rPr>
                <w:rFonts w:ascii="Century Gothic" w:hAnsi="Century Gothic" w:cs="Arial"/>
                <w:bCs/>
                <w:sz w:val="28"/>
                <w:szCs w:val="28"/>
              </w:rPr>
            </w:pPr>
          </w:p>
        </w:tc>
        <w:tc>
          <w:tcPr>
            <w:tcW w:w="4675" w:type="dxa"/>
          </w:tcPr>
          <w:p w14:paraId="49AEC736"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lastRenderedPageBreak/>
              <w:t>DIP. EDIN CUAUHTÉMOC ESTRADA SOTELO</w:t>
            </w:r>
          </w:p>
          <w:p w14:paraId="4DB508F7" w14:textId="77777777" w:rsidR="00550936" w:rsidRDefault="00550936" w:rsidP="008F0FD6">
            <w:pPr>
              <w:jc w:val="both"/>
              <w:rPr>
                <w:rFonts w:ascii="Century Gothic" w:hAnsi="Century Gothic" w:cs="Arial"/>
                <w:bCs/>
                <w:sz w:val="28"/>
                <w:szCs w:val="28"/>
              </w:rPr>
            </w:pPr>
          </w:p>
        </w:tc>
      </w:tr>
      <w:tr w:rsidR="00550936" w14:paraId="276FE90F" w14:textId="77777777" w:rsidTr="00550936">
        <w:tc>
          <w:tcPr>
            <w:tcW w:w="4675" w:type="dxa"/>
          </w:tcPr>
          <w:p w14:paraId="086E3859" w14:textId="77777777" w:rsidR="00BE4F87" w:rsidRDefault="00BE4F87" w:rsidP="00550936">
            <w:pPr>
              <w:jc w:val="center"/>
              <w:rPr>
                <w:rFonts w:ascii="Century Gothic" w:hAnsi="Century Gothic"/>
                <w:b/>
                <w:color w:val="000000"/>
                <w:sz w:val="28"/>
                <w:szCs w:val="24"/>
              </w:rPr>
            </w:pPr>
          </w:p>
          <w:p w14:paraId="33C4BC02" w14:textId="62C3B11B"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EDITH PALMA ONTIVEROS.</w:t>
            </w:r>
          </w:p>
          <w:p w14:paraId="044D2CE6" w14:textId="77777777" w:rsidR="00550936" w:rsidRDefault="00550936" w:rsidP="008F0FD6">
            <w:pPr>
              <w:jc w:val="both"/>
              <w:rPr>
                <w:rFonts w:ascii="Century Gothic" w:hAnsi="Century Gothic" w:cs="Arial"/>
                <w:bCs/>
                <w:sz w:val="28"/>
                <w:szCs w:val="28"/>
              </w:rPr>
            </w:pPr>
          </w:p>
        </w:tc>
        <w:tc>
          <w:tcPr>
            <w:tcW w:w="4675" w:type="dxa"/>
          </w:tcPr>
          <w:p w14:paraId="14804EE7" w14:textId="77777777" w:rsidR="00BE4F87" w:rsidRDefault="00BE4F87" w:rsidP="00550936">
            <w:pPr>
              <w:jc w:val="center"/>
              <w:rPr>
                <w:rFonts w:ascii="Century Gothic" w:hAnsi="Century Gothic"/>
                <w:b/>
                <w:color w:val="000000"/>
                <w:sz w:val="28"/>
                <w:szCs w:val="24"/>
              </w:rPr>
            </w:pPr>
          </w:p>
          <w:p w14:paraId="1FC01846" w14:textId="07745227" w:rsidR="00550936" w:rsidRDefault="00550936" w:rsidP="00550936">
            <w:pPr>
              <w:jc w:val="center"/>
              <w:rPr>
                <w:rFonts w:ascii="Century Gothic" w:hAnsi="Century Gothic" w:cs="Arial"/>
                <w:bCs/>
                <w:sz w:val="28"/>
                <w:szCs w:val="28"/>
              </w:rPr>
            </w:pPr>
            <w:r w:rsidRPr="0026795D">
              <w:rPr>
                <w:rFonts w:ascii="Century Gothic" w:hAnsi="Century Gothic"/>
                <w:b/>
                <w:color w:val="000000"/>
                <w:sz w:val="28"/>
                <w:szCs w:val="24"/>
              </w:rPr>
              <w:t>DIP. ELIZABETH GUZMÁN ARGUETA</w:t>
            </w:r>
          </w:p>
        </w:tc>
      </w:tr>
    </w:tbl>
    <w:p w14:paraId="08B20C94" w14:textId="77777777" w:rsidR="00A55F63" w:rsidRDefault="00A55F63" w:rsidP="008F0FD6">
      <w:pPr>
        <w:jc w:val="both"/>
        <w:rPr>
          <w:rFonts w:ascii="Century Gothic" w:hAnsi="Century Gothic"/>
          <w:sz w:val="28"/>
          <w:szCs w:val="28"/>
        </w:rPr>
      </w:pPr>
    </w:p>
    <w:p w14:paraId="136AB4EC" w14:textId="7FAB83E4" w:rsidR="00550936" w:rsidRDefault="00550936" w:rsidP="008F0FD6">
      <w:pPr>
        <w:jc w:val="both"/>
        <w:rPr>
          <w:rFonts w:ascii="Century Gothic" w:hAnsi="Century Gothic"/>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058C99FB" w14:textId="77777777" w:rsidTr="002350D5">
        <w:tc>
          <w:tcPr>
            <w:tcW w:w="4675" w:type="dxa"/>
          </w:tcPr>
          <w:p w14:paraId="3C03B96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LETICIA ORTEGA MÁYNEZ.</w:t>
            </w:r>
          </w:p>
          <w:p w14:paraId="418C7989" w14:textId="3E2FE5A0" w:rsidR="00550936" w:rsidRDefault="00550936" w:rsidP="008F0FD6">
            <w:pPr>
              <w:jc w:val="both"/>
              <w:rPr>
                <w:rFonts w:ascii="Century Gothic" w:hAnsi="Century Gothic"/>
                <w:sz w:val="28"/>
                <w:szCs w:val="28"/>
              </w:rPr>
            </w:pPr>
          </w:p>
          <w:p w14:paraId="4E89033D" w14:textId="77777777" w:rsidR="002350D5" w:rsidRDefault="002350D5" w:rsidP="008F0FD6">
            <w:pPr>
              <w:jc w:val="both"/>
              <w:rPr>
                <w:rFonts w:ascii="Century Gothic" w:hAnsi="Century Gothic"/>
                <w:sz w:val="28"/>
                <w:szCs w:val="28"/>
              </w:rPr>
            </w:pPr>
          </w:p>
          <w:p w14:paraId="62D2BE0A" w14:textId="02BDAC6D" w:rsidR="002350D5" w:rsidRDefault="002350D5" w:rsidP="008F0FD6">
            <w:pPr>
              <w:jc w:val="both"/>
              <w:rPr>
                <w:rFonts w:ascii="Century Gothic" w:hAnsi="Century Gothic"/>
                <w:sz w:val="28"/>
                <w:szCs w:val="28"/>
              </w:rPr>
            </w:pPr>
          </w:p>
        </w:tc>
        <w:tc>
          <w:tcPr>
            <w:tcW w:w="4675" w:type="dxa"/>
          </w:tcPr>
          <w:p w14:paraId="3483CB27"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MARÍA ANTONIETA PÉREZ REYES.</w:t>
            </w:r>
          </w:p>
          <w:p w14:paraId="49D1829D" w14:textId="77777777" w:rsidR="00550936" w:rsidRDefault="00550936" w:rsidP="008F0FD6">
            <w:pPr>
              <w:jc w:val="both"/>
              <w:rPr>
                <w:rFonts w:ascii="Century Gothic" w:hAnsi="Century Gothic"/>
                <w:sz w:val="28"/>
                <w:szCs w:val="28"/>
              </w:rPr>
            </w:pPr>
          </w:p>
        </w:tc>
      </w:tr>
      <w:tr w:rsidR="00550936" w14:paraId="49F77F9E" w14:textId="77777777" w:rsidTr="002350D5">
        <w:tc>
          <w:tcPr>
            <w:tcW w:w="4675" w:type="dxa"/>
          </w:tcPr>
          <w:p w14:paraId="339AE371"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ROSANA DÍAZ REYES.</w:t>
            </w:r>
          </w:p>
          <w:p w14:paraId="5D3973A2" w14:textId="77777777" w:rsidR="00550936" w:rsidRDefault="00550936" w:rsidP="008F0FD6">
            <w:pPr>
              <w:jc w:val="both"/>
              <w:rPr>
                <w:rFonts w:ascii="Century Gothic" w:hAnsi="Century Gothic"/>
                <w:sz w:val="28"/>
                <w:szCs w:val="28"/>
              </w:rPr>
            </w:pPr>
          </w:p>
          <w:p w14:paraId="632705D1" w14:textId="77777777" w:rsidR="002350D5" w:rsidRDefault="002350D5" w:rsidP="008F0FD6">
            <w:pPr>
              <w:jc w:val="both"/>
              <w:rPr>
                <w:rFonts w:ascii="Century Gothic" w:hAnsi="Century Gothic"/>
                <w:sz w:val="28"/>
                <w:szCs w:val="28"/>
              </w:rPr>
            </w:pPr>
          </w:p>
          <w:p w14:paraId="7DFBD698" w14:textId="0015E60C" w:rsidR="002350D5" w:rsidRDefault="002350D5" w:rsidP="008F0FD6">
            <w:pPr>
              <w:jc w:val="both"/>
              <w:rPr>
                <w:rFonts w:ascii="Century Gothic" w:hAnsi="Century Gothic"/>
                <w:sz w:val="28"/>
                <w:szCs w:val="28"/>
              </w:rPr>
            </w:pPr>
          </w:p>
        </w:tc>
        <w:tc>
          <w:tcPr>
            <w:tcW w:w="4675" w:type="dxa"/>
          </w:tcPr>
          <w:p w14:paraId="41649010" w14:textId="3EC0CBA5"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PEDRO TORRES ESTRADA</w:t>
            </w:r>
          </w:p>
        </w:tc>
      </w:tr>
      <w:tr w:rsidR="00550936" w14:paraId="29177679" w14:textId="77777777" w:rsidTr="002350D5">
        <w:tc>
          <w:tcPr>
            <w:tcW w:w="4675" w:type="dxa"/>
          </w:tcPr>
          <w:p w14:paraId="7F5F1A2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MAGDALENA RENTERÍA PÉREZ.</w:t>
            </w:r>
          </w:p>
          <w:p w14:paraId="6DF1333B" w14:textId="77777777" w:rsidR="00550936" w:rsidRDefault="00550936" w:rsidP="008F0FD6">
            <w:pPr>
              <w:jc w:val="both"/>
              <w:rPr>
                <w:rFonts w:ascii="Century Gothic" w:hAnsi="Century Gothic"/>
                <w:sz w:val="28"/>
                <w:szCs w:val="28"/>
              </w:rPr>
            </w:pPr>
          </w:p>
          <w:p w14:paraId="36E7A704" w14:textId="5947538C" w:rsidR="002350D5" w:rsidRDefault="002350D5" w:rsidP="008F0FD6">
            <w:pPr>
              <w:jc w:val="both"/>
              <w:rPr>
                <w:rFonts w:ascii="Century Gothic" w:hAnsi="Century Gothic"/>
                <w:sz w:val="28"/>
                <w:szCs w:val="28"/>
              </w:rPr>
            </w:pPr>
          </w:p>
        </w:tc>
        <w:tc>
          <w:tcPr>
            <w:tcW w:w="4675" w:type="dxa"/>
          </w:tcPr>
          <w:p w14:paraId="6FFF1D64" w14:textId="315B9FC0"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JAEL ARGÜELLES DÍAZ</w:t>
            </w:r>
          </w:p>
        </w:tc>
      </w:tr>
      <w:tr w:rsidR="00550936" w14:paraId="38AEF248" w14:textId="77777777" w:rsidTr="002350D5">
        <w:tc>
          <w:tcPr>
            <w:tcW w:w="4675" w:type="dxa"/>
          </w:tcPr>
          <w:p w14:paraId="0428BE3A" w14:textId="154A220E"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ÓSCAR DANIEL AVITIA ARELLANES</w:t>
            </w:r>
          </w:p>
        </w:tc>
        <w:tc>
          <w:tcPr>
            <w:tcW w:w="4675" w:type="dxa"/>
          </w:tcPr>
          <w:p w14:paraId="2A166860" w14:textId="52721C7E" w:rsidR="00550936" w:rsidRDefault="00DD6813"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9264" behindDoc="0" locked="0" layoutInCell="1" allowOverlap="1" wp14:anchorId="4A661D1A" wp14:editId="08FE8DB7">
                      <wp:simplePos x="0" y="0"/>
                      <wp:positionH relativeFrom="margin">
                        <wp:posOffset>-3037205</wp:posOffset>
                      </wp:positionH>
                      <wp:positionV relativeFrom="paragraph">
                        <wp:posOffset>552450</wp:posOffset>
                      </wp:positionV>
                      <wp:extent cx="6486525" cy="6477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6486525" cy="647700"/>
                              </a:xfrm>
                              <a:prstGeom prst="rect">
                                <a:avLst/>
                              </a:prstGeom>
                              <a:solidFill>
                                <a:schemeClr val="lt1"/>
                              </a:solidFill>
                              <a:ln w="6350">
                                <a:solidFill>
                                  <a:prstClr val="black"/>
                                </a:solidFill>
                              </a:ln>
                            </wps:spPr>
                            <wps:txbx>
                              <w:txbxContent>
                                <w:p w14:paraId="4A57CA01" w14:textId="13F66D55" w:rsidR="00475E1C" w:rsidRDefault="00475E1C" w:rsidP="001B0F25">
                                  <w:pPr>
                                    <w:jc w:val="both"/>
                                  </w:pPr>
                                  <w:r>
                                    <w:t xml:space="preserve">La presente hoja de firmas forma parte del </w:t>
                                  </w:r>
                                  <w:r w:rsidR="00B459D7" w:rsidRPr="00B459D7">
                                    <w:t xml:space="preserve">proyecto con carácter de DECRETO ante el H. Congreso del H. Congreso de la </w:t>
                                  </w:r>
                                  <w:proofErr w:type="gramStart"/>
                                  <w:r w:rsidR="00B459D7" w:rsidRPr="00B459D7">
                                    <w:t xml:space="preserve">Unión, </w:t>
                                  </w:r>
                                  <w:r w:rsidR="001B0F25">
                                    <w:t xml:space="preserve"> a</w:t>
                                  </w:r>
                                  <w:proofErr w:type="gramEnd"/>
                                  <w:r w:rsidR="001B0F25">
                                    <w:t xml:space="preserve"> fin de </w:t>
                                  </w:r>
                                  <w:r w:rsidR="001B0F25" w:rsidRPr="001B0F25">
                                    <w:t>reformar los artículos 134 y 138 de la Ley del Seguro Social en materia de lenguaje incluyente,  seguridad social y derechos laborales de las personas con discapacidad y neurodivergencia</w:t>
                                  </w:r>
                                  <w:r w:rsidR="001B0F2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61D1A" id="_x0000_t202" coordsize="21600,21600" o:spt="202" path="m,l,21600r21600,l21600,xe">
                      <v:stroke joinstyle="miter"/>
                      <v:path gradientshapeok="t" o:connecttype="rect"/>
                    </v:shapetype>
                    <v:shape id="Cuadro de texto 2" o:spid="_x0000_s1026" type="#_x0000_t202" style="position:absolute;left:0;text-align:left;margin-left:-239.15pt;margin-top:43.5pt;width:510.7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" fillcolor="white [3201]" strokeweight=".5pt">
                      <v:textbox>
                        <w:txbxContent>
                          <w:p w14:paraId="4A57CA01" w14:textId="13F66D55" w:rsidR="00475E1C" w:rsidRDefault="00475E1C" w:rsidP="001B0F25">
                            <w:pPr>
                              <w:jc w:val="both"/>
                            </w:pPr>
                            <w:r>
                              <w:t xml:space="preserve">La presente hoja de firmas forma parte del </w:t>
                            </w:r>
                            <w:r w:rsidR="00B459D7" w:rsidRPr="00B459D7">
                              <w:t xml:space="preserve">proyecto con carácter de DECRETO ante el H. Congreso del H. Congreso de la </w:t>
                            </w:r>
                            <w:proofErr w:type="gramStart"/>
                            <w:r w:rsidR="00B459D7" w:rsidRPr="00B459D7">
                              <w:t xml:space="preserve">Unión, </w:t>
                            </w:r>
                            <w:r w:rsidR="001B0F25">
                              <w:t xml:space="preserve"> a</w:t>
                            </w:r>
                            <w:proofErr w:type="gramEnd"/>
                            <w:r w:rsidR="001B0F25">
                              <w:t xml:space="preserve"> fin de </w:t>
                            </w:r>
                            <w:r w:rsidR="001B0F25" w:rsidRPr="001B0F25">
                              <w:t xml:space="preserve">reformar los artículos 134 y 138 de la Ley del Seguro Social en materia de lenguaje incluyente,  seguridad social y derechos laborales de las personas con discapacidad y </w:t>
                            </w:r>
                            <w:proofErr w:type="spellStart"/>
                            <w:r w:rsidR="001B0F25" w:rsidRPr="001B0F25">
                              <w:t>neurodivergencia</w:t>
                            </w:r>
                            <w:proofErr w:type="spellEnd"/>
                            <w:r w:rsidR="001B0F25">
                              <w:t>.</w:t>
                            </w:r>
                          </w:p>
                        </w:txbxContent>
                      </v:textbox>
                      <w10:wrap anchorx="margin"/>
                    </v:shape>
                  </w:pict>
                </mc:Fallback>
              </mc:AlternateContent>
            </w:r>
          </w:p>
        </w:tc>
      </w:tr>
    </w:tbl>
    <w:p w14:paraId="71EFD0F0" w14:textId="18676A9F" w:rsidR="00550936" w:rsidRPr="008F0FD6" w:rsidRDefault="00550936" w:rsidP="008F0FD6">
      <w:pPr>
        <w:jc w:val="both"/>
        <w:rPr>
          <w:rFonts w:ascii="Century Gothic" w:hAnsi="Century Gothic"/>
          <w:sz w:val="28"/>
          <w:szCs w:val="28"/>
        </w:rPr>
      </w:pPr>
    </w:p>
    <w:sectPr w:rsidR="00550936" w:rsidRPr="008F0FD6" w:rsidSect="00035E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D135" w14:textId="77777777" w:rsidR="00625F95" w:rsidRDefault="00625F95" w:rsidP="009326A5">
      <w:pPr>
        <w:spacing w:after="0" w:line="240" w:lineRule="auto"/>
      </w:pPr>
      <w:r>
        <w:separator/>
      </w:r>
    </w:p>
  </w:endnote>
  <w:endnote w:type="continuationSeparator" w:id="0">
    <w:p w14:paraId="19B94053" w14:textId="77777777" w:rsidR="00625F95" w:rsidRDefault="00625F95"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A19" w14:textId="77777777" w:rsidR="00467346" w:rsidRDefault="00467346" w:rsidP="009326A5">
    <w:pPr>
      <w:pStyle w:val="Piedepgina"/>
      <w:jc w:val="center"/>
      <w:rPr>
        <w:b/>
        <w:bCs/>
      </w:rPr>
    </w:pPr>
    <w:r>
      <w:rPr>
        <w:b/>
        <w:bCs/>
        <w:noProof/>
      </w:rPr>
      <mc:AlternateContent>
        <mc:Choice Requires="wps">
          <w:drawing>
            <wp:anchor distT="0" distB="0" distL="114300" distR="114300" simplePos="0" relativeHeight="251663360" behindDoc="0" locked="0" layoutInCell="1" allowOverlap="1" wp14:anchorId="313E3983" wp14:editId="3B3132D4">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CA808"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5BBD9830" w14:textId="6E5C4852" w:rsidR="009326A5" w:rsidRPr="00567567" w:rsidRDefault="009326A5" w:rsidP="009326A5">
    <w:pPr>
      <w:pStyle w:val="Piedepgina"/>
      <w:jc w:val="center"/>
      <w:rPr>
        <w:b/>
        <w:bCs/>
      </w:rPr>
    </w:pPr>
    <w:r w:rsidRPr="00567567">
      <w:rPr>
        <w:b/>
        <w:bCs/>
      </w:rPr>
      <w:t>“202</w:t>
    </w:r>
    <w:r w:rsidR="00CB1819">
      <w:rPr>
        <w:b/>
        <w:bCs/>
      </w:rPr>
      <w:t>5</w:t>
    </w:r>
    <w:r w:rsidRPr="00567567">
      <w:rPr>
        <w:b/>
        <w:bCs/>
      </w:rPr>
      <w:t xml:space="preserve">, Año del Bicentenario de la </w:t>
    </w:r>
    <w:r w:rsidR="00F371D5">
      <w:rPr>
        <w:b/>
        <w:bCs/>
      </w:rPr>
      <w:t>Primera Constitución</w:t>
    </w:r>
    <w:r w:rsidRPr="00567567">
      <w:rPr>
        <w:b/>
        <w:bCs/>
      </w:rPr>
      <w:t xml:space="preserve"> del Estado de Chihuahua”</w:t>
    </w:r>
  </w:p>
  <w:p w14:paraId="138451BE" w14:textId="77777777" w:rsidR="00475CEA" w:rsidRPr="00475CEA" w:rsidRDefault="00475CEA" w:rsidP="00475CEA">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sidR="006C6B4D">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56409381" w14:textId="77777777" w:rsidR="009326A5" w:rsidRDefault="00932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EA42" w14:textId="77777777" w:rsidR="00625F95" w:rsidRDefault="00625F95" w:rsidP="009326A5">
      <w:pPr>
        <w:spacing w:after="0" w:line="240" w:lineRule="auto"/>
      </w:pPr>
      <w:r>
        <w:separator/>
      </w:r>
    </w:p>
  </w:footnote>
  <w:footnote w:type="continuationSeparator" w:id="0">
    <w:p w14:paraId="06C62628" w14:textId="77777777" w:rsidR="00625F95" w:rsidRDefault="00625F95"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BC7948"/>
    <w:multiLevelType w:val="hybridMultilevel"/>
    <w:tmpl w:val="5524A5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35E39"/>
    <w:rsid w:val="00074EE4"/>
    <w:rsid w:val="000C16B4"/>
    <w:rsid w:val="000C51A5"/>
    <w:rsid w:val="00145FE6"/>
    <w:rsid w:val="001B0F25"/>
    <w:rsid w:val="001E42BE"/>
    <w:rsid w:val="001E730F"/>
    <w:rsid w:val="002350D5"/>
    <w:rsid w:val="00260021"/>
    <w:rsid w:val="00292BB1"/>
    <w:rsid w:val="002B5D1A"/>
    <w:rsid w:val="002D3521"/>
    <w:rsid w:val="00305C13"/>
    <w:rsid w:val="003B251E"/>
    <w:rsid w:val="003C59AA"/>
    <w:rsid w:val="003E2041"/>
    <w:rsid w:val="00427610"/>
    <w:rsid w:val="00467346"/>
    <w:rsid w:val="00475CEA"/>
    <w:rsid w:val="00475E1C"/>
    <w:rsid w:val="004E1F8B"/>
    <w:rsid w:val="00517712"/>
    <w:rsid w:val="00550936"/>
    <w:rsid w:val="005562D4"/>
    <w:rsid w:val="005D359B"/>
    <w:rsid w:val="00625F95"/>
    <w:rsid w:val="00631204"/>
    <w:rsid w:val="006953D0"/>
    <w:rsid w:val="006C6B4D"/>
    <w:rsid w:val="007C56A9"/>
    <w:rsid w:val="008177A6"/>
    <w:rsid w:val="00882BF3"/>
    <w:rsid w:val="008F0FD6"/>
    <w:rsid w:val="0092557F"/>
    <w:rsid w:val="009326A5"/>
    <w:rsid w:val="009B7AB3"/>
    <w:rsid w:val="009E3534"/>
    <w:rsid w:val="00A200B9"/>
    <w:rsid w:val="00A320F4"/>
    <w:rsid w:val="00A55F63"/>
    <w:rsid w:val="00B459D7"/>
    <w:rsid w:val="00B60555"/>
    <w:rsid w:val="00B81107"/>
    <w:rsid w:val="00BE4F87"/>
    <w:rsid w:val="00CB1819"/>
    <w:rsid w:val="00CD6564"/>
    <w:rsid w:val="00D2738C"/>
    <w:rsid w:val="00DA2F80"/>
    <w:rsid w:val="00DD6813"/>
    <w:rsid w:val="00E531BB"/>
    <w:rsid w:val="00EB7A51"/>
    <w:rsid w:val="00ED1DCF"/>
    <w:rsid w:val="00EF1875"/>
    <w:rsid w:val="00F371D5"/>
    <w:rsid w:val="00F6320E"/>
    <w:rsid w:val="00FC3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1A5"/>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Andrea Daniela Flores Chacon</cp:lastModifiedBy>
  <cp:revision>2</cp:revision>
  <cp:lastPrinted>2025-03-31T16:40:00Z</cp:lastPrinted>
  <dcterms:created xsi:type="dcterms:W3CDTF">2025-04-28T20:27:00Z</dcterms:created>
  <dcterms:modified xsi:type="dcterms:W3CDTF">2025-04-28T20:27:00Z</dcterms:modified>
</cp:coreProperties>
</file>