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5A655BCF" w14:textId="77777777" w:rsidR="006C6B4D" w:rsidRPr="008F0FD6" w:rsidRDefault="006C6B4D" w:rsidP="008F0FD6">
      <w:pPr>
        <w:jc w:val="both"/>
        <w:rPr>
          <w:rFonts w:ascii="Century Gothic" w:hAnsi="Century Gothic"/>
          <w:b/>
          <w:sz w:val="28"/>
          <w:szCs w:val="28"/>
        </w:rPr>
      </w:pPr>
      <w:r w:rsidRPr="008F0FD6">
        <w:rPr>
          <w:rFonts w:ascii="Century Gothic" w:hAnsi="Century Gothic"/>
          <w:b/>
          <w:sz w:val="28"/>
          <w:szCs w:val="28"/>
        </w:rPr>
        <w:t xml:space="preserve">H. CONGRESO DEL ESTADO DE CHIHUAHUA </w:t>
      </w:r>
    </w:p>
    <w:p w14:paraId="7D8003FD" w14:textId="77777777" w:rsidR="006C6B4D" w:rsidRPr="008F0FD6" w:rsidRDefault="006C6B4D" w:rsidP="008F0FD6">
      <w:pPr>
        <w:jc w:val="both"/>
        <w:rPr>
          <w:rFonts w:ascii="Century Gothic" w:hAnsi="Century Gothic"/>
          <w:b/>
          <w:sz w:val="28"/>
          <w:szCs w:val="28"/>
        </w:rPr>
      </w:pPr>
      <w:proofErr w:type="gramStart"/>
      <w:r w:rsidRPr="008F0FD6">
        <w:rPr>
          <w:rFonts w:ascii="Century Gothic" w:hAnsi="Century Gothic"/>
          <w:b/>
          <w:sz w:val="28"/>
          <w:szCs w:val="28"/>
        </w:rPr>
        <w:t>PRESENTE.-</w:t>
      </w:r>
      <w:proofErr w:type="gramEnd"/>
    </w:p>
    <w:p w14:paraId="23A1F6DF" w14:textId="0F03CA52" w:rsidR="00292BB1" w:rsidRDefault="006C6B4D" w:rsidP="008F0FD6">
      <w:pPr>
        <w:jc w:val="both"/>
        <w:rPr>
          <w:rFonts w:ascii="Century Gothic" w:hAnsi="Century Gothic"/>
          <w:sz w:val="28"/>
          <w:szCs w:val="28"/>
        </w:rPr>
      </w:pPr>
      <w:r w:rsidRPr="008F0FD6">
        <w:rPr>
          <w:rFonts w:ascii="Century Gothic" w:hAnsi="Century Gothic"/>
          <w:sz w:val="28"/>
          <w:szCs w:val="28"/>
        </w:rPr>
        <w:t xml:space="preserve">Los suscritos en nuestro carácter de diputadas y diputados de la </w:t>
      </w:r>
      <w:r w:rsidRPr="005562D4">
        <w:rPr>
          <w:rFonts w:ascii="Century Gothic" w:hAnsi="Century Gothic"/>
          <w:b/>
          <w:sz w:val="28"/>
          <w:szCs w:val="28"/>
        </w:rPr>
        <w:t>Sexagésima Octava Legislatura de H. Congreso del Estado de Chihuahua</w:t>
      </w:r>
      <w:r w:rsidRPr="008F0FD6">
        <w:rPr>
          <w:rFonts w:ascii="Century Gothic" w:hAnsi="Century Gothic"/>
          <w:sz w:val="28"/>
          <w:szCs w:val="28"/>
        </w:rPr>
        <w:t xml:space="preserve"> integrantes del Grupo Parlamentario de </w:t>
      </w:r>
      <w:r w:rsidRPr="005562D4">
        <w:rPr>
          <w:rFonts w:ascii="Century Gothic" w:hAnsi="Century Gothic"/>
          <w:b/>
          <w:sz w:val="28"/>
          <w:szCs w:val="28"/>
        </w:rPr>
        <w:t>MORENA</w:t>
      </w:r>
      <w:r w:rsidRPr="008F0FD6">
        <w:rPr>
          <w:rFonts w:ascii="Century Gothic" w:hAnsi="Century Gothic"/>
          <w:sz w:val="28"/>
          <w:szCs w:val="28"/>
        </w:rPr>
        <w:t xml:space="preserve"> con fundamento en </w:t>
      </w:r>
      <w:r w:rsidRPr="008F0FD6">
        <w:rPr>
          <w:rFonts w:ascii="Century Gothic" w:hAnsi="Century Gothic"/>
          <w:color w:val="000000"/>
          <w:sz w:val="28"/>
          <w:szCs w:val="28"/>
        </w:rPr>
        <w:t xml:space="preserve">lo dispuesto por los artículos 167 fracción I, 168 de la Ley Orgánica del Poder Legislativo; 75 y 77 del Reglamento Interior de Prácticas Parlamentarias del Poder Legislativo; todos ordenamientos del Estado de Chihuahua, comparecemos </w:t>
      </w:r>
      <w:r w:rsidRPr="008F0FD6">
        <w:rPr>
          <w:rFonts w:ascii="Century Gothic" w:hAnsi="Century Gothic"/>
          <w:sz w:val="28"/>
          <w:szCs w:val="28"/>
        </w:rPr>
        <w:t xml:space="preserve">ante esta Soberanía, a fin de someter a consideración del Pleno el siguiente proyecto con carácter de </w:t>
      </w:r>
      <w:r w:rsidRPr="005562D4">
        <w:rPr>
          <w:rFonts w:ascii="Century Gothic" w:hAnsi="Century Gothic"/>
          <w:b/>
          <w:sz w:val="28"/>
          <w:szCs w:val="28"/>
        </w:rPr>
        <w:t>DECRETO</w:t>
      </w:r>
      <w:r w:rsidRPr="008F0FD6">
        <w:rPr>
          <w:rFonts w:ascii="Century Gothic" w:hAnsi="Century Gothic"/>
          <w:sz w:val="28"/>
          <w:szCs w:val="28"/>
        </w:rPr>
        <w:t xml:space="preserve">, </w:t>
      </w:r>
      <w:r w:rsidR="00427610">
        <w:rPr>
          <w:rFonts w:ascii="Century Gothic" w:hAnsi="Century Gothic"/>
          <w:sz w:val="28"/>
          <w:szCs w:val="28"/>
        </w:rPr>
        <w:t xml:space="preserve">a fin de </w:t>
      </w:r>
      <w:r w:rsidR="00224F92">
        <w:rPr>
          <w:rFonts w:ascii="Century Gothic" w:hAnsi="Century Gothic"/>
          <w:sz w:val="28"/>
          <w:szCs w:val="28"/>
        </w:rPr>
        <w:t>reformar</w:t>
      </w:r>
      <w:r w:rsidR="00427610">
        <w:rPr>
          <w:rFonts w:ascii="Century Gothic" w:hAnsi="Century Gothic"/>
          <w:sz w:val="28"/>
          <w:szCs w:val="28"/>
        </w:rPr>
        <w:t xml:space="preserve"> </w:t>
      </w:r>
      <w:r w:rsidR="00C91B8C">
        <w:rPr>
          <w:rFonts w:ascii="Century Gothic" w:hAnsi="Century Gothic" w:cs="Arial"/>
          <w:sz w:val="28"/>
          <w:szCs w:val="28"/>
        </w:rPr>
        <w:t xml:space="preserve">diversos </w:t>
      </w:r>
      <w:r w:rsidR="00C91B8C" w:rsidRPr="008F0FD6">
        <w:rPr>
          <w:rFonts w:ascii="Century Gothic" w:hAnsi="Century Gothic" w:cs="Arial"/>
          <w:sz w:val="28"/>
          <w:szCs w:val="28"/>
        </w:rPr>
        <w:t>artículo</w:t>
      </w:r>
      <w:r w:rsidR="00C91B8C">
        <w:rPr>
          <w:rFonts w:ascii="Century Gothic" w:hAnsi="Century Gothic" w:cs="Arial"/>
          <w:sz w:val="28"/>
          <w:szCs w:val="28"/>
        </w:rPr>
        <w:t>s</w:t>
      </w:r>
      <w:r w:rsidR="00C91B8C" w:rsidRPr="008F0FD6">
        <w:rPr>
          <w:rFonts w:ascii="Century Gothic" w:hAnsi="Century Gothic" w:cs="Arial"/>
          <w:sz w:val="28"/>
          <w:szCs w:val="28"/>
        </w:rPr>
        <w:t xml:space="preserve"> </w:t>
      </w:r>
      <w:r w:rsidR="00C91B8C">
        <w:rPr>
          <w:rFonts w:ascii="Century Gothic" w:hAnsi="Century Gothic" w:cs="Arial"/>
          <w:sz w:val="28"/>
          <w:szCs w:val="28"/>
        </w:rPr>
        <w:t>del Código Penal del Estado de Chihuahua</w:t>
      </w:r>
      <w:r w:rsidR="007C4A86">
        <w:rPr>
          <w:rFonts w:ascii="Century Gothic" w:hAnsi="Century Gothic" w:cs="Arial"/>
          <w:sz w:val="28"/>
          <w:szCs w:val="28"/>
        </w:rPr>
        <w:t xml:space="preserve"> para actualizarlos con el lenguaje incluyente adecuado,</w:t>
      </w:r>
      <w:r w:rsidR="00C91B8C">
        <w:rPr>
          <w:rFonts w:ascii="Century Gothic" w:hAnsi="Century Gothic" w:cs="Arial"/>
          <w:sz w:val="28"/>
          <w:szCs w:val="28"/>
        </w:rPr>
        <w:t xml:space="preserve"> </w:t>
      </w:r>
      <w:r w:rsidRPr="008F0FD6">
        <w:rPr>
          <w:rFonts w:ascii="Century Gothic" w:hAnsi="Century Gothic"/>
          <w:sz w:val="28"/>
          <w:szCs w:val="28"/>
        </w:rPr>
        <w:t>con sustento en la siguiente:</w:t>
      </w:r>
    </w:p>
    <w:p w14:paraId="541106C4" w14:textId="6A7EF5A0" w:rsidR="006C6B4D" w:rsidRPr="005562D4" w:rsidRDefault="006C6B4D" w:rsidP="008F0FD6">
      <w:pPr>
        <w:jc w:val="both"/>
        <w:rPr>
          <w:rFonts w:ascii="Century Gothic" w:hAnsi="Century Gothic"/>
          <w:sz w:val="28"/>
          <w:szCs w:val="28"/>
        </w:rPr>
      </w:pPr>
      <w:r w:rsidRPr="008F0FD6">
        <w:rPr>
          <w:rFonts w:ascii="Century Gothic" w:hAnsi="Century Gothic"/>
          <w:sz w:val="28"/>
          <w:szCs w:val="28"/>
        </w:rPr>
        <w:t xml:space="preserve"> </w:t>
      </w:r>
    </w:p>
    <w:p w14:paraId="2C3D5D14" w14:textId="77777777" w:rsidR="006C6B4D" w:rsidRPr="005470CB" w:rsidRDefault="006C6B4D" w:rsidP="005562D4">
      <w:pPr>
        <w:jc w:val="center"/>
        <w:rPr>
          <w:rFonts w:ascii="Century Gothic" w:hAnsi="Century Gothic" w:cs="Arial"/>
          <w:b/>
          <w:sz w:val="28"/>
          <w:szCs w:val="28"/>
        </w:rPr>
      </w:pPr>
      <w:r w:rsidRPr="005470CB">
        <w:rPr>
          <w:rFonts w:ascii="Century Gothic" w:hAnsi="Century Gothic" w:cs="Arial"/>
          <w:b/>
          <w:sz w:val="28"/>
          <w:szCs w:val="28"/>
        </w:rPr>
        <w:t>EXPOSICIÓN DE MOTIVOS</w:t>
      </w:r>
    </w:p>
    <w:p w14:paraId="29047AC3" w14:textId="633BDD5B" w:rsidR="00601F6E" w:rsidRDefault="00BC57C3" w:rsidP="00BC57C3">
      <w:pPr>
        <w:jc w:val="both"/>
        <w:rPr>
          <w:rFonts w:ascii="Century Gothic" w:hAnsi="Century Gothic" w:cs="Arial"/>
          <w:sz w:val="28"/>
          <w:szCs w:val="28"/>
        </w:rPr>
      </w:pPr>
      <w:r w:rsidRPr="005470CB">
        <w:rPr>
          <w:rFonts w:ascii="Century Gothic" w:hAnsi="Century Gothic" w:cs="Arial"/>
          <w:sz w:val="28"/>
          <w:szCs w:val="28"/>
        </w:rPr>
        <w:t>Como legisladores tenemos la responsabilidad de promover leyes que sean progresistas y con visión derecho humanista, para ello es fundamental eliminar de nuestros ordenamientos jurídicos aquellos términos discriminatorios que se utilizan para referirse a las personas con discapacidad. Asimismo, es necesario incluir de manera explícita a los niños, niñas, adolescentes, jóvenes y adultos diagnosticados por especialistas con neurodivergencia —aquellas cuyo funcionamiento neurológico difiere del estándar predominante, como ocurre en el autismo, TDAH, dislexia, entre otros</w:t>
      </w:r>
      <w:proofErr w:type="gramStart"/>
      <w:r w:rsidRPr="005470CB">
        <w:rPr>
          <w:rFonts w:ascii="Century Gothic" w:hAnsi="Century Gothic" w:cs="Arial"/>
          <w:sz w:val="28"/>
          <w:szCs w:val="28"/>
        </w:rPr>
        <w:t xml:space="preserve">— </w:t>
      </w:r>
      <w:r w:rsidR="0091098D">
        <w:rPr>
          <w:rFonts w:ascii="Century Gothic" w:hAnsi="Century Gothic" w:cs="Arial"/>
          <w:sz w:val="28"/>
          <w:szCs w:val="28"/>
        </w:rPr>
        <w:t xml:space="preserve"> que</w:t>
      </w:r>
      <w:proofErr w:type="gramEnd"/>
      <w:r w:rsidR="0091098D">
        <w:rPr>
          <w:rFonts w:ascii="Century Gothic" w:hAnsi="Century Gothic" w:cs="Arial"/>
          <w:sz w:val="28"/>
          <w:szCs w:val="28"/>
        </w:rPr>
        <w:t xml:space="preserve"> </w:t>
      </w:r>
      <w:r w:rsidRPr="005470CB">
        <w:rPr>
          <w:rFonts w:ascii="Century Gothic" w:hAnsi="Century Gothic" w:cs="Arial"/>
          <w:sz w:val="28"/>
          <w:szCs w:val="28"/>
        </w:rPr>
        <w:t xml:space="preserve">enfrentan barreras estructurales, </w:t>
      </w:r>
    </w:p>
    <w:p w14:paraId="2BB8117E" w14:textId="77777777" w:rsidR="00224F92" w:rsidRDefault="00224F92" w:rsidP="00BC57C3">
      <w:pPr>
        <w:jc w:val="both"/>
        <w:rPr>
          <w:rFonts w:ascii="Century Gothic" w:hAnsi="Century Gothic" w:cs="Arial"/>
          <w:sz w:val="28"/>
          <w:szCs w:val="28"/>
        </w:rPr>
      </w:pPr>
    </w:p>
    <w:p w14:paraId="220241BD" w14:textId="4AD014BA" w:rsidR="00BC57C3" w:rsidRPr="005470CB" w:rsidRDefault="00BC57C3" w:rsidP="00BC57C3">
      <w:pPr>
        <w:jc w:val="both"/>
        <w:rPr>
          <w:rFonts w:ascii="Century Gothic" w:hAnsi="Century Gothic" w:cs="Arial"/>
          <w:sz w:val="28"/>
          <w:szCs w:val="28"/>
        </w:rPr>
      </w:pPr>
      <w:r w:rsidRPr="005470CB">
        <w:rPr>
          <w:rFonts w:ascii="Century Gothic" w:hAnsi="Century Gothic" w:cs="Arial"/>
          <w:sz w:val="28"/>
          <w:szCs w:val="28"/>
        </w:rPr>
        <w:t xml:space="preserve">sociales y actitudinales que limitan su plena participación en igualdad de condiciones en la sociedad.  </w:t>
      </w:r>
    </w:p>
    <w:p w14:paraId="4BA0C59A" w14:textId="77777777" w:rsidR="00BC57C3" w:rsidRPr="005470CB" w:rsidRDefault="00BC57C3" w:rsidP="00BC57C3">
      <w:pPr>
        <w:jc w:val="both"/>
        <w:rPr>
          <w:rFonts w:ascii="Century Gothic" w:hAnsi="Century Gothic" w:cs="Arial"/>
          <w:sz w:val="28"/>
          <w:szCs w:val="28"/>
        </w:rPr>
      </w:pPr>
      <w:r w:rsidRPr="005470CB">
        <w:rPr>
          <w:rFonts w:ascii="Century Gothic" w:hAnsi="Century Gothic" w:cs="Arial"/>
          <w:sz w:val="28"/>
          <w:szCs w:val="28"/>
        </w:rPr>
        <w:t xml:space="preserve">En diversas legislaciones, como el Código Penal del Estado de Chihuahua se siguen usando términos discriminatorios como que se centran en deficiencias, además de no encontrarse armonizados con los lineamientos internacionales en materia de derechos humanos.  Es indispensable actualizarlos y adoptar un lenguaje que se enfoque en las capacidades y el funcionamiento de las personas, El principio de </w:t>
      </w:r>
      <w:r w:rsidRPr="005470CB">
        <w:rPr>
          <w:rFonts w:ascii="Century Gothic" w:hAnsi="Century Gothic" w:cs="Arial"/>
          <w:b/>
          <w:bCs/>
          <w:sz w:val="28"/>
          <w:szCs w:val="28"/>
        </w:rPr>
        <w:t>igualdad sustantiva</w:t>
      </w:r>
      <w:r w:rsidRPr="005470CB">
        <w:rPr>
          <w:rFonts w:ascii="Century Gothic" w:hAnsi="Century Gothic" w:cs="Arial"/>
          <w:sz w:val="28"/>
          <w:szCs w:val="28"/>
        </w:rPr>
        <w:t xml:space="preserve"> implica no solo tratar a todos por igual, sino hablar y reconocer las diferencias individuales y actuar para garantizar que todas las personas puedan ejercer sus derechos en condiciones equitativas.</w:t>
      </w:r>
    </w:p>
    <w:p w14:paraId="71C98BE5" w14:textId="28D1221C" w:rsidR="00BC57C3" w:rsidRPr="005470CB" w:rsidRDefault="00BC57C3" w:rsidP="00BC57C3">
      <w:pPr>
        <w:jc w:val="both"/>
        <w:rPr>
          <w:rFonts w:ascii="Century Gothic" w:hAnsi="Century Gothic" w:cs="Arial"/>
          <w:sz w:val="28"/>
          <w:szCs w:val="28"/>
        </w:rPr>
      </w:pPr>
      <w:r w:rsidRPr="005470CB">
        <w:rPr>
          <w:rFonts w:ascii="Century Gothic" w:hAnsi="Century Gothic" w:cs="Arial"/>
          <w:sz w:val="28"/>
          <w:szCs w:val="28"/>
        </w:rPr>
        <w:t>Esta reforma buscar erradicar el texto “persona que no tenga la capacidad de comprender el significado del hecho” por ser una expresión completamente discriminatoria</w:t>
      </w:r>
      <w:r w:rsidR="002B3096">
        <w:rPr>
          <w:rFonts w:ascii="Century Gothic" w:hAnsi="Century Gothic" w:cs="Arial"/>
          <w:sz w:val="28"/>
          <w:szCs w:val="28"/>
        </w:rPr>
        <w:t>.</w:t>
      </w:r>
      <w:r w:rsidRPr="005470CB">
        <w:rPr>
          <w:rFonts w:ascii="Century Gothic" w:hAnsi="Century Gothic" w:cs="Arial"/>
          <w:sz w:val="28"/>
          <w:szCs w:val="28"/>
        </w:rPr>
        <w:t xml:space="preserve"> </w:t>
      </w:r>
      <w:r w:rsidR="002B3096">
        <w:rPr>
          <w:rFonts w:ascii="Century Gothic" w:hAnsi="Century Gothic" w:cs="Arial"/>
          <w:sz w:val="28"/>
          <w:szCs w:val="28"/>
        </w:rPr>
        <w:t>E</w:t>
      </w:r>
      <w:r w:rsidRPr="005470CB">
        <w:rPr>
          <w:rFonts w:ascii="Century Gothic" w:hAnsi="Century Gothic" w:cs="Arial"/>
          <w:sz w:val="28"/>
          <w:szCs w:val="28"/>
        </w:rPr>
        <w:t>xpresiones como esta suponen erróneamente que algunas personas “carecen” de toda capacidad para comprender lo que ocurre a su alrededor, lo que contribuye a su exclusión y vulneración de derechos. Si bien es necesario mantener protección especial para personas en situación de vulnerabilidad, con ello y de acuerdo con la transición de la normatividad, no debemos hacerlo desde una perspectiva que niegue sus capacidades.</w:t>
      </w:r>
    </w:p>
    <w:p w14:paraId="6D7038F3" w14:textId="77777777" w:rsidR="0038490E" w:rsidRDefault="00BC57C3" w:rsidP="00BC57C3">
      <w:pPr>
        <w:jc w:val="both"/>
        <w:rPr>
          <w:rFonts w:ascii="Century Gothic" w:hAnsi="Century Gothic" w:cs="Arial"/>
          <w:sz w:val="28"/>
          <w:szCs w:val="28"/>
        </w:rPr>
      </w:pPr>
      <w:r w:rsidRPr="005470CB">
        <w:rPr>
          <w:rFonts w:ascii="Century Gothic" w:hAnsi="Century Gothic" w:cs="Arial"/>
          <w:sz w:val="28"/>
          <w:szCs w:val="28"/>
        </w:rPr>
        <w:t xml:space="preserve">La SCJN ha determinado en tesis con </w:t>
      </w:r>
      <w:r w:rsidR="00F4492B" w:rsidRPr="005470CB">
        <w:rPr>
          <w:rFonts w:ascii="Century Gothic" w:hAnsi="Century Gothic" w:cs="Arial"/>
          <w:sz w:val="28"/>
          <w:szCs w:val="28"/>
        </w:rPr>
        <w:t>número</w:t>
      </w:r>
      <w:r w:rsidRPr="005470CB">
        <w:rPr>
          <w:rFonts w:ascii="Century Gothic" w:hAnsi="Century Gothic" w:cs="Arial"/>
          <w:sz w:val="28"/>
          <w:szCs w:val="28"/>
        </w:rPr>
        <w:t xml:space="preserve"> de registro digital 2027207, que la porción normativa "... o de personas que no tengan la capacidad de comprender el significado del hecho ...", es inconstitucional y contrario al modelo social de discapacidad, es un lenguaje discriminatorio y estigmatizante, al negar el reconocimiento de la capacidad jurídica de las personas con discapacidad en </w:t>
      </w:r>
    </w:p>
    <w:p w14:paraId="5E9C2D5D" w14:textId="77777777" w:rsidR="0038490E" w:rsidRDefault="0038490E" w:rsidP="00BC57C3">
      <w:pPr>
        <w:jc w:val="both"/>
        <w:rPr>
          <w:rFonts w:ascii="Century Gothic" w:hAnsi="Century Gothic" w:cs="Arial"/>
          <w:sz w:val="28"/>
          <w:szCs w:val="28"/>
        </w:rPr>
      </w:pPr>
    </w:p>
    <w:p w14:paraId="5C08C00F" w14:textId="0545B778" w:rsidR="00BC57C3" w:rsidRPr="005470CB" w:rsidRDefault="00BC57C3" w:rsidP="00BC57C3">
      <w:pPr>
        <w:jc w:val="both"/>
        <w:rPr>
          <w:rFonts w:ascii="Century Gothic" w:hAnsi="Century Gothic" w:cs="Arial"/>
          <w:sz w:val="28"/>
          <w:szCs w:val="28"/>
        </w:rPr>
      </w:pPr>
      <w:r w:rsidRPr="005470CB">
        <w:rPr>
          <w:rFonts w:ascii="Century Gothic" w:hAnsi="Century Gothic" w:cs="Arial"/>
          <w:sz w:val="28"/>
          <w:szCs w:val="28"/>
        </w:rPr>
        <w:t>igualdad de condiciones que con las demás personas y porque genera la idea de que a la discapacidad la persona no se pueda gobernar, obligar o manifestar su voluntad en una forma autónoma. Expresiones como "enfermos mentales", "trastorno mental" o "personas que no tienen la capacidad para comprender el significado del hecho" son claros ejemplos de regulaciones discriminatorias, que no utilizan un lenguaje adecuado para referirse a las personas con discapacidad.</w:t>
      </w:r>
    </w:p>
    <w:p w14:paraId="2B2AA47A" w14:textId="163B0E18" w:rsidR="00BC57C3" w:rsidRPr="0038490E" w:rsidRDefault="00BC57C3" w:rsidP="00DD0FA9">
      <w:pPr>
        <w:jc w:val="both"/>
        <w:rPr>
          <w:rFonts w:ascii="Century Gothic" w:hAnsi="Century Gothic" w:cs="Arial"/>
          <w:sz w:val="28"/>
          <w:szCs w:val="28"/>
        </w:rPr>
      </w:pPr>
      <w:r w:rsidRPr="005470CB">
        <w:rPr>
          <w:rFonts w:ascii="Century Gothic" w:hAnsi="Century Gothic" w:cs="Arial"/>
          <w:sz w:val="28"/>
          <w:szCs w:val="28"/>
        </w:rPr>
        <w:t xml:space="preserve">Aunado a lo anterior expuesto, la redacción de las leyes debe ser clara y precisa, para evitar interpretaciones </w:t>
      </w:r>
      <w:r w:rsidR="003F2B02">
        <w:rPr>
          <w:rFonts w:ascii="Century Gothic" w:hAnsi="Century Gothic" w:cs="Arial"/>
          <w:sz w:val="28"/>
          <w:szCs w:val="28"/>
        </w:rPr>
        <w:t xml:space="preserve">subjetivas </w:t>
      </w:r>
      <w:r w:rsidRPr="005470CB">
        <w:rPr>
          <w:rFonts w:ascii="Century Gothic" w:hAnsi="Century Gothic" w:cs="Arial"/>
          <w:sz w:val="28"/>
          <w:szCs w:val="28"/>
        </w:rPr>
        <w:t xml:space="preserve">que excluyan a personas en situación de vulnerabilidad de la protección prioritaria del Estado. Nuestro compromiso debe ser construir un marco legal </w:t>
      </w:r>
      <w:r w:rsidR="003F2B02">
        <w:rPr>
          <w:rFonts w:ascii="Century Gothic" w:hAnsi="Century Gothic" w:cs="Arial"/>
          <w:sz w:val="28"/>
          <w:szCs w:val="28"/>
        </w:rPr>
        <w:t xml:space="preserve">actualizado, </w:t>
      </w:r>
      <w:r w:rsidRPr="005470CB">
        <w:rPr>
          <w:rFonts w:ascii="Century Gothic" w:hAnsi="Century Gothic" w:cs="Arial"/>
          <w:sz w:val="28"/>
          <w:szCs w:val="28"/>
        </w:rPr>
        <w:t>inclusivo, respetuoso y que garantice el ejercicio pleno de los derechos para todas y todos.</w:t>
      </w:r>
    </w:p>
    <w:p w14:paraId="5F6AFDA6" w14:textId="62AB2A06" w:rsidR="00292BB1" w:rsidRPr="008F0FD6" w:rsidRDefault="006C6B4D" w:rsidP="008F0FD6">
      <w:pPr>
        <w:jc w:val="both"/>
        <w:rPr>
          <w:rFonts w:ascii="Century Gothic" w:hAnsi="Century Gothic"/>
          <w:sz w:val="28"/>
          <w:szCs w:val="28"/>
        </w:rPr>
      </w:pPr>
      <w:r w:rsidRPr="008F0FD6">
        <w:rPr>
          <w:rFonts w:ascii="Century Gothic" w:hAnsi="Century Gothic"/>
          <w:sz w:val="28"/>
          <w:szCs w:val="28"/>
        </w:rPr>
        <w:t>Por lo anteriormente expuesto nos permitimos poner a consideración del Pleno el siguiente:</w:t>
      </w:r>
    </w:p>
    <w:p w14:paraId="362BAC8C" w14:textId="3EA39F8D" w:rsidR="00292BB1" w:rsidRPr="005562D4" w:rsidRDefault="006C6B4D" w:rsidP="0038490E">
      <w:pPr>
        <w:jc w:val="center"/>
        <w:rPr>
          <w:rFonts w:ascii="Century Gothic" w:hAnsi="Century Gothic" w:cs="Arial"/>
          <w:b/>
          <w:sz w:val="28"/>
          <w:szCs w:val="28"/>
        </w:rPr>
      </w:pPr>
      <w:r w:rsidRPr="005562D4">
        <w:rPr>
          <w:rFonts w:ascii="Century Gothic" w:hAnsi="Century Gothic" w:cs="Arial"/>
          <w:b/>
          <w:sz w:val="28"/>
          <w:szCs w:val="28"/>
        </w:rPr>
        <w:t>DECRETO</w:t>
      </w:r>
      <w:r w:rsidR="0038490E">
        <w:rPr>
          <w:rFonts w:ascii="Century Gothic" w:hAnsi="Century Gothic" w:cs="Arial"/>
          <w:b/>
          <w:sz w:val="28"/>
          <w:szCs w:val="28"/>
        </w:rPr>
        <w:t>.</w:t>
      </w:r>
    </w:p>
    <w:p w14:paraId="1C7E9CCE" w14:textId="449F2702" w:rsidR="006C6B4D" w:rsidRPr="008F0FD6" w:rsidRDefault="006C6B4D" w:rsidP="00373896">
      <w:pPr>
        <w:jc w:val="both"/>
        <w:rPr>
          <w:rFonts w:ascii="Century Gothic" w:hAnsi="Century Gothic" w:cs="Arial"/>
          <w:sz w:val="28"/>
          <w:szCs w:val="28"/>
        </w:rPr>
      </w:pPr>
      <w:r w:rsidRPr="005562D4">
        <w:rPr>
          <w:rFonts w:ascii="Century Gothic" w:hAnsi="Century Gothic" w:cs="Arial"/>
          <w:b/>
          <w:sz w:val="28"/>
          <w:szCs w:val="28"/>
        </w:rPr>
        <w:t>ARTÍCULO ÚNICO.</w:t>
      </w:r>
      <w:r w:rsidRPr="008F0FD6">
        <w:rPr>
          <w:rFonts w:ascii="Century Gothic" w:hAnsi="Century Gothic" w:cs="Arial"/>
          <w:sz w:val="28"/>
          <w:szCs w:val="28"/>
        </w:rPr>
        <w:t xml:space="preserve"> Se </w:t>
      </w:r>
      <w:r w:rsidR="0038490E">
        <w:rPr>
          <w:rFonts w:ascii="Century Gothic" w:hAnsi="Century Gothic" w:cs="Arial"/>
          <w:sz w:val="28"/>
          <w:szCs w:val="28"/>
        </w:rPr>
        <w:t>reforman los</w:t>
      </w:r>
      <w:r w:rsidRPr="008F0FD6">
        <w:rPr>
          <w:rFonts w:ascii="Century Gothic" w:hAnsi="Century Gothic" w:cs="Arial"/>
          <w:sz w:val="28"/>
          <w:szCs w:val="28"/>
        </w:rPr>
        <w:t xml:space="preserve"> artículo</w:t>
      </w:r>
      <w:r w:rsidR="0038490E">
        <w:rPr>
          <w:rFonts w:ascii="Century Gothic" w:hAnsi="Century Gothic" w:cs="Arial"/>
          <w:sz w:val="28"/>
          <w:szCs w:val="28"/>
        </w:rPr>
        <w:t>s</w:t>
      </w:r>
      <w:r w:rsidR="00E02A33">
        <w:rPr>
          <w:rFonts w:ascii="Century Gothic" w:hAnsi="Century Gothic" w:cs="Arial"/>
          <w:sz w:val="28"/>
          <w:szCs w:val="28"/>
        </w:rPr>
        <w:t xml:space="preserve"> 43 Ter</w:t>
      </w:r>
      <w:r w:rsidR="00312FA1">
        <w:rPr>
          <w:rFonts w:ascii="Century Gothic" w:hAnsi="Century Gothic" w:cs="Arial"/>
          <w:sz w:val="28"/>
          <w:szCs w:val="28"/>
        </w:rPr>
        <w:t xml:space="preserve"> fracción </w:t>
      </w:r>
      <w:r w:rsidR="00673440">
        <w:rPr>
          <w:rFonts w:ascii="Century Gothic" w:hAnsi="Century Gothic" w:cs="Arial"/>
          <w:sz w:val="28"/>
          <w:szCs w:val="28"/>
        </w:rPr>
        <w:t>I</w:t>
      </w:r>
      <w:r w:rsidR="00312FA1">
        <w:rPr>
          <w:rFonts w:ascii="Century Gothic" w:hAnsi="Century Gothic" w:cs="Arial"/>
          <w:sz w:val="28"/>
          <w:szCs w:val="28"/>
        </w:rPr>
        <w:t>V</w:t>
      </w:r>
      <w:r w:rsidR="00E02A33">
        <w:rPr>
          <w:rFonts w:ascii="Century Gothic" w:hAnsi="Century Gothic" w:cs="Arial"/>
          <w:sz w:val="28"/>
          <w:szCs w:val="28"/>
        </w:rPr>
        <w:t>, 136</w:t>
      </w:r>
      <w:r w:rsidR="00312FA1">
        <w:rPr>
          <w:rFonts w:ascii="Century Gothic" w:hAnsi="Century Gothic" w:cs="Arial"/>
          <w:sz w:val="28"/>
          <w:szCs w:val="28"/>
        </w:rPr>
        <w:t xml:space="preserve"> fracción XII</w:t>
      </w:r>
      <w:r w:rsidR="00E02A33">
        <w:rPr>
          <w:rFonts w:ascii="Century Gothic" w:hAnsi="Century Gothic" w:cs="Arial"/>
          <w:sz w:val="28"/>
          <w:szCs w:val="28"/>
        </w:rPr>
        <w:t>, 168, 170, 172</w:t>
      </w:r>
      <w:r w:rsidR="00312FA1">
        <w:rPr>
          <w:rFonts w:ascii="Century Gothic" w:hAnsi="Century Gothic" w:cs="Arial"/>
          <w:sz w:val="28"/>
          <w:szCs w:val="28"/>
        </w:rPr>
        <w:t xml:space="preserve"> fracción I</w:t>
      </w:r>
      <w:r w:rsidR="00E02A33">
        <w:rPr>
          <w:rFonts w:ascii="Century Gothic" w:hAnsi="Century Gothic" w:cs="Arial"/>
          <w:sz w:val="28"/>
          <w:szCs w:val="28"/>
        </w:rPr>
        <w:t>, 173, 174, 180 Bis</w:t>
      </w:r>
      <w:r w:rsidR="00673440">
        <w:rPr>
          <w:rFonts w:ascii="Century Gothic" w:hAnsi="Century Gothic" w:cs="Arial"/>
          <w:sz w:val="28"/>
          <w:szCs w:val="28"/>
        </w:rPr>
        <w:t xml:space="preserve"> y </w:t>
      </w:r>
      <w:r w:rsidR="00E02A33">
        <w:rPr>
          <w:rFonts w:ascii="Century Gothic" w:hAnsi="Century Gothic" w:cs="Arial"/>
          <w:sz w:val="28"/>
          <w:szCs w:val="28"/>
        </w:rPr>
        <w:t>298</w:t>
      </w:r>
      <w:r w:rsidRPr="008F0FD6">
        <w:rPr>
          <w:rFonts w:ascii="Century Gothic" w:hAnsi="Century Gothic" w:cs="Arial"/>
          <w:sz w:val="28"/>
          <w:szCs w:val="28"/>
        </w:rPr>
        <w:t>,</w:t>
      </w:r>
      <w:r w:rsidR="00902492">
        <w:rPr>
          <w:rFonts w:ascii="Century Gothic" w:hAnsi="Century Gothic" w:cs="Arial"/>
          <w:sz w:val="28"/>
          <w:szCs w:val="28"/>
        </w:rPr>
        <w:t xml:space="preserve"> </w:t>
      </w:r>
      <w:r w:rsidR="00673440">
        <w:rPr>
          <w:rFonts w:ascii="Century Gothic" w:hAnsi="Century Gothic" w:cs="Arial"/>
          <w:sz w:val="28"/>
          <w:szCs w:val="28"/>
        </w:rPr>
        <w:t>así como</w:t>
      </w:r>
      <w:r w:rsidR="00902492">
        <w:rPr>
          <w:rFonts w:ascii="Century Gothic" w:hAnsi="Century Gothic" w:cs="Arial"/>
          <w:sz w:val="28"/>
          <w:szCs w:val="28"/>
        </w:rPr>
        <w:t xml:space="preserve"> el nombre del capítulo VI,</w:t>
      </w:r>
      <w:r w:rsidRPr="008F0FD6">
        <w:rPr>
          <w:rFonts w:ascii="Century Gothic" w:hAnsi="Century Gothic" w:cs="Arial"/>
          <w:sz w:val="28"/>
          <w:szCs w:val="28"/>
        </w:rPr>
        <w:t xml:space="preserve"> </w:t>
      </w:r>
      <w:r w:rsidR="00673440">
        <w:rPr>
          <w:rFonts w:ascii="Century Gothic" w:hAnsi="Century Gothic" w:cs="Arial"/>
          <w:sz w:val="28"/>
          <w:szCs w:val="28"/>
        </w:rPr>
        <w:t xml:space="preserve">del Código Penal del Estado de Chihuahua </w:t>
      </w:r>
      <w:r w:rsidRPr="008F0FD6">
        <w:rPr>
          <w:rFonts w:ascii="Century Gothic" w:hAnsi="Century Gothic" w:cs="Arial"/>
          <w:sz w:val="28"/>
          <w:szCs w:val="28"/>
        </w:rPr>
        <w:t xml:space="preserve">para quedar redactado de la siguiente manera: </w:t>
      </w:r>
    </w:p>
    <w:p w14:paraId="0780C725" w14:textId="77777777" w:rsidR="009E0E11" w:rsidRPr="009E0E11" w:rsidRDefault="009E0E11" w:rsidP="00373896">
      <w:pPr>
        <w:jc w:val="both"/>
        <w:rPr>
          <w:rFonts w:ascii="Century Gothic" w:hAnsi="Century Gothic" w:cs="Arial"/>
          <w:bCs/>
          <w:sz w:val="28"/>
          <w:szCs w:val="28"/>
        </w:rPr>
      </w:pPr>
      <w:r w:rsidRPr="009E0E11">
        <w:rPr>
          <w:rFonts w:ascii="Century Gothic" w:hAnsi="Century Gothic" w:cs="Arial"/>
          <w:b/>
          <w:bCs/>
          <w:sz w:val="28"/>
          <w:szCs w:val="28"/>
        </w:rPr>
        <w:t>Artículo 43 Ter.</w:t>
      </w:r>
      <w:r w:rsidRPr="009E0E11">
        <w:rPr>
          <w:rFonts w:ascii="Century Gothic" w:hAnsi="Century Gothic" w:cs="Arial"/>
          <w:bCs/>
          <w:sz w:val="28"/>
          <w:szCs w:val="28"/>
        </w:rPr>
        <w:t xml:space="preserve"> Con independencia del que se pueda causar en otros, se presume la existencia de daño moral en los siguientes delitos:</w:t>
      </w:r>
    </w:p>
    <w:p w14:paraId="72648831" w14:textId="075F032C" w:rsidR="009E0E11" w:rsidRPr="009E0E11" w:rsidRDefault="009E0E11" w:rsidP="00373896">
      <w:pPr>
        <w:jc w:val="both"/>
        <w:rPr>
          <w:rFonts w:ascii="Century Gothic" w:hAnsi="Century Gothic" w:cs="Arial"/>
          <w:bCs/>
          <w:sz w:val="28"/>
          <w:szCs w:val="28"/>
        </w:rPr>
      </w:pPr>
      <w:r>
        <w:rPr>
          <w:rFonts w:ascii="Century Gothic" w:hAnsi="Century Gothic" w:cs="Arial"/>
          <w:bCs/>
          <w:sz w:val="28"/>
          <w:szCs w:val="28"/>
        </w:rPr>
        <w:t>(…)</w:t>
      </w:r>
    </w:p>
    <w:p w14:paraId="5D3C8E9D" w14:textId="77777777" w:rsidR="00673440" w:rsidRDefault="00673440" w:rsidP="00373896">
      <w:pPr>
        <w:jc w:val="both"/>
        <w:rPr>
          <w:rFonts w:ascii="Century Gothic" w:hAnsi="Century Gothic" w:cs="Arial"/>
          <w:b/>
          <w:bCs/>
          <w:sz w:val="28"/>
          <w:szCs w:val="28"/>
        </w:rPr>
      </w:pPr>
    </w:p>
    <w:p w14:paraId="39711C43" w14:textId="77777777" w:rsidR="00673440" w:rsidRDefault="00673440" w:rsidP="00373896">
      <w:pPr>
        <w:jc w:val="both"/>
        <w:rPr>
          <w:rFonts w:ascii="Century Gothic" w:hAnsi="Century Gothic" w:cs="Arial"/>
          <w:b/>
          <w:bCs/>
          <w:sz w:val="28"/>
          <w:szCs w:val="28"/>
        </w:rPr>
      </w:pPr>
    </w:p>
    <w:p w14:paraId="27315D23" w14:textId="77777777" w:rsidR="007C4A86" w:rsidRDefault="007C4A86" w:rsidP="00373896">
      <w:pPr>
        <w:jc w:val="both"/>
        <w:rPr>
          <w:rFonts w:ascii="Century Gothic" w:hAnsi="Century Gothic" w:cs="Arial"/>
          <w:b/>
          <w:bCs/>
          <w:sz w:val="28"/>
          <w:szCs w:val="28"/>
        </w:rPr>
      </w:pPr>
    </w:p>
    <w:p w14:paraId="7D071886" w14:textId="5B780A56" w:rsidR="009E0E11" w:rsidRDefault="009E0E11" w:rsidP="00373896">
      <w:pPr>
        <w:jc w:val="both"/>
        <w:rPr>
          <w:rFonts w:ascii="Century Gothic" w:hAnsi="Century Gothic" w:cs="Arial"/>
          <w:bCs/>
          <w:sz w:val="28"/>
          <w:szCs w:val="28"/>
        </w:rPr>
      </w:pPr>
      <w:r w:rsidRPr="009E0E11">
        <w:rPr>
          <w:rFonts w:ascii="Century Gothic" w:hAnsi="Century Gothic" w:cs="Arial"/>
          <w:b/>
          <w:bCs/>
          <w:sz w:val="28"/>
          <w:szCs w:val="28"/>
        </w:rPr>
        <w:t>IV.</w:t>
      </w:r>
      <w:r w:rsidRPr="009E0E11">
        <w:rPr>
          <w:rFonts w:ascii="Century Gothic" w:hAnsi="Century Gothic" w:cs="Arial"/>
          <w:bCs/>
          <w:sz w:val="28"/>
          <w:szCs w:val="28"/>
        </w:rPr>
        <w:t xml:space="preserve">   Abuso sexual mediante violencia o cuando se trate de persona </w:t>
      </w:r>
      <w:r w:rsidRPr="009E0E11">
        <w:rPr>
          <w:rFonts w:ascii="Century Gothic" w:hAnsi="Century Gothic" w:cs="Arial"/>
          <w:b/>
          <w:bCs/>
          <w:sz w:val="28"/>
          <w:szCs w:val="28"/>
        </w:rPr>
        <w:t>en situación de vulnerabilidad por razón de edad, discapacidad o neurodivergencia</w:t>
      </w:r>
      <w:r w:rsidRPr="009E0E11">
        <w:rPr>
          <w:rFonts w:ascii="Century Gothic" w:hAnsi="Century Gothic" w:cs="Arial"/>
          <w:bCs/>
          <w:sz w:val="28"/>
          <w:szCs w:val="28"/>
        </w:rPr>
        <w:t>; y</w:t>
      </w:r>
    </w:p>
    <w:p w14:paraId="15C9B105" w14:textId="6309762A" w:rsidR="009E0E11" w:rsidRPr="009E0E11" w:rsidRDefault="009E0E11" w:rsidP="00373896">
      <w:pPr>
        <w:jc w:val="both"/>
        <w:rPr>
          <w:rFonts w:ascii="Century Gothic" w:hAnsi="Century Gothic" w:cs="Arial"/>
          <w:bCs/>
          <w:sz w:val="28"/>
          <w:szCs w:val="28"/>
        </w:rPr>
      </w:pPr>
      <w:r w:rsidRPr="009E0E11">
        <w:rPr>
          <w:rFonts w:ascii="Century Gothic" w:hAnsi="Century Gothic" w:cs="Arial"/>
          <w:b/>
          <w:bCs/>
          <w:sz w:val="28"/>
          <w:szCs w:val="28"/>
        </w:rPr>
        <w:t>Artículo 136.</w:t>
      </w:r>
      <w:r w:rsidRPr="009E0E11">
        <w:rPr>
          <w:rFonts w:ascii="Century Gothic" w:hAnsi="Century Gothic" w:cs="Arial"/>
          <w:bCs/>
          <w:sz w:val="28"/>
          <w:szCs w:val="28"/>
        </w:rPr>
        <w:t xml:space="preserve"> 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las fracciones X, XI, XII y XIII del presente artículo:</w:t>
      </w:r>
    </w:p>
    <w:p w14:paraId="7598D1F9" w14:textId="2E7B5577" w:rsidR="009E0E11" w:rsidRPr="009E0E11" w:rsidRDefault="009E0E11" w:rsidP="00373896">
      <w:pPr>
        <w:jc w:val="both"/>
        <w:rPr>
          <w:rFonts w:ascii="Century Gothic" w:hAnsi="Century Gothic" w:cs="Arial"/>
          <w:bCs/>
          <w:sz w:val="28"/>
          <w:szCs w:val="28"/>
        </w:rPr>
      </w:pPr>
      <w:r>
        <w:rPr>
          <w:rFonts w:ascii="Century Gothic" w:hAnsi="Century Gothic" w:cs="Arial"/>
          <w:bCs/>
          <w:sz w:val="28"/>
          <w:szCs w:val="28"/>
        </w:rPr>
        <w:t>(…)</w:t>
      </w:r>
    </w:p>
    <w:p w14:paraId="79C31FD9" w14:textId="77777777" w:rsidR="009E0E11" w:rsidRDefault="009E0E11" w:rsidP="00373896">
      <w:pPr>
        <w:jc w:val="both"/>
        <w:rPr>
          <w:rFonts w:ascii="Century Gothic" w:hAnsi="Century Gothic" w:cs="Arial"/>
          <w:bCs/>
          <w:sz w:val="28"/>
          <w:szCs w:val="28"/>
        </w:rPr>
      </w:pPr>
      <w:r w:rsidRPr="009E0E11">
        <w:rPr>
          <w:rFonts w:ascii="Century Gothic" w:hAnsi="Century Gothic" w:cs="Arial"/>
          <w:b/>
          <w:bCs/>
          <w:sz w:val="28"/>
          <w:szCs w:val="28"/>
        </w:rPr>
        <w:t>XII.</w:t>
      </w:r>
      <w:r w:rsidRPr="009E0E11">
        <w:rPr>
          <w:rFonts w:ascii="Century Gothic" w:hAnsi="Century Gothic" w:cs="Arial"/>
          <w:bCs/>
          <w:sz w:val="28"/>
          <w:szCs w:val="28"/>
        </w:rPr>
        <w:t xml:space="preserve">   Cuando se lleve a cabo sirviéndose como instrumento de una persona menor de doce años o persona en situación de vulnerabilidad por razón de discapacidad o neurodivergencia.</w:t>
      </w:r>
    </w:p>
    <w:p w14:paraId="189000BD" w14:textId="0E3F7DD1" w:rsidR="00102055" w:rsidRDefault="009E0E11" w:rsidP="00373896">
      <w:pPr>
        <w:jc w:val="both"/>
        <w:rPr>
          <w:rFonts w:ascii="Century Gothic" w:hAnsi="Century Gothic" w:cs="Arial"/>
          <w:bCs/>
          <w:sz w:val="28"/>
          <w:szCs w:val="28"/>
        </w:rPr>
      </w:pPr>
      <w:r w:rsidRPr="00102055">
        <w:rPr>
          <w:rFonts w:ascii="Century Gothic" w:hAnsi="Century Gothic" w:cs="Arial"/>
          <w:b/>
          <w:bCs/>
          <w:sz w:val="28"/>
          <w:szCs w:val="28"/>
        </w:rPr>
        <w:t xml:space="preserve">CAPITULO </w:t>
      </w:r>
      <w:r w:rsidR="00102055" w:rsidRPr="00102055">
        <w:rPr>
          <w:rFonts w:ascii="Century Gothic" w:hAnsi="Century Gothic" w:cs="Arial"/>
          <w:b/>
          <w:bCs/>
          <w:sz w:val="28"/>
          <w:szCs w:val="28"/>
        </w:rPr>
        <w:t>VI</w:t>
      </w:r>
      <w:r w:rsidR="00102055" w:rsidRPr="009E0E11">
        <w:rPr>
          <w:rFonts w:ascii="Century Gothic" w:hAnsi="Century Gothic" w:cs="Arial"/>
          <w:bCs/>
          <w:sz w:val="28"/>
          <w:szCs w:val="28"/>
        </w:rPr>
        <w:t xml:space="preserve"> </w:t>
      </w:r>
      <w:r w:rsidR="00102055">
        <w:rPr>
          <w:rFonts w:ascii="Century Gothic" w:hAnsi="Century Gothic" w:cs="Arial"/>
          <w:bCs/>
          <w:sz w:val="28"/>
          <w:szCs w:val="28"/>
        </w:rPr>
        <w:t>RETENCIÓN</w:t>
      </w:r>
      <w:r w:rsidRPr="009E0E11">
        <w:rPr>
          <w:rFonts w:ascii="Century Gothic" w:hAnsi="Century Gothic" w:cs="Arial"/>
          <w:bCs/>
          <w:sz w:val="28"/>
          <w:szCs w:val="28"/>
        </w:rPr>
        <w:t xml:space="preserve"> Y SUSTRACCIÓN DE </w:t>
      </w:r>
      <w:r w:rsidRPr="00102055">
        <w:rPr>
          <w:rFonts w:ascii="Century Gothic" w:hAnsi="Century Gothic" w:cs="Arial"/>
          <w:b/>
          <w:bCs/>
          <w:sz w:val="28"/>
          <w:szCs w:val="28"/>
        </w:rPr>
        <w:t>PERSONAS EN SITUACIÓN DE VULNERABILIDAD POR RAZÓN DE EDAD, DISCPACIDAD O NEURODIVERGENCIA</w:t>
      </w:r>
      <w:r w:rsidRPr="009E0E11">
        <w:rPr>
          <w:rFonts w:ascii="Century Gothic" w:hAnsi="Century Gothic" w:cs="Arial"/>
          <w:bCs/>
          <w:sz w:val="28"/>
          <w:szCs w:val="28"/>
        </w:rPr>
        <w:t>.</w:t>
      </w:r>
    </w:p>
    <w:p w14:paraId="068FC5B8" w14:textId="4021488B" w:rsidR="005D359B" w:rsidRDefault="009E0E11" w:rsidP="00373896">
      <w:pPr>
        <w:jc w:val="both"/>
        <w:rPr>
          <w:rFonts w:ascii="Century Gothic" w:hAnsi="Century Gothic" w:cs="Arial"/>
          <w:bCs/>
          <w:sz w:val="28"/>
          <w:szCs w:val="28"/>
        </w:rPr>
      </w:pPr>
      <w:r w:rsidRPr="00102055">
        <w:rPr>
          <w:rFonts w:ascii="Century Gothic" w:hAnsi="Century Gothic" w:cs="Arial"/>
          <w:b/>
          <w:bCs/>
          <w:sz w:val="28"/>
          <w:szCs w:val="28"/>
        </w:rPr>
        <w:t>Artículo 168.</w:t>
      </w:r>
      <w:r w:rsidRPr="009E0E11">
        <w:rPr>
          <w:rFonts w:ascii="Century Gothic" w:hAnsi="Century Gothic" w:cs="Arial"/>
          <w:bCs/>
          <w:sz w:val="28"/>
          <w:szCs w:val="28"/>
        </w:rPr>
        <w:t xml:space="preserve"> A </w:t>
      </w:r>
      <w:proofErr w:type="gramStart"/>
      <w:r w:rsidRPr="009E0E11">
        <w:rPr>
          <w:rFonts w:ascii="Century Gothic" w:hAnsi="Century Gothic" w:cs="Arial"/>
          <w:bCs/>
          <w:sz w:val="28"/>
          <w:szCs w:val="28"/>
        </w:rPr>
        <w:t>quien</w:t>
      </w:r>
      <w:proofErr w:type="gramEnd"/>
      <w:r w:rsidRPr="009E0E11">
        <w:rPr>
          <w:rFonts w:ascii="Century Gothic" w:hAnsi="Century Gothic" w:cs="Arial"/>
          <w:bCs/>
          <w:sz w:val="28"/>
          <w:szCs w:val="28"/>
        </w:rPr>
        <w:t xml:space="preserve"> sin tener relación de parentesco, a que se refiere el artículo 170 de este Código, o de tutela de una persona menor de edad o de una persona </w:t>
      </w:r>
      <w:r w:rsidRPr="00307D78">
        <w:rPr>
          <w:rFonts w:ascii="Century Gothic" w:hAnsi="Century Gothic" w:cs="Arial"/>
          <w:b/>
          <w:bCs/>
          <w:sz w:val="28"/>
          <w:szCs w:val="28"/>
        </w:rPr>
        <w:t xml:space="preserve">en situación de vulnerabilidad por razón de discapacidad o </w:t>
      </w:r>
      <w:proofErr w:type="spellStart"/>
      <w:r w:rsidRPr="00307D78">
        <w:rPr>
          <w:rFonts w:ascii="Century Gothic" w:hAnsi="Century Gothic" w:cs="Arial"/>
          <w:b/>
          <w:bCs/>
          <w:sz w:val="28"/>
          <w:szCs w:val="28"/>
        </w:rPr>
        <w:t>neuodivergencia</w:t>
      </w:r>
      <w:proofErr w:type="spellEnd"/>
      <w:r w:rsidRPr="009E0E11">
        <w:rPr>
          <w:rFonts w:ascii="Century Gothic" w:hAnsi="Century Gothic" w:cs="Arial"/>
          <w:bCs/>
          <w:sz w:val="28"/>
          <w:szCs w:val="28"/>
        </w:rPr>
        <w:t>, lo retenga sin el consentimiento de quien ejerza su custodia legítima o su guarda, se le impondrá prisión de uno a cinco años y de cien a quinientos días de multa.</w:t>
      </w:r>
    </w:p>
    <w:p w14:paraId="4213EB7F" w14:textId="77777777" w:rsidR="00C91B8C" w:rsidRDefault="00307D78" w:rsidP="00373896">
      <w:pPr>
        <w:jc w:val="both"/>
        <w:rPr>
          <w:rFonts w:ascii="Century Gothic" w:hAnsi="Century Gothic" w:cs="Arial"/>
          <w:bCs/>
          <w:sz w:val="28"/>
          <w:szCs w:val="28"/>
        </w:rPr>
      </w:pPr>
      <w:r w:rsidRPr="00307D78">
        <w:rPr>
          <w:rFonts w:ascii="Century Gothic" w:hAnsi="Century Gothic" w:cs="Arial"/>
          <w:b/>
          <w:bCs/>
          <w:sz w:val="28"/>
          <w:szCs w:val="28"/>
        </w:rPr>
        <w:t>Artículo 170.</w:t>
      </w:r>
      <w:r w:rsidRPr="00307D78">
        <w:rPr>
          <w:rFonts w:ascii="Century Gothic" w:hAnsi="Century Gothic" w:cs="Arial"/>
          <w:bCs/>
          <w:sz w:val="28"/>
          <w:szCs w:val="28"/>
        </w:rPr>
        <w:t xml:space="preserve"> Se impondrá de uno a cinco años de prisión, multa de cien a quinientos días y suspensión de los derechos respecto de la víctima, en su caso, al ascendiente, descendiente, pariente colateral o afín hasta el cuarto grado, que retenga o sustraiga a una persona </w:t>
      </w:r>
    </w:p>
    <w:p w14:paraId="1D637C14" w14:textId="77777777" w:rsidR="00C91B8C" w:rsidRDefault="00C91B8C" w:rsidP="00373896">
      <w:pPr>
        <w:jc w:val="both"/>
        <w:rPr>
          <w:rFonts w:ascii="Century Gothic" w:hAnsi="Century Gothic" w:cs="Arial"/>
          <w:bCs/>
          <w:sz w:val="28"/>
          <w:szCs w:val="28"/>
        </w:rPr>
      </w:pPr>
    </w:p>
    <w:p w14:paraId="7F6CB70A" w14:textId="0C9BD8AC" w:rsidR="00307D78" w:rsidRDefault="00307D78" w:rsidP="00373896">
      <w:pPr>
        <w:jc w:val="both"/>
        <w:rPr>
          <w:rFonts w:ascii="Century Gothic" w:hAnsi="Century Gothic" w:cs="Arial"/>
          <w:bCs/>
          <w:sz w:val="28"/>
          <w:szCs w:val="28"/>
        </w:rPr>
      </w:pPr>
      <w:r w:rsidRPr="00307D78">
        <w:rPr>
          <w:rFonts w:ascii="Century Gothic" w:hAnsi="Century Gothic" w:cs="Arial"/>
          <w:bCs/>
          <w:sz w:val="28"/>
          <w:szCs w:val="28"/>
        </w:rPr>
        <w:t xml:space="preserve">menor de edad o </w:t>
      </w:r>
      <w:r w:rsidRPr="00E243A7">
        <w:rPr>
          <w:rFonts w:ascii="Century Gothic" w:hAnsi="Century Gothic" w:cs="Arial"/>
          <w:b/>
          <w:bCs/>
          <w:sz w:val="28"/>
          <w:szCs w:val="28"/>
        </w:rPr>
        <w:t>en situación de vulnerabilidad por razón de discapacidad o neurodivergencia</w:t>
      </w:r>
      <w:r w:rsidRPr="00307D78">
        <w:rPr>
          <w:rFonts w:ascii="Century Gothic" w:hAnsi="Century Gothic" w:cs="Arial"/>
          <w:bCs/>
          <w:sz w:val="28"/>
          <w:szCs w:val="28"/>
        </w:rPr>
        <w:t>, en los siguientes casos:</w:t>
      </w:r>
    </w:p>
    <w:p w14:paraId="58994A5B" w14:textId="5510C544" w:rsidR="00307D78" w:rsidRPr="00307D78" w:rsidRDefault="00307D78" w:rsidP="00373896">
      <w:pPr>
        <w:jc w:val="both"/>
        <w:rPr>
          <w:rFonts w:ascii="Century Gothic" w:hAnsi="Century Gothic" w:cs="Arial"/>
          <w:bCs/>
          <w:sz w:val="28"/>
          <w:szCs w:val="28"/>
        </w:rPr>
      </w:pPr>
      <w:r w:rsidRPr="00307D78">
        <w:rPr>
          <w:rFonts w:ascii="Century Gothic" w:hAnsi="Century Gothic" w:cs="Arial"/>
          <w:b/>
          <w:bCs/>
          <w:sz w:val="28"/>
          <w:szCs w:val="28"/>
        </w:rPr>
        <w:t>Artículo 172.</w:t>
      </w:r>
      <w:r w:rsidRPr="00307D78">
        <w:rPr>
          <w:rFonts w:ascii="Century Gothic" w:hAnsi="Century Gothic" w:cs="Arial"/>
          <w:bCs/>
          <w:sz w:val="28"/>
          <w:szCs w:val="28"/>
        </w:rPr>
        <w:t xml:space="preserve"> Se aplicarán de diez a treinta años de prisión a quien:</w:t>
      </w:r>
    </w:p>
    <w:p w14:paraId="57E8E4B8" w14:textId="3BA92361" w:rsidR="00307D78" w:rsidRDefault="00307D78" w:rsidP="00373896">
      <w:pPr>
        <w:jc w:val="both"/>
        <w:rPr>
          <w:rFonts w:ascii="Century Gothic" w:hAnsi="Century Gothic" w:cs="Arial"/>
          <w:bCs/>
          <w:sz w:val="28"/>
          <w:szCs w:val="28"/>
        </w:rPr>
      </w:pPr>
      <w:r w:rsidRPr="00307D78">
        <w:rPr>
          <w:rFonts w:ascii="Century Gothic" w:hAnsi="Century Gothic" w:cs="Arial"/>
          <w:b/>
          <w:bCs/>
          <w:sz w:val="28"/>
          <w:szCs w:val="28"/>
        </w:rPr>
        <w:t>I.</w:t>
      </w:r>
      <w:r>
        <w:rPr>
          <w:rFonts w:ascii="Century Gothic" w:hAnsi="Century Gothic" w:cs="Arial"/>
          <w:bCs/>
          <w:sz w:val="28"/>
          <w:szCs w:val="28"/>
        </w:rPr>
        <w:t xml:space="preserve"> </w:t>
      </w:r>
      <w:r w:rsidRPr="00307D78">
        <w:rPr>
          <w:rFonts w:ascii="Century Gothic" w:hAnsi="Century Gothic" w:cs="Arial"/>
          <w:bCs/>
          <w:sz w:val="28"/>
          <w:szCs w:val="28"/>
        </w:rPr>
        <w:t xml:space="preserve">Realice cópula con persona menor de catorce años de edad o con persona </w:t>
      </w:r>
      <w:r w:rsidRPr="00E243A7">
        <w:rPr>
          <w:rFonts w:ascii="Century Gothic" w:hAnsi="Century Gothic" w:cs="Arial"/>
          <w:b/>
          <w:bCs/>
          <w:sz w:val="28"/>
          <w:szCs w:val="28"/>
        </w:rPr>
        <w:t>en situación de vulnerabilidad por razón de discapacidad, neurodivergencia</w:t>
      </w:r>
      <w:r w:rsidRPr="00307D78">
        <w:rPr>
          <w:rFonts w:ascii="Century Gothic" w:hAnsi="Century Gothic" w:cs="Arial"/>
          <w:bCs/>
          <w:sz w:val="28"/>
          <w:szCs w:val="28"/>
        </w:rPr>
        <w:t xml:space="preserve"> o por cualquier causa no pueda resistirlo; o</w:t>
      </w:r>
    </w:p>
    <w:p w14:paraId="59F35071" w14:textId="77777777" w:rsidR="00E243A7" w:rsidRPr="00373896" w:rsidRDefault="00E243A7" w:rsidP="00373896">
      <w:pPr>
        <w:jc w:val="both"/>
        <w:rPr>
          <w:rFonts w:ascii="Century Gothic" w:hAnsi="Century Gothic"/>
          <w:sz w:val="28"/>
        </w:rPr>
      </w:pPr>
      <w:r w:rsidRPr="00373896">
        <w:rPr>
          <w:rFonts w:ascii="Century Gothic" w:hAnsi="Century Gothic"/>
          <w:b/>
          <w:bCs/>
          <w:sz w:val="28"/>
        </w:rPr>
        <w:t>Artículo 173.</w:t>
      </w:r>
      <w:r w:rsidRPr="00373896">
        <w:rPr>
          <w:rFonts w:ascii="Century Gothic" w:hAnsi="Century Gothic"/>
          <w:sz w:val="28"/>
        </w:rPr>
        <w:t xml:space="preserve"> A quien sin consentimiento de una persona y sin el propósito de llegar a la cópula, ejecute en ella un acto sexual, la obligue a observarlo o la haga ejecutarlo, se le impondrán de seis meses a seis años de prisión y de cien a trescientos días multa.</w:t>
      </w:r>
    </w:p>
    <w:p w14:paraId="6661F0F1" w14:textId="5C696090" w:rsidR="00E243A7" w:rsidRPr="00373896" w:rsidRDefault="00373896" w:rsidP="00373896">
      <w:pPr>
        <w:jc w:val="both"/>
        <w:rPr>
          <w:rFonts w:ascii="Century Gothic" w:hAnsi="Century Gothic"/>
          <w:sz w:val="28"/>
        </w:rPr>
      </w:pPr>
      <w:r>
        <w:rPr>
          <w:rFonts w:ascii="Century Gothic" w:hAnsi="Century Gothic"/>
          <w:sz w:val="28"/>
        </w:rPr>
        <w:t>(</w:t>
      </w:r>
      <w:r w:rsidR="00E243A7" w:rsidRPr="00373896">
        <w:rPr>
          <w:rFonts w:ascii="Century Gothic" w:hAnsi="Century Gothic"/>
          <w:sz w:val="28"/>
        </w:rPr>
        <w:t>…</w:t>
      </w:r>
      <w:r>
        <w:rPr>
          <w:rFonts w:ascii="Century Gothic" w:hAnsi="Century Gothic"/>
          <w:sz w:val="28"/>
        </w:rPr>
        <w:t>)</w:t>
      </w:r>
    </w:p>
    <w:p w14:paraId="56652AFC" w14:textId="77777777" w:rsidR="00E243A7" w:rsidRPr="00373896" w:rsidRDefault="00E243A7" w:rsidP="00373896">
      <w:pPr>
        <w:jc w:val="both"/>
        <w:rPr>
          <w:rFonts w:ascii="Century Gothic" w:hAnsi="Century Gothic"/>
          <w:sz w:val="28"/>
        </w:rPr>
      </w:pPr>
      <w:r w:rsidRPr="00373896">
        <w:rPr>
          <w:rFonts w:ascii="Century Gothic" w:hAnsi="Century Gothic"/>
          <w:sz w:val="28"/>
        </w:rPr>
        <w:t xml:space="preserve">Este delito se perseguirá previa querella, salvo que concurra violencia o se trate de personas </w:t>
      </w:r>
      <w:r w:rsidRPr="00373896">
        <w:rPr>
          <w:rFonts w:ascii="Century Gothic" w:hAnsi="Century Gothic"/>
          <w:b/>
          <w:bCs/>
          <w:sz w:val="28"/>
        </w:rPr>
        <w:t>en situación de vulnerabilidad por razón de edad, discapacidad o neurodivergencia</w:t>
      </w:r>
      <w:r w:rsidRPr="00373896">
        <w:rPr>
          <w:rFonts w:ascii="Century Gothic" w:hAnsi="Century Gothic"/>
          <w:sz w:val="28"/>
        </w:rPr>
        <w:t>.</w:t>
      </w:r>
    </w:p>
    <w:p w14:paraId="022EF2CC" w14:textId="77777777" w:rsidR="00E243A7" w:rsidRPr="00373896" w:rsidRDefault="00E243A7" w:rsidP="00373896">
      <w:pPr>
        <w:jc w:val="both"/>
        <w:rPr>
          <w:rFonts w:ascii="Century Gothic" w:hAnsi="Century Gothic"/>
          <w:sz w:val="28"/>
        </w:rPr>
      </w:pPr>
      <w:r w:rsidRPr="00373896">
        <w:rPr>
          <w:rFonts w:ascii="Century Gothic" w:hAnsi="Century Gothic"/>
          <w:b/>
          <w:bCs/>
          <w:sz w:val="28"/>
        </w:rPr>
        <w:t>Artículo 174</w:t>
      </w:r>
      <w:r w:rsidRPr="00373896">
        <w:rPr>
          <w:rFonts w:ascii="Century Gothic" w:hAnsi="Century Gothic"/>
          <w:sz w:val="28"/>
        </w:rPr>
        <w:t xml:space="preserve">. A quien sin el propósito de llegar a la cópula ejecute un acto sexual en una persona menor de catorce años o persona </w:t>
      </w:r>
      <w:r w:rsidRPr="00373896">
        <w:rPr>
          <w:rFonts w:ascii="Century Gothic" w:hAnsi="Century Gothic"/>
          <w:b/>
          <w:bCs/>
          <w:sz w:val="28"/>
        </w:rPr>
        <w:t>en situación de vulnerabilidad por razón de discapacidad, neurodivergencia</w:t>
      </w:r>
      <w:r w:rsidRPr="00373896">
        <w:rPr>
          <w:rFonts w:ascii="Century Gothic" w:hAnsi="Century Gothic"/>
          <w:sz w:val="28"/>
        </w:rPr>
        <w:t xml:space="preserve"> o que por cualquier causa no pueda resistirlo, o la obligue a observar o ejecutar dicho acto, se le impondrán de tres a diez años de prisión y de doscientos a cuatrocientos días de multa.</w:t>
      </w:r>
    </w:p>
    <w:p w14:paraId="5E252924" w14:textId="77777777" w:rsidR="00E243A7" w:rsidRPr="00373896" w:rsidRDefault="00E243A7" w:rsidP="00373896">
      <w:pPr>
        <w:jc w:val="both"/>
        <w:rPr>
          <w:rFonts w:ascii="Century Gothic" w:hAnsi="Century Gothic"/>
          <w:sz w:val="28"/>
        </w:rPr>
      </w:pPr>
      <w:r w:rsidRPr="00373896">
        <w:rPr>
          <w:rFonts w:ascii="Century Gothic" w:hAnsi="Century Gothic"/>
          <w:b/>
          <w:bCs/>
          <w:sz w:val="28"/>
        </w:rPr>
        <w:t>Artículo 180 Bis.</w:t>
      </w:r>
      <w:r w:rsidRPr="00373896">
        <w:rPr>
          <w:rFonts w:ascii="Century Gothic" w:hAnsi="Century Gothic"/>
          <w:sz w:val="28"/>
        </w:rPr>
        <w:t xml:space="preserve"> A quien reciba u obtenga de una persona, imágenes, textos o grabaciones de voz o audiovisuales de contenido erótico o sexual y las revele o difunda sin su consentimiento y en perjuicio de su intimidad, se le impondrá de dos a cinco años de prisión y de cien a doscientos días de multa. </w:t>
      </w:r>
    </w:p>
    <w:p w14:paraId="48DCB439" w14:textId="77777777" w:rsidR="00C91B8C" w:rsidRDefault="00C91B8C" w:rsidP="00373896">
      <w:pPr>
        <w:jc w:val="both"/>
        <w:rPr>
          <w:rFonts w:ascii="Century Gothic" w:hAnsi="Century Gothic"/>
          <w:sz w:val="28"/>
        </w:rPr>
      </w:pPr>
    </w:p>
    <w:p w14:paraId="62BF24CA" w14:textId="55FACB78" w:rsidR="00E243A7" w:rsidRDefault="00E243A7" w:rsidP="00373896">
      <w:pPr>
        <w:jc w:val="both"/>
        <w:rPr>
          <w:rFonts w:ascii="Century Gothic" w:hAnsi="Century Gothic"/>
          <w:sz w:val="28"/>
        </w:rPr>
      </w:pPr>
      <w:r w:rsidRPr="00373896">
        <w:rPr>
          <w:rFonts w:ascii="Century Gothic" w:hAnsi="Century Gothic"/>
          <w:sz w:val="28"/>
        </w:rPr>
        <w:t xml:space="preserve">Las penas a que se refiere el presente artículo, se aumentarán en una mitad cuando el delito se cometa en contra de una persona menor de catorce años o </w:t>
      </w:r>
      <w:r w:rsidRPr="00373896">
        <w:rPr>
          <w:rFonts w:ascii="Century Gothic" w:hAnsi="Century Gothic"/>
          <w:b/>
          <w:bCs/>
          <w:sz w:val="28"/>
        </w:rPr>
        <w:t>en situación de vulnerabilidad por razón de discapacidad, neurodivergencia</w:t>
      </w:r>
      <w:r w:rsidRPr="00373896">
        <w:rPr>
          <w:rFonts w:ascii="Century Gothic" w:hAnsi="Century Gothic"/>
          <w:sz w:val="28"/>
        </w:rPr>
        <w:t xml:space="preserve"> o que por cualquier causa no pueda resistirlo, aun y cuando mediare su consentimiento.</w:t>
      </w:r>
    </w:p>
    <w:p w14:paraId="26DD6FDB" w14:textId="1818E06E" w:rsidR="00373896" w:rsidRPr="00312FA1" w:rsidRDefault="00373896" w:rsidP="00373896">
      <w:pPr>
        <w:jc w:val="both"/>
        <w:rPr>
          <w:rFonts w:ascii="Century Gothic" w:hAnsi="Century Gothic"/>
          <w:sz w:val="36"/>
        </w:rPr>
      </w:pPr>
      <w:r w:rsidRPr="00312FA1">
        <w:rPr>
          <w:rFonts w:ascii="Century Gothic" w:hAnsi="Century Gothic"/>
          <w:b/>
          <w:bCs/>
          <w:sz w:val="28"/>
        </w:rPr>
        <w:t>Artículo 298.</w:t>
      </w:r>
      <w:r w:rsidRPr="00312FA1">
        <w:rPr>
          <w:rFonts w:ascii="Century Gothic" w:hAnsi="Century Gothic"/>
          <w:sz w:val="28"/>
        </w:rPr>
        <w:t xml:space="preserve"> Se impondrá prisión de seis meses a un año y multa de diez a treinta veces el valor diario de la Unidad de Medida y Actualización, al profesional en medicina, técnico o práctico que con motivo de su profesión o actividad, tenga conocimiento del estado de abandono de un recién nacido, persona menor de edad o </w:t>
      </w:r>
      <w:r w:rsidRPr="00312FA1">
        <w:rPr>
          <w:rFonts w:ascii="Century Gothic" w:hAnsi="Century Gothic"/>
          <w:b/>
          <w:bCs/>
          <w:sz w:val="28"/>
        </w:rPr>
        <w:t>en situación de vulnerabilidad por razón de discapacidad, neurodivergencia,</w:t>
      </w:r>
      <w:r w:rsidRPr="00312FA1">
        <w:rPr>
          <w:rFonts w:ascii="Century Gothic" w:hAnsi="Century Gothic"/>
          <w:sz w:val="28"/>
        </w:rPr>
        <w:t xml:space="preserve"> o adulto mayor, y omita dar aviso inmediato a la Procuraduría de Protección de Niñas, Niños, Adolescentes y Demás Personas Sujetas de Asistencia Social del DIF Estatal o a la autoridad que exista en el lugar, quedando bajo la responsabilidad de esta última el informar a la autoridad competente.</w:t>
      </w:r>
    </w:p>
    <w:p w14:paraId="3E4C417E" w14:textId="471AA184" w:rsidR="006C6B4D" w:rsidRPr="005D359B"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5C20A8B8" w14:textId="77777777" w:rsidR="005D359B" w:rsidRPr="005D359B" w:rsidRDefault="005D359B" w:rsidP="009307C7">
      <w:pPr>
        <w:rPr>
          <w:rFonts w:ascii="Century Gothic" w:hAnsi="Century Gothic" w:cs="Arial"/>
          <w:b/>
          <w:bCs/>
          <w:sz w:val="28"/>
          <w:szCs w:val="28"/>
        </w:rPr>
      </w:pPr>
    </w:p>
    <w:p w14:paraId="5D583297" w14:textId="6BF58F0E"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DIPUTADA HERMINIA GÓMEZ CARRASCO</w:t>
      </w:r>
    </w:p>
    <w:p w14:paraId="467E01B9" w14:textId="4C4D4CEC" w:rsidR="005D359B" w:rsidRDefault="005D359B" w:rsidP="005D359B">
      <w:pPr>
        <w:jc w:val="center"/>
        <w:rPr>
          <w:rFonts w:ascii="Century Gothic" w:hAnsi="Century Gothic" w:cs="Arial"/>
          <w:b/>
          <w:bCs/>
          <w:sz w:val="28"/>
          <w:szCs w:val="28"/>
        </w:rPr>
      </w:pPr>
    </w:p>
    <w:p w14:paraId="4C8CE87A" w14:textId="0A31109E" w:rsidR="00550936" w:rsidRDefault="00550936" w:rsidP="005D359B">
      <w:pPr>
        <w:jc w:val="center"/>
        <w:rPr>
          <w:rFonts w:ascii="Century Gothic" w:hAnsi="Century Gothic" w:cs="Arial"/>
          <w:b/>
          <w:bCs/>
          <w:sz w:val="28"/>
          <w:szCs w:val="28"/>
        </w:rPr>
      </w:pPr>
    </w:p>
    <w:p w14:paraId="175740C3" w14:textId="77777777" w:rsidR="00B26B63" w:rsidRDefault="00B26B63" w:rsidP="005D359B">
      <w:pPr>
        <w:jc w:val="cente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3525C040" w14:textId="77777777" w:rsidTr="00550936">
        <w:tc>
          <w:tcPr>
            <w:tcW w:w="4675" w:type="dxa"/>
          </w:tcPr>
          <w:p w14:paraId="154A86D0" w14:textId="77777777" w:rsidR="00550936" w:rsidRPr="0026795D" w:rsidRDefault="00550936" w:rsidP="00550936">
            <w:pPr>
              <w:jc w:val="center"/>
              <w:rPr>
                <w:rFonts w:ascii="Century Gothic" w:hAnsi="Century Gothic"/>
                <w:b/>
                <w:sz w:val="28"/>
                <w:szCs w:val="24"/>
              </w:rPr>
            </w:pPr>
            <w:r w:rsidRPr="0026795D">
              <w:rPr>
                <w:rFonts w:ascii="Century Gothic" w:hAnsi="Century Gothic"/>
                <w:b/>
                <w:sz w:val="28"/>
                <w:szCs w:val="24"/>
              </w:rPr>
              <w:t>DIP. BRENDA FRANCISCA RÍOS</w:t>
            </w:r>
          </w:p>
          <w:p w14:paraId="510499C9" w14:textId="77777777" w:rsidR="00550936" w:rsidRDefault="00550936" w:rsidP="008F0FD6">
            <w:pPr>
              <w:jc w:val="both"/>
              <w:rPr>
                <w:rFonts w:ascii="Century Gothic" w:hAnsi="Century Gothic" w:cs="Arial"/>
                <w:bCs/>
                <w:sz w:val="28"/>
                <w:szCs w:val="28"/>
              </w:rPr>
            </w:pPr>
          </w:p>
          <w:p w14:paraId="17800650" w14:textId="77777777" w:rsidR="00550936" w:rsidRDefault="00550936" w:rsidP="008F0FD6">
            <w:pPr>
              <w:jc w:val="both"/>
              <w:rPr>
                <w:rFonts w:ascii="Century Gothic" w:hAnsi="Century Gothic" w:cs="Arial"/>
                <w:bCs/>
                <w:sz w:val="28"/>
                <w:szCs w:val="28"/>
              </w:rPr>
            </w:pPr>
          </w:p>
          <w:p w14:paraId="2EFD7D1A" w14:textId="69DE7D76" w:rsidR="00550936" w:rsidRDefault="00550936" w:rsidP="008F0FD6">
            <w:pPr>
              <w:jc w:val="both"/>
              <w:rPr>
                <w:rFonts w:ascii="Century Gothic" w:hAnsi="Century Gothic" w:cs="Arial"/>
                <w:bCs/>
                <w:sz w:val="28"/>
                <w:szCs w:val="28"/>
              </w:rPr>
            </w:pPr>
          </w:p>
        </w:tc>
        <w:tc>
          <w:tcPr>
            <w:tcW w:w="4675" w:type="dxa"/>
          </w:tcPr>
          <w:p w14:paraId="49AEC736"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lastRenderedPageBreak/>
              <w:t>DIP. EDIN CUAUHTÉMOC ESTRADA SOTELO</w:t>
            </w:r>
          </w:p>
          <w:p w14:paraId="4DB508F7" w14:textId="77777777" w:rsidR="00550936" w:rsidRDefault="00550936" w:rsidP="008F0FD6">
            <w:pPr>
              <w:jc w:val="both"/>
              <w:rPr>
                <w:rFonts w:ascii="Century Gothic" w:hAnsi="Century Gothic" w:cs="Arial"/>
                <w:bCs/>
                <w:sz w:val="28"/>
                <w:szCs w:val="28"/>
              </w:rPr>
            </w:pPr>
          </w:p>
        </w:tc>
      </w:tr>
      <w:tr w:rsidR="00550936" w14:paraId="276FE90F" w14:textId="77777777" w:rsidTr="00550936">
        <w:tc>
          <w:tcPr>
            <w:tcW w:w="4675" w:type="dxa"/>
          </w:tcPr>
          <w:p w14:paraId="33C4BC02"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lastRenderedPageBreak/>
              <w:t>DIP. EDITH PALMA ONTIVEROS.</w:t>
            </w:r>
          </w:p>
          <w:p w14:paraId="044D2CE6" w14:textId="77777777" w:rsidR="00550936" w:rsidRDefault="00550936" w:rsidP="008F0FD6">
            <w:pPr>
              <w:jc w:val="both"/>
              <w:rPr>
                <w:rFonts w:ascii="Century Gothic" w:hAnsi="Century Gothic" w:cs="Arial"/>
                <w:bCs/>
                <w:sz w:val="28"/>
                <w:szCs w:val="28"/>
              </w:rPr>
            </w:pPr>
          </w:p>
        </w:tc>
        <w:tc>
          <w:tcPr>
            <w:tcW w:w="4675" w:type="dxa"/>
          </w:tcPr>
          <w:p w14:paraId="1FC01846" w14:textId="3C28A3AB" w:rsidR="00550936" w:rsidRDefault="00550936" w:rsidP="00550936">
            <w:pPr>
              <w:jc w:val="center"/>
              <w:rPr>
                <w:rFonts w:ascii="Century Gothic" w:hAnsi="Century Gothic" w:cs="Arial"/>
                <w:bCs/>
                <w:sz w:val="28"/>
                <w:szCs w:val="28"/>
              </w:rPr>
            </w:pPr>
            <w:r w:rsidRPr="0026795D">
              <w:rPr>
                <w:rFonts w:ascii="Century Gothic" w:hAnsi="Century Gothic"/>
                <w:b/>
                <w:color w:val="000000"/>
                <w:sz w:val="28"/>
                <w:szCs w:val="24"/>
              </w:rPr>
              <w:t>DIP. ELIZABETH GUZMÁN ARGUETA</w:t>
            </w:r>
          </w:p>
        </w:tc>
      </w:tr>
    </w:tbl>
    <w:p w14:paraId="746FDEA7" w14:textId="77777777" w:rsidR="002350D5" w:rsidRDefault="002350D5" w:rsidP="008F0FD6">
      <w:pPr>
        <w:jc w:val="both"/>
        <w:rPr>
          <w:rFonts w:ascii="Century Gothic" w:hAnsi="Century Gothic"/>
          <w:sz w:val="28"/>
          <w:szCs w:val="28"/>
        </w:rPr>
      </w:pPr>
    </w:p>
    <w:p w14:paraId="136AB4EC" w14:textId="6562A841" w:rsidR="00550936" w:rsidRDefault="007C4A86"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4A661D1A" wp14:editId="14DDC2D2">
                <wp:simplePos x="0" y="0"/>
                <wp:positionH relativeFrom="margin">
                  <wp:align>left</wp:align>
                </wp:positionH>
                <wp:positionV relativeFrom="paragraph">
                  <wp:posOffset>5317066</wp:posOffset>
                </wp:positionV>
                <wp:extent cx="6333067" cy="677333"/>
                <wp:effectExtent l="0" t="0" r="10795" b="27940"/>
                <wp:wrapNone/>
                <wp:docPr id="2" name="Cuadro de texto 2"/>
                <wp:cNvGraphicFramePr/>
                <a:graphic xmlns:a="http://schemas.openxmlformats.org/drawingml/2006/main">
                  <a:graphicData uri="http://schemas.microsoft.com/office/word/2010/wordprocessingShape">
                    <wps:wsp>
                      <wps:cNvSpPr txBox="1"/>
                      <wps:spPr>
                        <a:xfrm>
                          <a:off x="0" y="0"/>
                          <a:ext cx="6333067" cy="677333"/>
                        </a:xfrm>
                        <a:prstGeom prst="rect">
                          <a:avLst/>
                        </a:prstGeom>
                        <a:solidFill>
                          <a:schemeClr val="lt1"/>
                        </a:solidFill>
                        <a:ln w="6350">
                          <a:solidFill>
                            <a:prstClr val="black"/>
                          </a:solidFill>
                        </a:ln>
                      </wps:spPr>
                      <wps:txbx>
                        <w:txbxContent>
                          <w:p w14:paraId="4A57CA01" w14:textId="24155D5B" w:rsidR="00475E1C" w:rsidRDefault="00475E1C" w:rsidP="00475E1C">
                            <w:r>
                              <w:t xml:space="preserve">La presente hoja de firmas forma parte del </w:t>
                            </w:r>
                            <w:r w:rsidR="00B459D7" w:rsidRPr="00B459D7">
                              <w:t xml:space="preserve">proyecto con carácter de DECRETO </w:t>
                            </w:r>
                            <w:r w:rsidR="007C4A86" w:rsidRPr="007C4A86">
                              <w:t>proyecto con carácter de DECRETO, a fin de reformar diversos artículos del Código Penal del Estado de Chihuahua para actualizarlos con el lenguaje incluyente adecuado</w:t>
                            </w:r>
                            <w:r w:rsidR="007C4A8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61D1A" id="_x0000_t202" coordsize="21600,21600" o:spt="202" path="m,l,21600r21600,l21600,xe">
                <v:stroke joinstyle="miter"/>
                <v:path gradientshapeok="t" o:connecttype="rect"/>
              </v:shapetype>
              <v:shape id="Cuadro de texto 2" o:spid="_x0000_s1026" type="#_x0000_t202" style="position:absolute;left:0;text-align:left;margin-left:0;margin-top:418.65pt;width:498.65pt;height:5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RHUAIAAKgEAAAOAAAAZHJzL2Uyb0RvYy54bWysVE1v2zAMvQ/YfxB0X+x8NOmMOEWWIsOA&#10;oC2QDj0rshwbk0RNUmJnv36U7KRpt9Owi0KKz0/kI5n5XaskOQrratA5HQ5SSoTmUNR6n9Pvz+tP&#10;t5Q4z3TBJGiR05Nw9G7x8cO8MZkYQQWyEJYgiXZZY3JaeW+yJHG8Eoq5ARihMViCVcyja/dJYVmD&#10;7EomozSdJg3Ywljgwjm8ve+CdBH5y1Jw/1iWTngic4q5+XjaeO7CmSzmLNtbZqqa92mwf8hCsVrj&#10;oxeqe+YZOdj6DypVcwsOSj/goBIoy5qLWANWM0zfVbOtmBGxFhTHmYtM7v/R8ofjkyV1kdMRJZop&#10;bNHqwAoLpBDEi9YDGQWRGuMyxG4Non37BVps9vne4WWovS2tCr9YFcE4yn26SIxMhOPldDwep9MZ&#10;JRxj09kM3UCTvH5trPNfBSgSjJxabGFUlh03znfQMyQ85kDWxbqWMjphbMRKWnJk2HDpY45I/gYl&#10;NWlCJjdpJH4TC9SX73eS8R99elco5JMacw6adLUHy7e7thdqB8UJdbLQjZszfF0j74Y5/8QszhdK&#10;gzvjH/EoJWAy0FuUVGB//e0+4LHtGKWkwXnNqft5YFZQIr9pHIjPw8kkDHh0JjezETr2OrK7juiD&#10;WgEqNMTtNDyaAe/l2SwtqBdcrWV4FUNMc3w7p/5srny3RbiaXCyXEYQjbZjf6K3hgTp0JOj53L4w&#10;a/p+hpl6gPNks+xdWzts+FLD8uChrGPPg8Cdqr3uuA5xavrVDft27UfU6x/M4jcAAAD//wMAUEsD&#10;BBQABgAIAAAAIQDeXnQ12wAAAAgBAAAPAAAAZHJzL2Rvd25yZXYueG1sTI/BTsMwEETvSPyDtUjc&#10;qAOtIAlxKkCFC6cWxHkbbx2LeB3Zbhr+HvcEt1nNaPZNs57dICYK0XpWcLsoQBB3Xls2Cj4/Xm9K&#10;EDEhaxw8k4IfirBuLy8arLU/8ZamXTIil3CsUUGf0lhLGbueHMaFH4mzd/DBYcpnMFIHPOVyN8i7&#10;oriXDi3nDz2O9NJT9707OgWbZ1OZrsTQb0pt7TR/Hd7Nm1LXV/PTI4hEc/oLwxk/o0Obmfb+yDqK&#10;QUEekhSUy4cliGxX1Vnss1itCpBtI/8PaH8BAAD//wMAUEsBAi0AFAAGAAgAAAAhALaDOJL+AAAA&#10;4QEAABMAAAAAAAAAAAAAAAAAAAAAAFtDb250ZW50X1R5cGVzXS54bWxQSwECLQAUAAYACAAAACEA&#10;OP0h/9YAAACUAQAACwAAAAAAAAAAAAAAAAAvAQAAX3JlbHMvLnJlbHNQSwECLQAUAAYACAAAACEA&#10;NfJUR1ACAACoBAAADgAAAAAAAAAAAAAAAAAuAgAAZHJzL2Uyb0RvYy54bWxQSwECLQAUAAYACAAA&#10;ACEA3l50NdsAAAAIAQAADwAAAAAAAAAAAAAAAACqBAAAZHJzL2Rvd25yZXYueG1sUEsFBgAAAAAE&#10;AAQA8wAAALIFAAAAAA==&#10;" fillcolor="white [3201]" strokeweight=".5pt">
                <v:textbox>
                  <w:txbxContent>
                    <w:p w14:paraId="4A57CA01" w14:textId="24155D5B" w:rsidR="00475E1C" w:rsidRDefault="00475E1C" w:rsidP="00475E1C">
                      <w:r>
                        <w:t xml:space="preserve">La presente hoja de firmas forma parte del </w:t>
                      </w:r>
                      <w:r w:rsidR="00B459D7" w:rsidRPr="00B459D7">
                        <w:t xml:space="preserve">proyecto con carácter de DECRETO </w:t>
                      </w:r>
                      <w:r w:rsidR="007C4A86" w:rsidRPr="007C4A86">
                        <w:t>proyecto con carácter de DECRETO, a fin de reformar diversos artículos del Código Penal del Estado de Chihuahua para actualizarlos con el lenguaje incluyente adecuado</w:t>
                      </w:r>
                      <w:r w:rsidR="007C4A86">
                        <w:t>.</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3C03B96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LETICIA ORTEGA MÁYNEZ.</w:t>
            </w:r>
          </w:p>
          <w:p w14:paraId="418C7989" w14:textId="3E2FE5A0" w:rsidR="00550936" w:rsidRDefault="00550936" w:rsidP="008F0FD6">
            <w:pPr>
              <w:jc w:val="both"/>
              <w:rPr>
                <w:rFonts w:ascii="Century Gothic" w:hAnsi="Century Gothic"/>
                <w:sz w:val="28"/>
                <w:szCs w:val="28"/>
              </w:rPr>
            </w:pPr>
          </w:p>
          <w:p w14:paraId="4E89033D" w14:textId="77777777" w:rsidR="002350D5" w:rsidRDefault="002350D5" w:rsidP="008F0FD6">
            <w:pPr>
              <w:jc w:val="both"/>
              <w:rPr>
                <w:rFonts w:ascii="Century Gothic" w:hAnsi="Century Gothic"/>
                <w:sz w:val="28"/>
                <w:szCs w:val="28"/>
              </w:rPr>
            </w:pPr>
          </w:p>
          <w:p w14:paraId="62D2BE0A" w14:textId="02BDAC6D" w:rsidR="002350D5" w:rsidRDefault="002350D5" w:rsidP="008F0FD6">
            <w:pPr>
              <w:jc w:val="both"/>
              <w:rPr>
                <w:rFonts w:ascii="Century Gothic" w:hAnsi="Century Gothic"/>
                <w:sz w:val="28"/>
                <w:szCs w:val="28"/>
              </w:rPr>
            </w:pPr>
          </w:p>
        </w:tc>
        <w:tc>
          <w:tcPr>
            <w:tcW w:w="4675" w:type="dxa"/>
          </w:tcPr>
          <w:p w14:paraId="3483CB27"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39AE371"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ROSANA DÍAZ REYES.</w:t>
            </w:r>
          </w:p>
          <w:p w14:paraId="5D3973A2" w14:textId="77777777" w:rsidR="00550936" w:rsidRDefault="00550936" w:rsidP="008F0FD6">
            <w:pPr>
              <w:jc w:val="both"/>
              <w:rPr>
                <w:rFonts w:ascii="Century Gothic" w:hAnsi="Century Gothic"/>
                <w:sz w:val="28"/>
                <w:szCs w:val="28"/>
              </w:rPr>
            </w:pPr>
          </w:p>
          <w:p w14:paraId="632705D1" w14:textId="77777777" w:rsidR="002350D5" w:rsidRDefault="002350D5" w:rsidP="008F0FD6">
            <w:pPr>
              <w:jc w:val="both"/>
              <w:rPr>
                <w:rFonts w:ascii="Century Gothic" w:hAnsi="Century Gothic"/>
                <w:sz w:val="28"/>
                <w:szCs w:val="28"/>
              </w:rPr>
            </w:pPr>
          </w:p>
          <w:p w14:paraId="7DFBD698" w14:textId="0015E60C" w:rsidR="002350D5" w:rsidRDefault="002350D5" w:rsidP="008F0FD6">
            <w:pPr>
              <w:jc w:val="both"/>
              <w:rPr>
                <w:rFonts w:ascii="Century Gothic" w:hAnsi="Century Gothic"/>
                <w:sz w:val="28"/>
                <w:szCs w:val="28"/>
              </w:rPr>
            </w:pPr>
          </w:p>
        </w:tc>
        <w:tc>
          <w:tcPr>
            <w:tcW w:w="4675" w:type="dxa"/>
          </w:tcPr>
          <w:p w14:paraId="41649010" w14:textId="3EC0CBA5"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PEDRO TORRES ESTRADA</w:t>
            </w:r>
          </w:p>
        </w:tc>
      </w:tr>
      <w:tr w:rsidR="00550936" w14:paraId="29177679" w14:textId="77777777" w:rsidTr="002350D5">
        <w:tc>
          <w:tcPr>
            <w:tcW w:w="4675" w:type="dxa"/>
          </w:tcPr>
          <w:p w14:paraId="7F5F1A2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MAGDALENA RENTERÍA PÉREZ.</w:t>
            </w:r>
          </w:p>
          <w:p w14:paraId="6DF1333B" w14:textId="77777777" w:rsidR="00550936" w:rsidRDefault="00550936" w:rsidP="008F0FD6">
            <w:pPr>
              <w:jc w:val="both"/>
              <w:rPr>
                <w:rFonts w:ascii="Century Gothic" w:hAnsi="Century Gothic"/>
                <w:sz w:val="28"/>
                <w:szCs w:val="28"/>
              </w:rPr>
            </w:pPr>
          </w:p>
          <w:p w14:paraId="36E7A704" w14:textId="5947538C" w:rsidR="002350D5" w:rsidRDefault="002350D5"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77777777" w:rsidR="00550936" w:rsidRDefault="00550936" w:rsidP="008F0FD6">
            <w:pPr>
              <w:jc w:val="both"/>
              <w:rPr>
                <w:rFonts w:ascii="Century Gothic" w:hAnsi="Century Gothic"/>
                <w:sz w:val="28"/>
                <w:szCs w:val="28"/>
              </w:rPr>
            </w:pPr>
          </w:p>
        </w:tc>
      </w:tr>
    </w:tbl>
    <w:p w14:paraId="71EFD0F0" w14:textId="4EA9DBD0" w:rsidR="00550936" w:rsidRPr="008F0FD6" w:rsidRDefault="00550936" w:rsidP="008F0FD6">
      <w:pPr>
        <w:jc w:val="both"/>
        <w:rPr>
          <w:rFonts w:ascii="Century Gothic" w:hAnsi="Century Gothic"/>
          <w:sz w:val="28"/>
          <w:szCs w:val="28"/>
        </w:rPr>
      </w:pPr>
    </w:p>
    <w:sectPr w:rsidR="00550936" w:rsidRPr="008F0FD6" w:rsidSect="00035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7B04" w14:textId="77777777" w:rsidR="00E81C9E" w:rsidRDefault="00E81C9E" w:rsidP="009326A5">
      <w:pPr>
        <w:spacing w:after="0" w:line="240" w:lineRule="auto"/>
      </w:pPr>
      <w:r>
        <w:separator/>
      </w:r>
    </w:p>
  </w:endnote>
  <w:endnote w:type="continuationSeparator" w:id="0">
    <w:p w14:paraId="2E89EB65" w14:textId="77777777" w:rsidR="00E81C9E" w:rsidRDefault="00E81C9E"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77777777" w:rsidR="00467346" w:rsidRDefault="00467346" w:rsidP="009326A5">
    <w:pPr>
      <w:pStyle w:val="Piedepgina"/>
      <w:jc w:val="center"/>
      <w:rPr>
        <w:b/>
        <w:bCs/>
      </w:rPr>
    </w:pPr>
    <w:r>
      <w:rPr>
        <w:b/>
        <w:bCs/>
        <w:noProof/>
      </w:rPr>
      <mc:AlternateContent>
        <mc:Choice Requires="wps">
          <w:drawing>
            <wp:anchor distT="0" distB="0" distL="114300" distR="114300" simplePos="0" relativeHeight="251663360" behindDoc="0" locked="0" layoutInCell="1" allowOverlap="1" wp14:anchorId="313E3983" wp14:editId="0905B6EF">
              <wp:simplePos x="0" y="0"/>
              <wp:positionH relativeFrom="margin">
                <wp:align>center</wp:align>
              </wp:positionH>
              <wp:positionV relativeFrom="paragraph">
                <wp:posOffset>68580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14D8A" id="Conector recto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4pt" to="5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YmTzwtgAAAAHAQAA&#10;DwAAAGRycy9kb3ducmV2LnhtbEyPwU7DMAyG70i8Q2QkLoilrSpgpekESIgjYvAAWeM1HYlTkmwr&#10;b48nDnD091u/P7er2TtxwJjGQArKRQECqQ9mpEHBx/vz9R2IlDUZ7QKhgm9MsOrOz1rdmHCkNzys&#10;8yC4hFKjFdicp0bK1Fv0Oi3ChMTZNkSvM49xkCbqI5d7J6uiuJFej8QXrJ7wyWL/ud57BS/2yn+V&#10;9fLVRvd466tdvZNjrdTlxfxwDyLjnP+W4aTP6tCx0ybsySThFPAjmWnB/qe0KCsmm18iu1b+9+9+&#10;AAAA//8DAFBLAQItABQABgAIAAAAIQC2gziS/gAAAOEBAAATAAAAAAAAAAAAAAAAAAAAAABbQ29u&#10;dGVudF9UeXBlc10ueG1sUEsBAi0AFAAGAAgAAAAhADj9If/WAAAAlAEAAAsAAAAAAAAAAAAAAAAA&#10;LwEAAF9yZWxzLy5yZWxzUEsBAi0AFAAGAAgAAAAhAON952o5AgAAyAQAAA4AAAAAAAAAAAAAAAAA&#10;LgIAAGRycy9lMm9Eb2MueG1sUEsBAi0AFAAGAAgAAAAhAGJk88LYAAAABwEAAA8AAAAAAAAAAAAA&#10;AAAAkwQAAGRycy9kb3ducmV2LnhtbFBLBQYAAAAABAAEAPMAAACYBQAAAAA=&#10;" strokecolor="#c00000" strokeweight="2.25pt">
              <v:stroke joinstyle="miter"/>
              <v:shadow on="t" color="black" opacity="26214f" origin="-.5,-.5" offset=".74836mm,.74836mm"/>
              <w10:wrap anchorx="margin"/>
            </v:line>
          </w:pict>
        </mc:Fallback>
      </mc:AlternateContent>
    </w:r>
  </w:p>
  <w:p w14:paraId="5BBD9830" w14:textId="6E5C4852" w:rsidR="009326A5" w:rsidRPr="00567567" w:rsidRDefault="009326A5" w:rsidP="009326A5">
    <w:pPr>
      <w:pStyle w:val="Piedepgina"/>
      <w:jc w:val="center"/>
      <w:rPr>
        <w:b/>
        <w:bCs/>
      </w:rPr>
    </w:pPr>
    <w:r w:rsidRPr="00567567">
      <w:rPr>
        <w:b/>
        <w:bCs/>
      </w:rPr>
      <w:t>“202</w:t>
    </w:r>
    <w:r w:rsidR="00CB1819">
      <w:rPr>
        <w:b/>
        <w:bCs/>
      </w:rPr>
      <w:t>5</w:t>
    </w:r>
    <w:r w:rsidRPr="00567567">
      <w:rPr>
        <w:b/>
        <w:bCs/>
      </w:rPr>
      <w:t xml:space="preserve">, Año del Bicentenario de la </w:t>
    </w:r>
    <w:r w:rsidR="00F371D5">
      <w:rPr>
        <w:b/>
        <w:bCs/>
      </w:rPr>
      <w:t>Primera Constitución</w:t>
    </w:r>
    <w:r w:rsidRPr="00567567">
      <w:rPr>
        <w:b/>
        <w:bCs/>
      </w:rPr>
      <w:t xml:space="preserve"> del Estado de Chihuahua”</w:t>
    </w:r>
  </w:p>
  <w:p w14:paraId="138451BE" w14:textId="77777777" w:rsidR="00475CEA" w:rsidRPr="00475CEA" w:rsidRDefault="00475CEA" w:rsidP="00475CEA">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sidR="006C6B4D">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56409381" w14:textId="77777777" w:rsidR="009326A5" w:rsidRDefault="00932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ED5F" w14:textId="77777777" w:rsidR="00E81C9E" w:rsidRDefault="00E81C9E" w:rsidP="009326A5">
      <w:pPr>
        <w:spacing w:after="0" w:line="240" w:lineRule="auto"/>
      </w:pPr>
      <w:r>
        <w:separator/>
      </w:r>
    </w:p>
  </w:footnote>
  <w:footnote w:type="continuationSeparator" w:id="0">
    <w:p w14:paraId="32FC5E35" w14:textId="77777777" w:rsidR="00E81C9E" w:rsidRDefault="00E81C9E"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35E39"/>
    <w:rsid w:val="00074EE4"/>
    <w:rsid w:val="000C16B4"/>
    <w:rsid w:val="000E24E2"/>
    <w:rsid w:val="00102055"/>
    <w:rsid w:val="00145FE6"/>
    <w:rsid w:val="001E42BE"/>
    <w:rsid w:val="001E730F"/>
    <w:rsid w:val="00224F92"/>
    <w:rsid w:val="002350D5"/>
    <w:rsid w:val="00292BB1"/>
    <w:rsid w:val="002B3096"/>
    <w:rsid w:val="002B5D1A"/>
    <w:rsid w:val="002D3521"/>
    <w:rsid w:val="00307D78"/>
    <w:rsid w:val="00312FA1"/>
    <w:rsid w:val="00373896"/>
    <w:rsid w:val="0038490E"/>
    <w:rsid w:val="003E2041"/>
    <w:rsid w:val="003F2B02"/>
    <w:rsid w:val="00427610"/>
    <w:rsid w:val="00435012"/>
    <w:rsid w:val="00467346"/>
    <w:rsid w:val="00475CEA"/>
    <w:rsid w:val="00475E1C"/>
    <w:rsid w:val="004E1F8B"/>
    <w:rsid w:val="00517712"/>
    <w:rsid w:val="005470CB"/>
    <w:rsid w:val="00550936"/>
    <w:rsid w:val="005562D4"/>
    <w:rsid w:val="005D359B"/>
    <w:rsid w:val="00601F6E"/>
    <w:rsid w:val="00631204"/>
    <w:rsid w:val="006566AC"/>
    <w:rsid w:val="00673440"/>
    <w:rsid w:val="006953D0"/>
    <w:rsid w:val="006C6B4D"/>
    <w:rsid w:val="007C4A86"/>
    <w:rsid w:val="007C56A9"/>
    <w:rsid w:val="008177A6"/>
    <w:rsid w:val="00882BF3"/>
    <w:rsid w:val="008F0FD6"/>
    <w:rsid w:val="00902492"/>
    <w:rsid w:val="0091098D"/>
    <w:rsid w:val="009307C7"/>
    <w:rsid w:val="009326A5"/>
    <w:rsid w:val="009B7AB3"/>
    <w:rsid w:val="009E0E11"/>
    <w:rsid w:val="009E3534"/>
    <w:rsid w:val="00A200B9"/>
    <w:rsid w:val="00B24F27"/>
    <w:rsid w:val="00B26B63"/>
    <w:rsid w:val="00B459D7"/>
    <w:rsid w:val="00B60555"/>
    <w:rsid w:val="00BC57C3"/>
    <w:rsid w:val="00C91B8C"/>
    <w:rsid w:val="00CB1819"/>
    <w:rsid w:val="00DA2F80"/>
    <w:rsid w:val="00DD0FA9"/>
    <w:rsid w:val="00E02A33"/>
    <w:rsid w:val="00E243A7"/>
    <w:rsid w:val="00E81C9E"/>
    <w:rsid w:val="00F371D5"/>
    <w:rsid w:val="00F4492B"/>
    <w:rsid w:val="00F6320E"/>
    <w:rsid w:val="00FD3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2025-03-31T16:40:00Z</cp:lastPrinted>
  <dcterms:created xsi:type="dcterms:W3CDTF">2025-04-28T18:59:00Z</dcterms:created>
  <dcterms:modified xsi:type="dcterms:W3CDTF">2025-04-28T18:59:00Z</dcterms:modified>
</cp:coreProperties>
</file>