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B1F6" w14:textId="77777777" w:rsidR="00DB3F45" w:rsidRPr="009715A5" w:rsidRDefault="00DB3F45" w:rsidP="00252957">
      <w:pPr>
        <w:rPr>
          <w:rFonts w:ascii="Arial" w:hAnsi="Arial" w:cs="Arial"/>
          <w:u w:val="single"/>
        </w:rPr>
      </w:pPr>
    </w:p>
    <w:p w14:paraId="0869172B" w14:textId="77777777" w:rsidR="007F665E" w:rsidRDefault="007F665E" w:rsidP="00252957">
      <w:pPr>
        <w:jc w:val="right"/>
        <w:rPr>
          <w:rFonts w:ascii="Arial" w:hAnsi="Arial" w:cs="Arial"/>
        </w:rPr>
      </w:pPr>
    </w:p>
    <w:p w14:paraId="42AA7635" w14:textId="77777777" w:rsidR="007F665E" w:rsidRPr="007F665E" w:rsidRDefault="007F665E" w:rsidP="00252957">
      <w:pPr>
        <w:jc w:val="right"/>
        <w:rPr>
          <w:rFonts w:ascii="Arial" w:hAnsi="Arial" w:cs="Arial"/>
        </w:rPr>
      </w:pPr>
    </w:p>
    <w:p w14:paraId="2085A1D4" w14:textId="77777777" w:rsidR="007F665E" w:rsidRDefault="007F665E" w:rsidP="00252957">
      <w:pPr>
        <w:rPr>
          <w:rFonts w:ascii="Arial" w:hAnsi="Arial" w:cs="Arial"/>
        </w:rPr>
      </w:pPr>
    </w:p>
    <w:p w14:paraId="419DFBEF" w14:textId="7027623B" w:rsidR="007F665E" w:rsidRDefault="007F665E" w:rsidP="00252957">
      <w:pPr>
        <w:rPr>
          <w:rFonts w:ascii="Arial" w:hAnsi="Arial" w:cs="Arial"/>
        </w:rPr>
      </w:pPr>
    </w:p>
    <w:p w14:paraId="31F058B0" w14:textId="77777777" w:rsidR="00014E59" w:rsidRPr="007F665E" w:rsidRDefault="00014E59" w:rsidP="00252957">
      <w:pPr>
        <w:rPr>
          <w:rFonts w:ascii="Arial" w:hAnsi="Arial" w:cs="Arial"/>
        </w:rPr>
      </w:pPr>
    </w:p>
    <w:p w14:paraId="3ED41079" w14:textId="35B57857" w:rsidR="00014E59" w:rsidRPr="00245CA4" w:rsidRDefault="00014E59" w:rsidP="00252957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245CA4">
        <w:rPr>
          <w:rFonts w:ascii="Century Gothic" w:hAnsi="Century Gothic"/>
          <w:b/>
          <w:sz w:val="24"/>
          <w:szCs w:val="24"/>
        </w:rPr>
        <w:t>H. CONGRESO DEL ESTADO</w:t>
      </w:r>
      <w:r w:rsidR="00DA1220">
        <w:rPr>
          <w:rFonts w:ascii="Century Gothic" w:hAnsi="Century Gothic"/>
          <w:b/>
          <w:sz w:val="24"/>
          <w:szCs w:val="24"/>
        </w:rPr>
        <w:t xml:space="preserve"> DEL ESTADO DE CHIHUAHUA</w:t>
      </w:r>
    </w:p>
    <w:p w14:paraId="6888BAB6" w14:textId="77777777" w:rsidR="00014E59" w:rsidRPr="00245CA4" w:rsidRDefault="00014E59" w:rsidP="00252957">
      <w:pPr>
        <w:spacing w:after="0" w:line="360" w:lineRule="auto"/>
        <w:jc w:val="both"/>
        <w:rPr>
          <w:rFonts w:ascii="Century Gothic" w:hAnsi="Century Gothic"/>
          <w:b/>
          <w:spacing w:val="20"/>
          <w:sz w:val="24"/>
          <w:szCs w:val="24"/>
        </w:rPr>
      </w:pPr>
      <w:r w:rsidRPr="00245CA4">
        <w:rPr>
          <w:rFonts w:ascii="Century Gothic" w:hAnsi="Century Gothic"/>
          <w:b/>
          <w:spacing w:val="20"/>
          <w:sz w:val="24"/>
          <w:szCs w:val="24"/>
        </w:rPr>
        <w:t>PRESENTE. -</w:t>
      </w:r>
    </w:p>
    <w:p w14:paraId="7038871F" w14:textId="77777777" w:rsidR="00252957" w:rsidRDefault="00252957" w:rsidP="0025295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A2FDCFA" w14:textId="6E529535" w:rsidR="00014E59" w:rsidRPr="00245CA4" w:rsidRDefault="00014E59" w:rsidP="0025295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B42826">
        <w:rPr>
          <w:rFonts w:ascii="Century Gothic" w:hAnsi="Century Gothic"/>
          <w:sz w:val="24"/>
          <w:szCs w:val="24"/>
        </w:rPr>
        <w:t xml:space="preserve">Quien suscribe, </w:t>
      </w:r>
      <w:r w:rsidRPr="001C1398">
        <w:rPr>
          <w:rFonts w:ascii="Century Gothic" w:hAnsi="Century Gothic"/>
          <w:b/>
          <w:bCs/>
          <w:sz w:val="24"/>
          <w:szCs w:val="24"/>
        </w:rPr>
        <w:t>JOSÉ ALFREDO CHÁVEZ MADRID</w:t>
      </w:r>
      <w:r>
        <w:rPr>
          <w:rFonts w:ascii="Century Gothic" w:hAnsi="Century Gothic"/>
          <w:sz w:val="24"/>
          <w:szCs w:val="24"/>
        </w:rPr>
        <w:t xml:space="preserve">, </w:t>
      </w:r>
      <w:r w:rsidRPr="00B42826">
        <w:rPr>
          <w:rFonts w:ascii="Century Gothic" w:hAnsi="Century Gothic"/>
          <w:sz w:val="24"/>
          <w:szCs w:val="24"/>
        </w:rPr>
        <w:t>en mi carácter de diputado a la Sexagésima Octava Legislatura del Honorable Congreso del Estado</w:t>
      </w:r>
      <w:r w:rsidR="00DA1220">
        <w:rPr>
          <w:rFonts w:ascii="Century Gothic" w:hAnsi="Century Gothic"/>
          <w:sz w:val="24"/>
          <w:szCs w:val="24"/>
        </w:rPr>
        <w:t>, integrante del Grupo Parlamentario del Partido Acción Nacional, y en su representación</w:t>
      </w:r>
      <w:r w:rsidRPr="00B42826">
        <w:rPr>
          <w:rFonts w:ascii="Century Gothic" w:hAnsi="Century Gothic"/>
          <w:sz w:val="24"/>
          <w:szCs w:val="24"/>
        </w:rPr>
        <w:t>; en uso de las atribuciones conferidas por los artículos 64 fracciones I y II, 68 fracción I, de la Constitución Política del Estado de Chihuahua; 167, fracción I y 172 de la Ley Orgánica del Poder Legislativo; así como 75 y 76 del Reglamento Interior y de Prácticas Parlamentarias, comparezco ante esta Honorable Representación Popular</w:t>
      </w:r>
      <w:r>
        <w:rPr>
          <w:rFonts w:ascii="Century Gothic" w:hAnsi="Century Gothic"/>
          <w:sz w:val="24"/>
          <w:szCs w:val="24"/>
        </w:rPr>
        <w:t>,</w:t>
      </w:r>
      <w:r w:rsidRPr="00B42826">
        <w:rPr>
          <w:rFonts w:ascii="Century Gothic" w:hAnsi="Century Gothic"/>
          <w:sz w:val="24"/>
          <w:szCs w:val="24"/>
        </w:rPr>
        <w:t xml:space="preserve"> para presentar iniciativa con carácter </w:t>
      </w:r>
      <w:r w:rsidRPr="00245CA4">
        <w:rPr>
          <w:rFonts w:ascii="Century Gothic" w:hAnsi="Century Gothic"/>
          <w:b/>
          <w:sz w:val="24"/>
          <w:szCs w:val="24"/>
        </w:rPr>
        <w:t>DECRETO</w:t>
      </w:r>
      <w:r w:rsidRPr="00245CA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 efecto de</w:t>
      </w:r>
      <w:r w:rsidR="00DD3ECF">
        <w:rPr>
          <w:rFonts w:ascii="Century Gothic" w:hAnsi="Century Gothic"/>
          <w:sz w:val="24"/>
          <w:szCs w:val="24"/>
        </w:rPr>
        <w:t xml:space="preserve"> adicionar diversas disposiciones de</w:t>
      </w:r>
      <w:r w:rsidR="006C689A">
        <w:rPr>
          <w:rFonts w:ascii="Century Gothic" w:hAnsi="Century Gothic"/>
          <w:sz w:val="24"/>
          <w:szCs w:val="24"/>
        </w:rPr>
        <w:t xml:space="preserve"> la Ley de Niñas, Niños y Adolescentes, así como</w:t>
      </w:r>
      <w:r w:rsidR="00DD3ECF">
        <w:rPr>
          <w:rFonts w:ascii="Century Gothic" w:hAnsi="Century Gothic"/>
          <w:sz w:val="24"/>
          <w:szCs w:val="24"/>
        </w:rPr>
        <w:t xml:space="preserve"> de</w:t>
      </w:r>
      <w:r w:rsidR="004D1AA7">
        <w:rPr>
          <w:rFonts w:ascii="Century Gothic" w:hAnsi="Century Gothic"/>
          <w:sz w:val="24"/>
          <w:szCs w:val="24"/>
        </w:rPr>
        <w:t xml:space="preserve"> la Ley </w:t>
      </w:r>
      <w:r w:rsidR="00B328A2">
        <w:rPr>
          <w:rFonts w:ascii="Century Gothic" w:hAnsi="Century Gothic"/>
          <w:sz w:val="24"/>
          <w:szCs w:val="24"/>
        </w:rPr>
        <w:t xml:space="preserve">de Prevención Social de la </w:t>
      </w:r>
      <w:r w:rsidR="00B328A2" w:rsidRPr="00B328A2">
        <w:rPr>
          <w:rFonts w:ascii="Century Gothic" w:hAnsi="Century Gothic"/>
          <w:sz w:val="24"/>
          <w:szCs w:val="24"/>
        </w:rPr>
        <w:t>Violencia y la Delincuencia, con Participación Ciudadana</w:t>
      </w:r>
      <w:r w:rsidR="00DD3ECF">
        <w:rPr>
          <w:rFonts w:ascii="Century Gothic" w:hAnsi="Century Gothic"/>
          <w:sz w:val="24"/>
          <w:szCs w:val="24"/>
        </w:rPr>
        <w:t>,</w:t>
      </w:r>
      <w:r w:rsidR="00B328A2" w:rsidRPr="00B328A2">
        <w:rPr>
          <w:rFonts w:ascii="Century Gothic" w:hAnsi="Century Gothic"/>
          <w:sz w:val="24"/>
          <w:szCs w:val="24"/>
        </w:rPr>
        <w:t xml:space="preserve"> </w:t>
      </w:r>
      <w:r w:rsidR="006C689A">
        <w:rPr>
          <w:rFonts w:ascii="Century Gothic" w:hAnsi="Century Gothic"/>
          <w:sz w:val="24"/>
          <w:szCs w:val="24"/>
        </w:rPr>
        <w:t xml:space="preserve">ambos ordenamientos </w:t>
      </w:r>
      <w:r w:rsidR="00B328A2" w:rsidRPr="00B328A2">
        <w:rPr>
          <w:rFonts w:ascii="Century Gothic" w:hAnsi="Century Gothic"/>
          <w:sz w:val="24"/>
          <w:szCs w:val="24"/>
        </w:rPr>
        <w:t>del Estado de Chihuahua</w:t>
      </w:r>
      <w:r w:rsidRPr="00245CA4">
        <w:rPr>
          <w:rFonts w:ascii="Century Gothic" w:hAnsi="Century Gothic"/>
          <w:sz w:val="24"/>
          <w:szCs w:val="24"/>
        </w:rPr>
        <w:t xml:space="preserve">, </w:t>
      </w:r>
      <w:r w:rsidR="004D1AA7">
        <w:rPr>
          <w:rFonts w:ascii="Century Gothic" w:hAnsi="Century Gothic"/>
          <w:sz w:val="24"/>
          <w:szCs w:val="24"/>
        </w:rPr>
        <w:t xml:space="preserve">con el propósito </w:t>
      </w:r>
      <w:r w:rsidR="00DD3ECF">
        <w:rPr>
          <w:rFonts w:ascii="Century Gothic" w:hAnsi="Century Gothic"/>
          <w:sz w:val="24"/>
          <w:szCs w:val="24"/>
        </w:rPr>
        <w:t xml:space="preserve">de que la prevención de la violencia sea con </w:t>
      </w:r>
      <w:r w:rsidR="00417A5D">
        <w:rPr>
          <w:rFonts w:ascii="Century Gothic" w:hAnsi="Century Gothic"/>
          <w:sz w:val="24"/>
          <w:szCs w:val="24"/>
        </w:rPr>
        <w:t>perspectiva de niñez y juventud</w:t>
      </w:r>
      <w:r w:rsidR="008A6540">
        <w:rPr>
          <w:rFonts w:ascii="Century Gothic" w:hAnsi="Century Gothic"/>
          <w:sz w:val="24"/>
          <w:szCs w:val="24"/>
        </w:rPr>
        <w:t xml:space="preserve">, </w:t>
      </w:r>
      <w:r w:rsidR="00F6627D">
        <w:rPr>
          <w:rFonts w:ascii="Century Gothic" w:hAnsi="Century Gothic"/>
          <w:sz w:val="24"/>
          <w:szCs w:val="24"/>
        </w:rPr>
        <w:t xml:space="preserve">ello con </w:t>
      </w:r>
      <w:r w:rsidRPr="00245CA4">
        <w:rPr>
          <w:rFonts w:ascii="Century Gothic" w:hAnsi="Century Gothic"/>
          <w:sz w:val="24"/>
          <w:szCs w:val="24"/>
        </w:rPr>
        <w:t>sustento en la siguiente:</w:t>
      </w:r>
    </w:p>
    <w:p w14:paraId="593D285A" w14:textId="77777777" w:rsidR="00014E59" w:rsidRPr="00245CA4" w:rsidRDefault="00014E59" w:rsidP="00014E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18260E10" w14:textId="65E6A640" w:rsidR="008B4F5B" w:rsidRPr="00135329" w:rsidRDefault="00014E59" w:rsidP="00064182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45CA4">
        <w:rPr>
          <w:rFonts w:ascii="Century Gothic" w:hAnsi="Century Gothic"/>
          <w:b/>
          <w:spacing w:val="20"/>
          <w:sz w:val="24"/>
          <w:szCs w:val="24"/>
        </w:rPr>
        <w:t>EXPOSICIÓN DE MOTIVOS</w:t>
      </w:r>
    </w:p>
    <w:p w14:paraId="4E9FEC87" w14:textId="77777777" w:rsidR="00DA1220" w:rsidRDefault="00D558EC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El interés superior de la niñez, es un principio fundamental de nuestro orden jurídico mexicano, mismo, que emana de diversas recomendaciones </w:t>
      </w:r>
    </w:p>
    <w:p w14:paraId="403C3CAB" w14:textId="77777777" w:rsidR="00DA1220" w:rsidRDefault="00DA1220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5C1464E1" w14:textId="77777777" w:rsidR="00DA1220" w:rsidRDefault="00DA1220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5CE293FC" w14:textId="77777777" w:rsidR="00DA1220" w:rsidRDefault="00DA1220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63444419" w14:textId="77777777" w:rsidR="00DA1220" w:rsidRDefault="00DA1220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7C18AE6F" w14:textId="77777777" w:rsidR="00DA1220" w:rsidRDefault="00DA1220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0E6BCB4D" w14:textId="59E8D5AE" w:rsidR="00064182" w:rsidRDefault="00D558EC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internacionales, así como de</w:t>
      </w:r>
      <w:r w:rsidR="00417A5D">
        <w:rPr>
          <w:rFonts w:ascii="Century Gothic" w:hAnsi="Century Gothic"/>
          <w:bCs/>
          <w:sz w:val="24"/>
          <w:szCs w:val="24"/>
        </w:rPr>
        <w:t xml:space="preserve"> la</w:t>
      </w:r>
      <w:r>
        <w:rPr>
          <w:rFonts w:ascii="Century Gothic" w:hAnsi="Century Gothic"/>
          <w:bCs/>
          <w:sz w:val="24"/>
          <w:szCs w:val="24"/>
        </w:rPr>
        <w:t xml:space="preserve"> legislación internacional contemplada en tratados que nuestro país ha ratificado. </w:t>
      </w:r>
    </w:p>
    <w:p w14:paraId="3DADCC49" w14:textId="58631207" w:rsidR="00D558EC" w:rsidRDefault="00D558EC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En consecuencia, México se ha comprometido a </w:t>
      </w:r>
      <w:r w:rsidR="004611BB">
        <w:rPr>
          <w:rFonts w:ascii="Century Gothic" w:hAnsi="Century Gothic"/>
          <w:bCs/>
          <w:sz w:val="24"/>
          <w:szCs w:val="24"/>
        </w:rPr>
        <w:t xml:space="preserve">garantizar el mismo, desde la legislación, la política pública, así como en el actuar de las autoridades de los tres órdenes de gobierno y </w:t>
      </w:r>
      <w:r w:rsidR="00417A5D">
        <w:rPr>
          <w:rFonts w:ascii="Century Gothic" w:hAnsi="Century Gothic"/>
          <w:bCs/>
          <w:sz w:val="24"/>
          <w:szCs w:val="24"/>
        </w:rPr>
        <w:t xml:space="preserve">de </w:t>
      </w:r>
      <w:r w:rsidR="004611BB">
        <w:rPr>
          <w:rFonts w:ascii="Century Gothic" w:hAnsi="Century Gothic"/>
          <w:bCs/>
          <w:sz w:val="24"/>
          <w:szCs w:val="24"/>
        </w:rPr>
        <w:t>los distintos poderes del estado.</w:t>
      </w:r>
    </w:p>
    <w:p w14:paraId="775D33B2" w14:textId="733F0CCF" w:rsidR="00417A5D" w:rsidRDefault="00417A5D" w:rsidP="008B4F5B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No </w:t>
      </w:r>
      <w:proofErr w:type="gramStart"/>
      <w:r>
        <w:rPr>
          <w:rFonts w:ascii="Century Gothic" w:hAnsi="Century Gothic"/>
          <w:bCs/>
          <w:sz w:val="24"/>
          <w:szCs w:val="24"/>
        </w:rPr>
        <w:t>obstante</w:t>
      </w:r>
      <w:proofErr w:type="gramEnd"/>
      <w:r>
        <w:rPr>
          <w:rFonts w:ascii="Century Gothic" w:hAnsi="Century Gothic"/>
          <w:bCs/>
          <w:sz w:val="24"/>
          <w:szCs w:val="24"/>
        </w:rPr>
        <w:t xml:space="preserve"> lo anterior,</w:t>
      </w:r>
      <w:r w:rsidR="0076582A">
        <w:rPr>
          <w:rFonts w:ascii="Century Gothic" w:hAnsi="Century Gothic"/>
          <w:bCs/>
          <w:sz w:val="24"/>
          <w:szCs w:val="24"/>
        </w:rPr>
        <w:t xml:space="preserve"> aún existen retos importantes para lograr que </w:t>
      </w:r>
      <w:r>
        <w:rPr>
          <w:rFonts w:ascii="Century Gothic" w:hAnsi="Century Gothic"/>
          <w:bCs/>
          <w:sz w:val="24"/>
          <w:szCs w:val="24"/>
        </w:rPr>
        <w:t xml:space="preserve">las niñas, niños, adolescentes </w:t>
      </w:r>
      <w:r w:rsidR="00DA5F70">
        <w:rPr>
          <w:rFonts w:ascii="Century Gothic" w:hAnsi="Century Gothic"/>
          <w:bCs/>
          <w:sz w:val="24"/>
          <w:szCs w:val="24"/>
        </w:rPr>
        <w:t>así</w:t>
      </w:r>
      <w:r>
        <w:rPr>
          <w:rFonts w:ascii="Century Gothic" w:hAnsi="Century Gothic"/>
          <w:bCs/>
          <w:sz w:val="24"/>
          <w:szCs w:val="24"/>
        </w:rPr>
        <w:t xml:space="preserve"> como las juventudes, </w:t>
      </w:r>
      <w:r w:rsidR="0076582A">
        <w:rPr>
          <w:rFonts w:ascii="Century Gothic" w:hAnsi="Century Gothic"/>
          <w:bCs/>
          <w:sz w:val="24"/>
          <w:szCs w:val="24"/>
        </w:rPr>
        <w:t xml:space="preserve">vivan una vida libre de violencia, en donde pueden ejercer plenamente sus derechos. </w:t>
      </w:r>
    </w:p>
    <w:p w14:paraId="212E3A71" w14:textId="15C06072" w:rsidR="00417A5D" w:rsidRPr="00DA5F70" w:rsidRDefault="0076582A" w:rsidP="008B4F5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En este sentido, d</w:t>
      </w:r>
      <w:r w:rsidR="00417A5D" w:rsidRPr="00DA5F70">
        <w:rPr>
          <w:rFonts w:ascii="Century Gothic" w:hAnsi="Century Gothic"/>
          <w:bCs/>
          <w:sz w:val="24"/>
          <w:szCs w:val="24"/>
        </w:rPr>
        <w:t xml:space="preserve">e conformidad con el artículo </w:t>
      </w:r>
      <w:r w:rsidR="00417A5D" w:rsidRPr="00DA5F70">
        <w:rPr>
          <w:rFonts w:ascii="Century Gothic" w:hAnsi="Century Gothic"/>
          <w:sz w:val="24"/>
          <w:szCs w:val="24"/>
        </w:rPr>
        <w:t>19 de la Convención sobre los Derechos del Niño</w:t>
      </w:r>
      <w:r w:rsidR="0033091A">
        <w:rPr>
          <w:rFonts w:ascii="Century Gothic" w:hAnsi="Century Gothic"/>
          <w:sz w:val="24"/>
          <w:szCs w:val="24"/>
        </w:rPr>
        <w:t>,</w:t>
      </w:r>
      <w:r w:rsidR="00417A5D" w:rsidRPr="00DA5F70">
        <w:rPr>
          <w:rFonts w:ascii="Century Gothic" w:hAnsi="Century Gothic"/>
          <w:sz w:val="24"/>
          <w:szCs w:val="24"/>
        </w:rPr>
        <w:t xml:space="preserve"> las expresiones de violencia incluyen todas las formas físicas o mentales, lesiones o abusos, negligencia o tratos negligentes, maltrato y explotación laboral o sexual. Además, la violencia contra menores puede ocurrir en diversos ámbitos y espacios, como al interior de los hogares o comunidades, en la calle, escuela u otros lugares de cuidado o detención; esto implica que los responsables varían desde familiares, hasta maestros, cuidadores, personal de seguridad pública, incluso otros menores de edad</w:t>
      </w:r>
      <w:r w:rsidR="00A2504D">
        <w:rPr>
          <w:rFonts w:ascii="Century Gothic" w:hAnsi="Century Gothic"/>
          <w:sz w:val="24"/>
          <w:szCs w:val="24"/>
        </w:rPr>
        <w:t>.</w:t>
      </w:r>
    </w:p>
    <w:p w14:paraId="26CA61E6" w14:textId="77777777" w:rsidR="00DA1220" w:rsidRDefault="0076582A" w:rsidP="0006418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Actualmente,</w:t>
      </w:r>
      <w:r w:rsidR="00F10C32">
        <w:rPr>
          <w:rFonts w:ascii="Century Gothic" w:eastAsia="Times New Roman" w:hAnsi="Century Gothic" w:cs="Times New Roman"/>
          <w:sz w:val="24"/>
          <w:szCs w:val="24"/>
        </w:rPr>
        <w:t xml:space="preserve"> l</w:t>
      </w:r>
      <w:r w:rsidR="00F10C32" w:rsidRPr="00DA5F70">
        <w:rPr>
          <w:rFonts w:ascii="Century Gothic" w:eastAsia="Times New Roman" w:hAnsi="Century Gothic" w:cs="Times New Roman"/>
          <w:sz w:val="24"/>
          <w:szCs w:val="24"/>
        </w:rPr>
        <w:t>a violencia contra niñas, niños y adolescentes en México</w:t>
      </w:r>
      <w:r w:rsidR="00C5407F">
        <w:rPr>
          <w:rFonts w:ascii="Century Gothic" w:eastAsia="Times New Roman" w:hAnsi="Century Gothic" w:cs="Times New Roman"/>
          <w:sz w:val="24"/>
          <w:szCs w:val="24"/>
        </w:rPr>
        <w:t>,</w:t>
      </w:r>
      <w:r w:rsidR="00F10C32" w:rsidRPr="00DA5F70">
        <w:rPr>
          <w:rFonts w:ascii="Century Gothic" w:eastAsia="Times New Roman" w:hAnsi="Century Gothic" w:cs="Times New Roman"/>
          <w:sz w:val="24"/>
          <w:szCs w:val="24"/>
        </w:rPr>
        <w:t xml:space="preserve"> ha alcanzado niveles alarmantes, convirtiéndose en una de las problemáticas más graves que enfrenta el país. </w:t>
      </w:r>
      <w:r w:rsidR="00064182" w:rsidRPr="00F10C32">
        <w:rPr>
          <w:rFonts w:ascii="Century Gothic" w:eastAsia="Times New Roman" w:hAnsi="Century Gothic" w:cs="Times New Roman"/>
          <w:sz w:val="24"/>
          <w:szCs w:val="24"/>
        </w:rPr>
        <w:t xml:space="preserve">En 2022, de acuerdo con datos de las </w:t>
      </w:r>
      <w:r w:rsidR="00A2504D" w:rsidRPr="00F10C32">
        <w:rPr>
          <w:rFonts w:ascii="Century Gothic" w:eastAsia="Times New Roman" w:hAnsi="Century Gothic" w:cs="Times New Roman"/>
          <w:sz w:val="24"/>
          <w:szCs w:val="24"/>
        </w:rPr>
        <w:t>fiscalías generales</w:t>
      </w:r>
      <w:r w:rsidR="00064182" w:rsidRPr="00F10C32">
        <w:rPr>
          <w:rFonts w:ascii="Century Gothic" w:eastAsia="Times New Roman" w:hAnsi="Century Gothic" w:cs="Times New Roman"/>
          <w:sz w:val="24"/>
          <w:szCs w:val="24"/>
        </w:rPr>
        <w:t xml:space="preserve"> de Justicia estatales, el delito de violación registró su </w:t>
      </w:r>
    </w:p>
    <w:p w14:paraId="3A57BE18" w14:textId="77777777" w:rsidR="00DA1220" w:rsidRDefault="00DA1220" w:rsidP="0006418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38F29A78" w14:textId="77777777" w:rsidR="00DA1220" w:rsidRDefault="00DA1220" w:rsidP="0006418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3D6169EF" w14:textId="77777777" w:rsidR="00DA1220" w:rsidRDefault="00DA1220" w:rsidP="0006418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2A30CD56" w14:textId="2610D574" w:rsidR="00064182" w:rsidRPr="00A2504D" w:rsidRDefault="00064182" w:rsidP="00064182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10C32">
        <w:rPr>
          <w:rFonts w:ascii="Century Gothic" w:eastAsia="Times New Roman" w:hAnsi="Century Gothic" w:cs="Times New Roman"/>
          <w:sz w:val="24"/>
          <w:szCs w:val="24"/>
        </w:rPr>
        <w:t>máximo en el grupo de 10 a 14 años y ocurrió 4.7 veces más en niñas que en niños de esta edad, con 4</w:t>
      </w:r>
      <w:r w:rsidR="00F10C32" w:rsidRPr="00F10C32">
        <w:rPr>
          <w:rFonts w:ascii="Century Gothic" w:eastAsia="Times New Roman" w:hAnsi="Century Gothic" w:cs="Times New Roman"/>
          <w:sz w:val="24"/>
          <w:szCs w:val="24"/>
        </w:rPr>
        <w:t>,</w:t>
      </w:r>
      <w:r w:rsidRPr="00F10C32">
        <w:rPr>
          <w:rFonts w:ascii="Century Gothic" w:eastAsia="Times New Roman" w:hAnsi="Century Gothic" w:cs="Times New Roman"/>
          <w:sz w:val="24"/>
          <w:szCs w:val="24"/>
        </w:rPr>
        <w:t xml:space="preserve"> 197 y 884 casos, respectivamente. </w:t>
      </w:r>
      <w:r w:rsidR="00F10C32" w:rsidRPr="00F10C32">
        <w:rPr>
          <w:rFonts w:ascii="Century Gothic" w:eastAsia="Times New Roman" w:hAnsi="Century Gothic" w:cs="Times New Roman"/>
          <w:sz w:val="24"/>
          <w:szCs w:val="24"/>
        </w:rPr>
        <w:t>Aunado a ello, en 2024, existieron</w:t>
      </w:r>
      <w:r w:rsidRPr="00F10C32">
        <w:rPr>
          <w:rFonts w:ascii="Century Gothic" w:eastAsia="Times New Roman" w:hAnsi="Century Gothic" w:cs="Times New Roman"/>
          <w:sz w:val="24"/>
          <w:szCs w:val="24"/>
        </w:rPr>
        <w:t xml:space="preserve"> 1,263 casos de corrupción de menores de niñas, niños y adolescentes</w:t>
      </w:r>
      <w:r w:rsidR="00F10C32" w:rsidRPr="00F10C32">
        <w:rPr>
          <w:rFonts w:ascii="Century Gothic" w:eastAsia="Times New Roman" w:hAnsi="Century Gothic" w:cs="Times New Roman"/>
          <w:sz w:val="24"/>
          <w:szCs w:val="24"/>
        </w:rPr>
        <w:t xml:space="preserve">, cifra que </w:t>
      </w:r>
      <w:r w:rsidRPr="00F10C32">
        <w:rPr>
          <w:rFonts w:ascii="Century Gothic" w:eastAsia="Times New Roman" w:hAnsi="Century Gothic" w:cs="Times New Roman"/>
          <w:sz w:val="24"/>
          <w:szCs w:val="24"/>
        </w:rPr>
        <w:t>representa el máximo histórico desde que se tiene registro</w:t>
      </w:r>
      <w:r w:rsidR="00F10C32" w:rsidRPr="00F10C32">
        <w:rPr>
          <w:rFonts w:ascii="Century Gothic" w:eastAsia="Times New Roman" w:hAnsi="Century Gothic" w:cs="Times New Roman"/>
          <w:sz w:val="24"/>
          <w:szCs w:val="24"/>
        </w:rPr>
        <w:t xml:space="preserve">. De igual manera, </w:t>
      </w:r>
      <w:r w:rsidR="00F10C32">
        <w:rPr>
          <w:rFonts w:ascii="Century Gothic" w:eastAsia="Times New Roman" w:hAnsi="Century Gothic" w:cs="Times New Roman"/>
          <w:sz w:val="24"/>
          <w:szCs w:val="24"/>
        </w:rPr>
        <w:t xml:space="preserve">para el </w:t>
      </w:r>
      <w:r w:rsidR="00F10C32" w:rsidRPr="00F10C32">
        <w:rPr>
          <w:rFonts w:ascii="Century Gothic" w:eastAsia="Times New Roman" w:hAnsi="Century Gothic" w:cs="Times New Roman"/>
          <w:sz w:val="24"/>
          <w:szCs w:val="24"/>
        </w:rPr>
        <w:t xml:space="preserve">delito de lesiones en contra de este </w:t>
      </w:r>
      <w:r w:rsidR="00F10C32" w:rsidRPr="0076582A">
        <w:rPr>
          <w:rFonts w:ascii="Century Gothic" w:eastAsia="Times New Roman" w:hAnsi="Century Gothic" w:cs="Times New Roman"/>
          <w:sz w:val="24"/>
          <w:szCs w:val="24"/>
        </w:rPr>
        <w:t xml:space="preserve">grupo etario se tuvo noticia de 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>10,805 casos</w:t>
      </w:r>
      <w:r w:rsidR="00F10C32" w:rsidRPr="0076582A">
        <w:rPr>
          <w:rFonts w:ascii="Century Gothic" w:eastAsia="Times New Roman" w:hAnsi="Century Gothic" w:cs="Times New Roman"/>
          <w:sz w:val="24"/>
          <w:szCs w:val="24"/>
        </w:rPr>
        <w:t>, siendo también la máxima incidencia de la que se tiene noticia.</w:t>
      </w:r>
      <w:r w:rsidR="00F10C32" w:rsidRPr="0076582A">
        <w:rPr>
          <w:rFonts w:ascii="Century Gothic" w:hAnsi="Century Gothic"/>
          <w:sz w:val="24"/>
          <w:szCs w:val="24"/>
        </w:rPr>
        <w:t xml:space="preserve"> </w:t>
      </w:r>
      <w:r w:rsidR="00C5407F" w:rsidRPr="0076582A">
        <w:rPr>
          <w:rFonts w:ascii="Century Gothic" w:hAnsi="Century Gothic"/>
          <w:sz w:val="24"/>
          <w:szCs w:val="24"/>
        </w:rPr>
        <w:t>En la misma tesitura</w:t>
      </w:r>
      <w:r w:rsidRPr="0076582A">
        <w:rPr>
          <w:rFonts w:ascii="Century Gothic" w:hAnsi="Century Gothic"/>
          <w:sz w:val="24"/>
          <w:szCs w:val="24"/>
        </w:rPr>
        <w:t xml:space="preserve">, </w:t>
      </w:r>
      <w:r w:rsidR="00C5407F" w:rsidRPr="0076582A">
        <w:rPr>
          <w:rFonts w:ascii="Century Gothic" w:hAnsi="Century Gothic"/>
          <w:sz w:val="24"/>
          <w:szCs w:val="24"/>
        </w:rPr>
        <w:t xml:space="preserve">de enero a junio de 2024, </w:t>
      </w:r>
      <w:r w:rsidRPr="0076582A">
        <w:rPr>
          <w:rFonts w:ascii="Century Gothic" w:hAnsi="Century Gothic"/>
          <w:sz w:val="24"/>
          <w:szCs w:val="24"/>
        </w:rPr>
        <w:t xml:space="preserve">483 niñas, niños y adolescentes han sido víctimas de homicidio doloso a nivel nacional (56 mujeres y 427 hombres). </w:t>
      </w:r>
      <w:r w:rsidR="002F58FA">
        <w:rPr>
          <w:rStyle w:val="Refdenotaalpie"/>
          <w:rFonts w:ascii="Century Gothic" w:eastAsia="Times New Roman" w:hAnsi="Century Gothic" w:cs="Times New Roman"/>
          <w:sz w:val="24"/>
          <w:szCs w:val="24"/>
        </w:rPr>
        <w:footnoteReference w:id="1"/>
      </w:r>
    </w:p>
    <w:p w14:paraId="05B62A2E" w14:textId="3B929DDF" w:rsidR="00DA5F70" w:rsidRPr="0076582A" w:rsidRDefault="00DA5F7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>Est</w:t>
      </w:r>
      <w:r w:rsidR="00C5407F" w:rsidRPr="0076582A">
        <w:rPr>
          <w:rFonts w:ascii="Century Gothic" w:eastAsia="Times New Roman" w:hAnsi="Century Gothic" w:cs="Times New Roman"/>
          <w:sz w:val="24"/>
          <w:szCs w:val="24"/>
        </w:rPr>
        <w:t>e contexto,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 xml:space="preserve"> no solo vulnera los derechos fundamentales de la infancia, sino que también compromete el desarrollo social y económico de la nación. Por ello, es imperativo que las políticas públicas y las estrategias de prevención social de la violencia incorporen de manera transversal la perspectiva de niñez y juventud.</w:t>
      </w:r>
    </w:p>
    <w:p w14:paraId="6156E6D5" w14:textId="6FC91416" w:rsidR="00DA5F70" w:rsidRPr="0076582A" w:rsidRDefault="00DA5F7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 xml:space="preserve">La prevención social de la violencia ha sido históricamente diseñada sin considerar las particularidades del desarrollo infantil y juvenil. Esta omisión ha resultado en políticas </w:t>
      </w:r>
      <w:r w:rsidR="00C5407F" w:rsidRPr="0076582A">
        <w:rPr>
          <w:rFonts w:ascii="Century Gothic" w:eastAsia="Times New Roman" w:hAnsi="Century Gothic" w:cs="Times New Roman"/>
          <w:sz w:val="24"/>
          <w:szCs w:val="24"/>
        </w:rPr>
        <w:t>poco eficientes,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 xml:space="preserve"> que no abordan las causas profundas de la violencia ni las necesidades específicas de este sector poblacional.</w:t>
      </w:r>
    </w:p>
    <w:p w14:paraId="284955D4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4A0947C8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4A261072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269C03E0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3E5620C4" w14:textId="175834E8" w:rsidR="00DA5F70" w:rsidRPr="00DA1220" w:rsidRDefault="00DA5F7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>Incorporar la perspectiva de niñez y juventud implica reconocer a niñas, niños y adolescentes como sujetos plenos de derechos, cuya participación</w:t>
      </w:r>
      <w:r w:rsidR="00DA1220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>activa es esencial en la construcción de estrategias de prevención. Esto requiere un enfoque que considere su entorno familiar, escolar, comunitario y digital, promoviendo entornos seguros y protectores.</w:t>
      </w:r>
    </w:p>
    <w:p w14:paraId="242AC5E7" w14:textId="5162568F" w:rsidR="0076582A" w:rsidRPr="0076582A" w:rsidRDefault="00C5407F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>Así mismo, debemos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>, asegura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>r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 xml:space="preserve"> que las acciones sean diseñadas y evaluadas con la participación activa de niñas, niños y adolescentes.</w:t>
      </w:r>
      <w:r w:rsidR="002F58FA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 xml:space="preserve">Para ello, la capacitación de las personas 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>a servidor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>a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>s públic</w:t>
      </w:r>
      <w:r w:rsidRPr="0076582A">
        <w:rPr>
          <w:rFonts w:ascii="Century Gothic" w:eastAsia="Times New Roman" w:hAnsi="Century Gothic" w:cs="Times New Roman"/>
          <w:sz w:val="24"/>
          <w:szCs w:val="24"/>
        </w:rPr>
        <w:t>a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 xml:space="preserve">s en temas de derechos de la infancia, prevención de la violencia y atención psicosocial, </w:t>
      </w:r>
      <w:r w:rsidR="0076582A" w:rsidRPr="0076582A">
        <w:rPr>
          <w:rFonts w:ascii="Century Gothic" w:eastAsia="Times New Roman" w:hAnsi="Century Gothic" w:cs="Times New Roman"/>
          <w:sz w:val="24"/>
          <w:szCs w:val="24"/>
        </w:rPr>
        <w:t xml:space="preserve">para garantizar 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>una respuesta adecuada y oportun</w:t>
      </w:r>
      <w:r w:rsidR="0076582A" w:rsidRPr="0076582A">
        <w:rPr>
          <w:rFonts w:ascii="Century Gothic" w:eastAsia="Times New Roman" w:hAnsi="Century Gothic" w:cs="Times New Roman"/>
          <w:sz w:val="24"/>
          <w:szCs w:val="24"/>
        </w:rPr>
        <w:t>a, resulta fundamental, así como también es imperante e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>stablecer mecanismos efectivos para la participación de niñas, niños y adolescentes en la formulación, implementación y evaluación de políticas públicas, reconociendo su capacidad de incidencia.</w:t>
      </w:r>
    </w:p>
    <w:p w14:paraId="325BCB80" w14:textId="14C7D79E" w:rsidR="00DA5F70" w:rsidRPr="0076582A" w:rsidRDefault="0076582A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 xml:space="preserve">Por consiguiente, también proponemos la creación de 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>sistemas de seguimiento que permitan evaluar el impacto de las políticas implementadas, asegurando su efectividad y ajustándolas según sea necesario.</w:t>
      </w:r>
      <w:r w:rsidR="002F58FA">
        <w:rPr>
          <w:rFonts w:ascii="Century Gothic" w:eastAsia="Times New Roman" w:hAnsi="Century Gothic" w:cs="Times New Roman"/>
          <w:sz w:val="24"/>
          <w:szCs w:val="24"/>
        </w:rPr>
        <w:t xml:space="preserve"> Igualmente, la asignación de</w:t>
      </w:r>
      <w:r w:rsidR="00DA5F70" w:rsidRPr="0076582A">
        <w:rPr>
          <w:rFonts w:ascii="Century Gothic" w:eastAsia="Times New Roman" w:hAnsi="Century Gothic" w:cs="Times New Roman"/>
          <w:sz w:val="24"/>
          <w:szCs w:val="24"/>
        </w:rPr>
        <w:t xml:space="preserve"> recursos suficientes para la implementación de las acciones propuestas, garantizando su viabilidad y sostenibilidad.</w:t>
      </w:r>
    </w:p>
    <w:p w14:paraId="48D60F32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615DAEC2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21060799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5F285AF1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697C1E4E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72ADCAFE" w14:textId="77777777" w:rsidR="00DA1220" w:rsidRDefault="00DA122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7BBB7C51" w14:textId="10517062" w:rsidR="00DA5F70" w:rsidRPr="0076582A" w:rsidRDefault="00DA5F7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>La violencia contra niñas, niños y adolescentes es una violación sistemática de sus derechos fundamentales y un obstáculo para el desarrollo de una sociedad justa y equitativa. Incorporar la perspectiva de niñez y juventud en la prevención social de la violencia no es solo una obligación legal y moral, sino una estrategia esencial para construir un futuro en el que todos los menores puedan vivir libres de violencia y con plenas oportunidades de desarrollo.</w:t>
      </w:r>
    </w:p>
    <w:p w14:paraId="629D24C3" w14:textId="77777777" w:rsidR="00DA5F70" w:rsidRPr="0076582A" w:rsidRDefault="00DA5F70" w:rsidP="00DA5F70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76582A">
        <w:rPr>
          <w:rFonts w:ascii="Century Gothic" w:eastAsia="Times New Roman" w:hAnsi="Century Gothic" w:cs="Times New Roman"/>
          <w:sz w:val="24"/>
          <w:szCs w:val="24"/>
        </w:rPr>
        <w:t>Es momento de actuar con determinación y compromiso, transformando las políticas públicas para que respondan efectivamente a las necesidades y derechos de nuestras infancias y juventudes.</w:t>
      </w:r>
    </w:p>
    <w:p w14:paraId="5C9A26F4" w14:textId="13BB4D4C" w:rsidR="0019604E" w:rsidRPr="0080505C" w:rsidRDefault="0080505C" w:rsidP="0080505C">
      <w:pPr>
        <w:spacing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Por todo lo antes fundado y motivado, sometemos a consideración el siguiente proyecto con carácter de: </w:t>
      </w:r>
    </w:p>
    <w:p w14:paraId="40EED8F9" w14:textId="77777777" w:rsidR="0080505C" w:rsidRDefault="0080505C" w:rsidP="008B4F5B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AD0E230" w14:textId="26069AA8" w:rsidR="0019604E" w:rsidRPr="00B2361F" w:rsidRDefault="008B4F5B" w:rsidP="0080505C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2361F">
        <w:rPr>
          <w:rFonts w:ascii="Century Gothic" w:hAnsi="Century Gothic"/>
          <w:b/>
          <w:sz w:val="24"/>
          <w:szCs w:val="24"/>
        </w:rPr>
        <w:t>DECRETO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16910E8A" w14:textId="33AE4F18" w:rsidR="008B4F5B" w:rsidRDefault="008B4F5B" w:rsidP="008B4F5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</w:t>
      </w:r>
      <w:proofErr w:type="gramStart"/>
      <w:r w:rsidR="0019604E">
        <w:rPr>
          <w:rFonts w:ascii="Century Gothic" w:hAnsi="Century Gothic"/>
          <w:b/>
          <w:sz w:val="24"/>
          <w:szCs w:val="24"/>
        </w:rPr>
        <w:t>PRIMERO</w:t>
      </w:r>
      <w:r w:rsidRPr="00135329">
        <w:rPr>
          <w:rFonts w:ascii="Century Gothic" w:hAnsi="Century Gothic"/>
          <w:b/>
          <w:sz w:val="24"/>
          <w:szCs w:val="24"/>
        </w:rPr>
        <w:t>.-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 xml:space="preserve">Se </w:t>
      </w:r>
      <w:r w:rsidR="0019604E">
        <w:rPr>
          <w:rFonts w:ascii="Century Gothic" w:hAnsi="Century Gothic"/>
          <w:bCs/>
          <w:sz w:val="24"/>
          <w:szCs w:val="24"/>
        </w:rPr>
        <w:t>ADICIONA</w:t>
      </w:r>
      <w:r w:rsidR="00903D90">
        <w:rPr>
          <w:rFonts w:ascii="Century Gothic" w:hAnsi="Century Gothic"/>
          <w:bCs/>
          <w:sz w:val="24"/>
          <w:szCs w:val="24"/>
        </w:rPr>
        <w:t xml:space="preserve">N </w:t>
      </w:r>
      <w:r w:rsidR="00144B70">
        <w:rPr>
          <w:rFonts w:ascii="Century Gothic" w:hAnsi="Century Gothic"/>
          <w:bCs/>
          <w:sz w:val="24"/>
          <w:szCs w:val="24"/>
        </w:rPr>
        <w:t xml:space="preserve">los artículos 7, fracción XXX, y </w:t>
      </w:r>
      <w:r w:rsidR="0019604E">
        <w:rPr>
          <w:rFonts w:ascii="Century Gothic" w:hAnsi="Century Gothic"/>
          <w:bCs/>
          <w:sz w:val="24"/>
          <w:szCs w:val="24"/>
        </w:rPr>
        <w:t>10</w:t>
      </w:r>
      <w:r>
        <w:rPr>
          <w:rFonts w:ascii="Century Gothic" w:hAnsi="Century Gothic"/>
          <w:bCs/>
          <w:sz w:val="24"/>
          <w:szCs w:val="24"/>
        </w:rPr>
        <w:t xml:space="preserve">, fracción </w:t>
      </w:r>
      <w:r w:rsidR="0019604E" w:rsidRPr="0019604E">
        <w:rPr>
          <w:rFonts w:ascii="Century Gothic" w:hAnsi="Century Gothic"/>
          <w:bCs/>
          <w:sz w:val="24"/>
          <w:szCs w:val="24"/>
        </w:rPr>
        <w:t>XVII</w:t>
      </w:r>
      <w:r>
        <w:rPr>
          <w:rFonts w:ascii="Century Gothic" w:hAnsi="Century Gothic"/>
          <w:bCs/>
          <w:sz w:val="24"/>
          <w:szCs w:val="24"/>
        </w:rPr>
        <w:t xml:space="preserve">, </w:t>
      </w:r>
      <w:r w:rsidR="00144B70">
        <w:rPr>
          <w:rFonts w:ascii="Century Gothic" w:hAnsi="Century Gothic"/>
          <w:bCs/>
          <w:sz w:val="24"/>
          <w:szCs w:val="24"/>
        </w:rPr>
        <w:t xml:space="preserve">así como se REFORMA el artículo 7, fracciones XVI, XVII, XVIII, XIX, XX, XXI, XXII, XXIII, XXIV, XXV, XXVI, XXVII,XXVII y XXIV, todos </w:t>
      </w:r>
      <w:r>
        <w:rPr>
          <w:rFonts w:ascii="Century Gothic" w:hAnsi="Century Gothic"/>
          <w:bCs/>
          <w:sz w:val="24"/>
          <w:szCs w:val="24"/>
        </w:rPr>
        <w:t>de la</w:t>
      </w:r>
      <w:r w:rsidR="0019604E">
        <w:rPr>
          <w:rFonts w:ascii="Century Gothic" w:hAnsi="Century Gothic"/>
          <w:bCs/>
          <w:sz w:val="24"/>
          <w:szCs w:val="24"/>
        </w:rPr>
        <w:t xml:space="preserve"> Ley de los Derechos de las Niñas, Niños y Adolescentes del Estado de Chihuahua</w:t>
      </w:r>
      <w:r>
        <w:rPr>
          <w:rFonts w:ascii="Century Gothic" w:hAnsi="Century Gothic"/>
          <w:sz w:val="24"/>
          <w:szCs w:val="24"/>
        </w:rPr>
        <w:t>, para quedar redactado</w:t>
      </w:r>
      <w:r w:rsidR="00144B70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de la siguiente manera: </w:t>
      </w:r>
    </w:p>
    <w:p w14:paraId="02A0CB99" w14:textId="77777777" w:rsidR="00DA1220" w:rsidRDefault="00DA1220" w:rsidP="008321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DD69C2B" w14:textId="77777777" w:rsidR="00DA1220" w:rsidRDefault="00DA1220" w:rsidP="008321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7C2ECFB" w14:textId="77777777" w:rsidR="00DA1220" w:rsidRDefault="00DA1220" w:rsidP="008321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0342263B" w14:textId="77777777" w:rsidR="00DA1220" w:rsidRDefault="00DA1220" w:rsidP="008321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64994783" w14:textId="77777777" w:rsidR="00DA1220" w:rsidRDefault="00DA1220" w:rsidP="008321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8B0A467" w14:textId="1BC16054" w:rsidR="00006DD0" w:rsidRDefault="00006DD0" w:rsidP="0083215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Artículo 7. …</w:t>
      </w:r>
    </w:p>
    <w:p w14:paraId="70C09589" w14:textId="67596AFE" w:rsidR="0080505C" w:rsidRPr="00DA1220" w:rsidRDefault="00006DD0" w:rsidP="00DA1220">
      <w:pPr>
        <w:spacing w:line="360" w:lineRule="auto"/>
        <w:ind w:left="141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I-XV…</w:t>
      </w:r>
    </w:p>
    <w:p w14:paraId="5A62036A" w14:textId="212DAFDE" w:rsidR="00D558EC" w:rsidRDefault="00006DD0" w:rsidP="00D558EC">
      <w:pPr>
        <w:spacing w:line="360" w:lineRule="auto"/>
        <w:ind w:left="1416"/>
        <w:jc w:val="both"/>
        <w:rPr>
          <w:rFonts w:ascii="Century Gothic" w:hAnsi="Century Gothic"/>
          <w:b/>
          <w:bCs/>
          <w:sz w:val="24"/>
          <w:szCs w:val="24"/>
        </w:rPr>
      </w:pPr>
      <w:r w:rsidRPr="00006DD0">
        <w:rPr>
          <w:rFonts w:ascii="Century Gothic" w:hAnsi="Century Gothic"/>
          <w:b/>
          <w:bCs/>
          <w:sz w:val="24"/>
          <w:szCs w:val="24"/>
        </w:rPr>
        <w:t>XVI. Prevención Social de la Violencia. Conjunto de políticas públicas, programas y acciones orientados a reducir factores de riesgo que favorezcan la generación de violencia y delincuencia, así como a combatir las distintas causas y factores que las generan.</w:t>
      </w:r>
    </w:p>
    <w:p w14:paraId="7BB3C693" w14:textId="77777777" w:rsidR="003F495F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XVII.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Primera Infancia. Periodo de vida comprendido desde el nacimiento hasta los seis años de edad.</w:t>
      </w:r>
    </w:p>
    <w:p w14:paraId="3CBAB2F3" w14:textId="77777777" w:rsidR="003F495F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54B863" w14:textId="77777777" w:rsidR="003F495F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XVIII.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Procuraduría de Protección. La Procuraduría de Protección de Niñas, Niños y Adolescentes.</w:t>
      </w:r>
    </w:p>
    <w:p w14:paraId="0984FC03" w14:textId="77777777" w:rsidR="003F495F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DF68D32" w14:textId="77777777" w:rsidR="003F495F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XIX.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Programa Estatal. El Programa Estatal de Protección de Niñas, Niños y Adolescentes.</w:t>
      </w:r>
    </w:p>
    <w:p w14:paraId="64123D59" w14:textId="77777777" w:rsidR="003F495F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FC44BE1" w14:textId="069382EC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Programa Nacional. El Programa Nacional de Protección de Niñas, Niños y Adolescentes.</w:t>
      </w:r>
    </w:p>
    <w:p w14:paraId="2E13E8BE" w14:textId="77777777" w:rsidR="003F495F" w:rsidRPr="003F495F" w:rsidRDefault="003F495F" w:rsidP="003F495F">
      <w:pPr>
        <w:spacing w:after="0" w:line="360" w:lineRule="auto"/>
        <w:ind w:left="105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C37E9E2" w14:textId="77777777" w:rsidR="00DA1220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 xml:space="preserve">Protección Integral. Conjunto de mecanismos que se ejecuten en los tres órdenes de gobierno con el fin de garantizar de manera universal y especializada en cada una de las </w:t>
      </w:r>
    </w:p>
    <w:p w14:paraId="62EA7C71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EC4E491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8572FDA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65CEFDF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9B1E793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1589896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03A9813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AFC6A3D" w14:textId="52E8E319" w:rsidR="0080505C" w:rsidRDefault="00832159" w:rsidP="00DA1220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materias relacionadas con los derechos humanos de niñas, niños y adolescentes de conformidad con los principios rectores </w:t>
      </w:r>
    </w:p>
    <w:p w14:paraId="30F5AA48" w14:textId="7411D3EF" w:rsidR="00832159" w:rsidRPr="003F495F" w:rsidRDefault="00832159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>de esta Ley, la Constitución Política de los Estados Unidos Mexicanos y los tratados internacionales de los que el Estado mexicano forma parte.</w:t>
      </w:r>
    </w:p>
    <w:p w14:paraId="5B9260D3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999623C" w14:textId="211C7D2A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XXII.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Representación Coadyuvante. El acompañamiento de niñas, niños y adolescentes en los procedimientos jurisdiccionales y administrativos que, de manera oficiosa, quedará a cargo de la Procuraduría de Protección, conforme a su competencia, sin perjuicio de la intervención que corresponda al Ministerio Público.</w:t>
      </w:r>
    </w:p>
    <w:p w14:paraId="2C5A5AA2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153D398" w14:textId="558EEA39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XXIII.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 xml:space="preserve">Representación Originaria. La representación de niñas, niños y adolescentes a cargo de quienes ejerzan la patria potestad o tutela, de conformidad con lo dispuesto en esta Ley y demás disposiciones aplicables. </w:t>
      </w:r>
    </w:p>
    <w:p w14:paraId="27E9206C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58D9D89" w14:textId="4171FA45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XXIV.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 xml:space="preserve">Representación en Suplencia. La representación de niñas, niños y adolescentes a cargo de la Procuraduría de Protección, conforme a sus respectivos ámbitos de competencia, sin perjuicio de la intervención que corresponda al Ministerio Público. </w:t>
      </w:r>
    </w:p>
    <w:p w14:paraId="14E1637E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DB6F135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98962D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5C0A4EA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ED76BF" w14:textId="77777777" w:rsidR="00DA1220" w:rsidRDefault="00DA1220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5B2A0A2" w14:textId="5A8394B9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XXV.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 xml:space="preserve">Sistemas Municipales. Los Sistemas Municipales para el Desarrollo Integral de la Familia. </w:t>
      </w:r>
    </w:p>
    <w:p w14:paraId="14741697" w14:textId="77777777" w:rsidR="0080505C" w:rsidRDefault="0080505C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F206D62" w14:textId="34FE223C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XXVI.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Sistema Nacional DIF. El Sistema Nacional para el Desarrollo Integral de la Familia.</w:t>
      </w:r>
    </w:p>
    <w:p w14:paraId="2A113001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06B6350" w14:textId="3FF1CE03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XXVII.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Sistema Estatal de Protección Integral. El Sistema Estatal de Protección Integral de Niñas, Niños y Adolescentes.</w:t>
      </w:r>
    </w:p>
    <w:p w14:paraId="62CDE2CE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F82E4A9" w14:textId="50BCA6DA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XXVIII.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 xml:space="preserve">Sistema Nacional de Protección Integral. El Sistema Nacional de Protección Integral de Niñas, Niños y Adolescentes. </w:t>
      </w:r>
    </w:p>
    <w:p w14:paraId="2B8AE97C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B2BF578" w14:textId="0F704455" w:rsidR="00832159" w:rsidRPr="003F495F" w:rsidRDefault="003F495F" w:rsidP="003F495F">
      <w:pPr>
        <w:spacing w:after="0" w:line="360" w:lineRule="auto"/>
        <w:ind w:left="141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XXIX.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Tratados Internacionales. Los tratados internacionales vigentes en materia de derechos de niñas, niños y adolescentes de los que el Estado mexicano sea parte.</w:t>
      </w:r>
    </w:p>
    <w:p w14:paraId="3074B1A5" w14:textId="77777777" w:rsidR="00832159" w:rsidRPr="003F495F" w:rsidRDefault="00832159" w:rsidP="003F495F">
      <w:pPr>
        <w:spacing w:line="360" w:lineRule="auto"/>
        <w:ind w:left="2834" w:hanging="851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7CFD180" w14:textId="4442E2FA" w:rsidR="00832159" w:rsidRPr="003F495F" w:rsidRDefault="003F495F" w:rsidP="003F495F">
      <w:pPr>
        <w:spacing w:line="360" w:lineRule="auto"/>
        <w:ind w:left="1416"/>
        <w:jc w:val="both"/>
        <w:rPr>
          <w:rFonts w:ascii="Century Gothic" w:hAnsi="Century Gothic"/>
          <w:b/>
          <w:bCs/>
          <w:sz w:val="24"/>
          <w:szCs w:val="24"/>
        </w:rPr>
      </w:pPr>
      <w:r w:rsidRPr="003F495F">
        <w:rPr>
          <w:rFonts w:ascii="Century Gothic" w:hAnsi="Century Gothic"/>
          <w:b/>
          <w:bCs/>
          <w:sz w:val="24"/>
          <w:szCs w:val="24"/>
        </w:rPr>
        <w:t xml:space="preserve">XXX. </w:t>
      </w:r>
      <w:r w:rsidR="00832159" w:rsidRPr="003F495F">
        <w:rPr>
          <w:rFonts w:ascii="Century Gothic" w:hAnsi="Century Gothic"/>
          <w:b/>
          <w:bCs/>
          <w:sz w:val="24"/>
          <w:szCs w:val="24"/>
        </w:rPr>
        <w:t>Violencia. Uso intencional de poder, de hecho, o como amenaza, contra uno mismo, otra persona o un grupo o comunidad, que cause o tenga muchas probabilidades de causar lesiones, muerte, daños psicológicos, trastornos del desarrollo o privaciones.</w:t>
      </w:r>
    </w:p>
    <w:p w14:paraId="24A34D30" w14:textId="24F12254" w:rsidR="00006DD0" w:rsidRDefault="00006DD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1BEB90C" w14:textId="1CCDD49B" w:rsidR="00DA1220" w:rsidRDefault="00DA122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F621095" w14:textId="1022E88B" w:rsidR="00DA1220" w:rsidRDefault="00DA122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63FC9C1" w14:textId="782BBFDC" w:rsidR="00DA1220" w:rsidRDefault="00DA122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16C5774" w14:textId="7463D2C8" w:rsidR="00DA1220" w:rsidRDefault="00DA122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49A3419" w14:textId="1ACD7D39" w:rsidR="00DA1220" w:rsidRDefault="00DA122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849BAE3" w14:textId="77777777" w:rsidR="00DA1220" w:rsidRDefault="00DA1220" w:rsidP="003F495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B6FFCD8" w14:textId="2BFF3568" w:rsidR="008B4F5B" w:rsidRPr="008B4F5B" w:rsidRDefault="008B4F5B" w:rsidP="008B4F5B">
      <w:pPr>
        <w:spacing w:line="36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8B4F5B">
        <w:rPr>
          <w:rFonts w:ascii="Century Gothic" w:hAnsi="Century Gothic"/>
          <w:sz w:val="24"/>
          <w:szCs w:val="24"/>
        </w:rPr>
        <w:t xml:space="preserve">Artículo </w:t>
      </w:r>
      <w:r w:rsidR="0019604E">
        <w:rPr>
          <w:rFonts w:ascii="Century Gothic" w:hAnsi="Century Gothic"/>
          <w:sz w:val="24"/>
          <w:szCs w:val="24"/>
        </w:rPr>
        <w:t>10</w:t>
      </w:r>
      <w:r w:rsidRPr="008B4F5B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…</w:t>
      </w:r>
    </w:p>
    <w:p w14:paraId="53BF4C86" w14:textId="39010E4C" w:rsidR="008B4F5B" w:rsidRPr="00832159" w:rsidRDefault="008B4F5B" w:rsidP="0019604E">
      <w:pPr>
        <w:spacing w:line="360" w:lineRule="auto"/>
        <w:ind w:left="708" w:firstLine="708"/>
        <w:jc w:val="both"/>
        <w:rPr>
          <w:rFonts w:ascii="Century Gothic" w:hAnsi="Century Gothic"/>
          <w:sz w:val="24"/>
          <w:szCs w:val="24"/>
        </w:rPr>
      </w:pPr>
      <w:r w:rsidRPr="00832159">
        <w:rPr>
          <w:rFonts w:ascii="Century Gothic" w:hAnsi="Century Gothic"/>
          <w:sz w:val="24"/>
          <w:szCs w:val="24"/>
        </w:rPr>
        <w:t>I.</w:t>
      </w:r>
      <w:r w:rsidR="0019604E" w:rsidRPr="00832159">
        <w:rPr>
          <w:rFonts w:ascii="Century Gothic" w:hAnsi="Century Gothic"/>
          <w:sz w:val="24"/>
          <w:szCs w:val="24"/>
        </w:rPr>
        <w:t>-XVI</w:t>
      </w:r>
      <w:r w:rsidR="0019604E" w:rsidRPr="00832159">
        <w:rPr>
          <w:sz w:val="24"/>
          <w:szCs w:val="24"/>
        </w:rPr>
        <w:t xml:space="preserve">. </w:t>
      </w:r>
      <w:r w:rsidRPr="00832159">
        <w:rPr>
          <w:rFonts w:ascii="Century Gothic" w:hAnsi="Century Gothic"/>
          <w:sz w:val="24"/>
          <w:szCs w:val="24"/>
        </w:rPr>
        <w:t>…</w:t>
      </w:r>
    </w:p>
    <w:p w14:paraId="0839B591" w14:textId="1F9385BC" w:rsidR="0080505C" w:rsidRPr="00DA1220" w:rsidRDefault="0019604E" w:rsidP="00DA1220">
      <w:pPr>
        <w:spacing w:line="360" w:lineRule="auto"/>
        <w:ind w:left="708" w:firstLine="708"/>
        <w:jc w:val="both"/>
        <w:rPr>
          <w:rFonts w:ascii="Century Gothic" w:hAnsi="Century Gothic"/>
          <w:sz w:val="24"/>
          <w:szCs w:val="24"/>
        </w:rPr>
      </w:pPr>
      <w:r w:rsidRPr="0019604E">
        <w:rPr>
          <w:rFonts w:ascii="Century Gothic" w:hAnsi="Century Gothic"/>
          <w:b/>
          <w:bCs/>
          <w:sz w:val="24"/>
          <w:szCs w:val="24"/>
        </w:rPr>
        <w:t>XVII</w:t>
      </w:r>
      <w:r w:rsidR="008B4F5B" w:rsidRPr="0019604E">
        <w:rPr>
          <w:rFonts w:ascii="Century Gothic" w:hAnsi="Century Gothic"/>
          <w:b/>
          <w:bCs/>
          <w:sz w:val="24"/>
          <w:szCs w:val="24"/>
        </w:rPr>
        <w:t>.</w:t>
      </w:r>
      <w:r w:rsidR="008B4F5B" w:rsidRPr="008B4F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La prevención social de la violencia</w:t>
      </w:r>
    </w:p>
    <w:p w14:paraId="30EC5968" w14:textId="77777777" w:rsidR="0080505C" w:rsidRDefault="0080505C" w:rsidP="00DD3ECF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7AF6182" w14:textId="28F743AF" w:rsidR="003F495F" w:rsidRPr="00DD3ECF" w:rsidRDefault="00DD3ECF" w:rsidP="00DD3EC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DD3ECF">
        <w:rPr>
          <w:rFonts w:ascii="Century Gothic" w:hAnsi="Century Gothic"/>
          <w:b/>
          <w:bCs/>
          <w:sz w:val="24"/>
          <w:szCs w:val="24"/>
        </w:rPr>
        <w:t>ARTÍCULO SEGUNDO</w:t>
      </w:r>
      <w:r>
        <w:rPr>
          <w:rFonts w:ascii="Century Gothic" w:hAnsi="Century Gothic"/>
          <w:sz w:val="24"/>
          <w:szCs w:val="24"/>
        </w:rPr>
        <w:t xml:space="preserve">: Se ADICIONAN al Título primero, el capítulo tercero, artículos 9 bis, 9 ter y 9 </w:t>
      </w:r>
      <w:proofErr w:type="spellStart"/>
      <w:r>
        <w:rPr>
          <w:rFonts w:ascii="Century Gothic" w:hAnsi="Century Gothic"/>
          <w:sz w:val="24"/>
          <w:szCs w:val="24"/>
        </w:rPr>
        <w:t>quater</w:t>
      </w:r>
      <w:proofErr w:type="spellEnd"/>
      <w:r>
        <w:rPr>
          <w:rFonts w:ascii="Century Gothic" w:hAnsi="Century Gothic"/>
          <w:sz w:val="24"/>
          <w:szCs w:val="24"/>
        </w:rPr>
        <w:t>, así como el artículo 19 Bis a la Ley de Prevención Social de la Violencia y Delincuencia del Estado de Chihuahua, para quedar redactados de la siguiente manera:</w:t>
      </w:r>
    </w:p>
    <w:p w14:paraId="65BB60C0" w14:textId="77777777" w:rsidR="00DD3ECF" w:rsidRPr="00DD3ECF" w:rsidRDefault="00DD3ECF" w:rsidP="0080505C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7B580A15" w14:textId="706A0DC6" w:rsidR="00DD3ECF" w:rsidRPr="00DD3ECF" w:rsidRDefault="00DD3ECF" w:rsidP="00DD3ECF">
      <w:pPr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CAPÍTULO TERCERO</w:t>
      </w:r>
    </w:p>
    <w:p w14:paraId="11B7E85D" w14:textId="79D4BD18" w:rsidR="003F495F" w:rsidRDefault="00DD3ECF" w:rsidP="00DD3ECF">
      <w:pPr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DE LA PREVENCIÓN SOCIAL DE LA VIOLENCIA CONTRA NIÑAS, NIÑOS Y ADOLESCENTES</w:t>
      </w:r>
    </w:p>
    <w:p w14:paraId="6C8FBCAF" w14:textId="77777777" w:rsidR="00DD3ECF" w:rsidRPr="00DD3ECF" w:rsidRDefault="00DD3ECF" w:rsidP="00DD3ECF">
      <w:pPr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sz w:val="24"/>
          <w:szCs w:val="24"/>
        </w:rPr>
      </w:pPr>
    </w:p>
    <w:p w14:paraId="5759FEE4" w14:textId="49491D73" w:rsidR="003F495F" w:rsidRPr="00DD3ECF" w:rsidRDefault="003F495F" w:rsidP="00DD3ECF">
      <w:pPr>
        <w:spacing w:before="100" w:beforeAutospacing="1" w:after="100" w:afterAutospacing="1" w:line="360" w:lineRule="auto"/>
        <w:ind w:left="708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Artículo </w:t>
      </w:r>
      <w:r w:rsidR="00DD3ECF"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9 bis</w:t>
      </w: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. Las autoridades estatales y municipales</w:t>
      </w:r>
      <w:r w:rsidR="00DD3ECF"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en coordinación con la federación,</w:t>
      </w: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implementarán acciones integrales de prevención social de la violencia con enfoque de niñez y juventudes, orientadas a eliminar factores de riesgo como pobreza, abandono escolar, exclusión social, discriminación y violencia familiar o comunitaria.</w:t>
      </w:r>
    </w:p>
    <w:p w14:paraId="32945921" w14:textId="7E3C9BE6" w:rsidR="003F495F" w:rsidRPr="00DD3ECF" w:rsidRDefault="003F495F" w:rsidP="00DD3ECF">
      <w:pPr>
        <w:spacing w:before="100" w:beforeAutospacing="1" w:after="100" w:afterAutospacing="1" w:line="360" w:lineRule="auto"/>
        <w:ind w:left="708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Artículo </w:t>
      </w:r>
      <w:r w:rsid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9 ter</w:t>
      </w: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. Las acciones deberán incluir, al menos:</w:t>
      </w:r>
    </w:p>
    <w:p w14:paraId="7D5D9CD8" w14:textId="77777777" w:rsidR="00DA1220" w:rsidRDefault="00DA1220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2255DBDC" w14:textId="77777777" w:rsidR="00DA1220" w:rsidRDefault="00DA1220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7FBFC621" w14:textId="77777777" w:rsidR="00DA1220" w:rsidRDefault="00DA1220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347409EF" w14:textId="77777777" w:rsidR="00DA1220" w:rsidRDefault="00DA1220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002C1AD6" w14:textId="7B20CD61" w:rsidR="003F495F" w:rsidRPr="00DD3ECF" w:rsidRDefault="003F495F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I. Programas de formación y sensibilización para familias, personal docente y servidoras y servidores públicos;</w:t>
      </w:r>
    </w:p>
    <w:p w14:paraId="370E4109" w14:textId="77777777" w:rsidR="003F495F" w:rsidRPr="00DD3ECF" w:rsidRDefault="003F495F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II. Campañas permanentes de difusión sobre cultura de paz, igualdad y buen trato;</w:t>
      </w:r>
    </w:p>
    <w:p w14:paraId="07302E70" w14:textId="62ADEDDD" w:rsidR="0080505C" w:rsidRDefault="003F495F" w:rsidP="00DA1220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III. Fortalecimiento de las redes de apoyo comunitarias e interinstitucionales;</w:t>
      </w:r>
    </w:p>
    <w:p w14:paraId="47927DE8" w14:textId="088F9412" w:rsidR="003F495F" w:rsidRPr="00DD3ECF" w:rsidRDefault="003F495F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IV. Espacios de participación para niñas, niños y adolescentes en los procesos de toma de decisiones que les conciernan;</w:t>
      </w:r>
    </w:p>
    <w:p w14:paraId="59F5016D" w14:textId="77777777" w:rsidR="003F495F" w:rsidRPr="00DD3ECF" w:rsidRDefault="003F495F" w:rsidP="00DD3ECF">
      <w:pPr>
        <w:spacing w:before="100" w:beforeAutospacing="1" w:after="100" w:afterAutospacing="1" w:line="360" w:lineRule="auto"/>
        <w:ind w:left="1416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V. Mecanismos de monitoreo, evaluación y rendición de cuentas sobre las políticas públicas implementadas.</w:t>
      </w:r>
    </w:p>
    <w:p w14:paraId="3FC51213" w14:textId="3EA101CB" w:rsidR="00E56A52" w:rsidRDefault="003F495F" w:rsidP="00DD3ECF">
      <w:pPr>
        <w:spacing w:before="100" w:beforeAutospacing="1" w:after="100" w:afterAutospacing="1" w:line="360" w:lineRule="auto"/>
        <w:ind w:left="708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Artículo</w:t>
      </w:r>
      <w:r w:rsid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9 </w:t>
      </w:r>
      <w:proofErr w:type="spellStart"/>
      <w:r w:rsid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quater</w:t>
      </w:r>
      <w:proofErr w:type="spellEnd"/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. El Sistema </w:t>
      </w:r>
      <w:r w:rsidR="00DD3ECF"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Estatal </w:t>
      </w: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de Protección Integral de Niñas, Niños y Adolescentes</w:t>
      </w:r>
      <w:r w:rsidR="00732CB5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, </w:t>
      </w: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deberá coordinar, en el ámbito de su competencia, la integración y armonización de los programas de prevención social de la violencia, asegurando la asignación presupuestaria suficiente para su implementación y sostenibilidad.</w:t>
      </w:r>
    </w:p>
    <w:p w14:paraId="1608ED8C" w14:textId="5E72457E" w:rsidR="008B4F5B" w:rsidRPr="0080505C" w:rsidRDefault="0080505C" w:rsidP="0080505C">
      <w:pPr>
        <w:spacing w:before="100" w:beforeAutospacing="1" w:after="100" w:afterAutospacing="1" w:line="360" w:lineRule="auto"/>
        <w:ind w:left="708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DD3ECF">
        <w:rPr>
          <w:rFonts w:ascii="Century Gothic" w:eastAsia="Times New Roman" w:hAnsi="Century Gothic" w:cs="Times New Roman"/>
          <w:b/>
          <w:bCs/>
          <w:sz w:val="24"/>
          <w:szCs w:val="24"/>
        </w:rPr>
        <w:t>Artículo 19 Bis. En la elaboración del Programa Estatal, deberán de considerarse, la perspectiva de niñez y juventud, así como de género.</w:t>
      </w:r>
    </w:p>
    <w:p w14:paraId="426958AE" w14:textId="77777777" w:rsidR="0080505C" w:rsidRDefault="0080505C" w:rsidP="008B4F5B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4FC76FA6" w14:textId="77777777" w:rsidR="0080505C" w:rsidRDefault="0080505C" w:rsidP="008B4F5B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05924DFA" w14:textId="77777777" w:rsidR="00DA1220" w:rsidRDefault="00DA1220" w:rsidP="008B4F5B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46EE2DA2" w14:textId="77777777" w:rsidR="00DA1220" w:rsidRDefault="00DA1220" w:rsidP="008B4F5B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12E98C25" w14:textId="77777777" w:rsidR="00DA1220" w:rsidRDefault="00DA1220" w:rsidP="008B4F5B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75E44DAD" w14:textId="3A5967A2" w:rsidR="008B4F5B" w:rsidRPr="00983AA7" w:rsidRDefault="008B4F5B" w:rsidP="008B4F5B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B2361F">
        <w:rPr>
          <w:rFonts w:ascii="Century Gothic" w:hAnsi="Century Gothic"/>
          <w:b/>
          <w:spacing w:val="20"/>
          <w:sz w:val="24"/>
          <w:szCs w:val="24"/>
        </w:rPr>
        <w:t>TRANSITORIOS</w:t>
      </w:r>
    </w:p>
    <w:p w14:paraId="6BDADB14" w14:textId="24B21633" w:rsidR="0080505C" w:rsidRPr="00DA1220" w:rsidRDefault="008B4F5B" w:rsidP="008B4F5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135329">
        <w:rPr>
          <w:rFonts w:ascii="Century Gothic" w:hAnsi="Century Gothic"/>
          <w:sz w:val="24"/>
          <w:szCs w:val="24"/>
        </w:rPr>
        <w:t xml:space="preserve">El presente Decreto entrará en vigor al día siguiente de su publicación en el </w:t>
      </w:r>
      <w:r>
        <w:rPr>
          <w:rFonts w:ascii="Century Gothic" w:hAnsi="Century Gothic"/>
          <w:sz w:val="24"/>
          <w:szCs w:val="24"/>
        </w:rPr>
        <w:t>Periódico Oficial del Estado</w:t>
      </w:r>
      <w:r w:rsidRPr="00135329">
        <w:rPr>
          <w:rFonts w:ascii="Century Gothic" w:hAnsi="Century Gothic"/>
          <w:sz w:val="24"/>
          <w:szCs w:val="24"/>
        </w:rPr>
        <w:t>.</w:t>
      </w:r>
    </w:p>
    <w:p w14:paraId="58068563" w14:textId="52539729" w:rsidR="008B4F5B" w:rsidRPr="00135329" w:rsidRDefault="008B4F5B" w:rsidP="008B4F5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135329">
        <w:rPr>
          <w:rFonts w:ascii="Century Gothic" w:hAnsi="Century Gothic"/>
          <w:b/>
          <w:sz w:val="24"/>
          <w:szCs w:val="24"/>
        </w:rPr>
        <w:t>ECONÓMICO.-</w:t>
      </w:r>
      <w:proofErr w:type="gramEnd"/>
      <w:r w:rsidRPr="00135329">
        <w:rPr>
          <w:rFonts w:ascii="Century Gothic" w:hAnsi="Century Gothic"/>
          <w:sz w:val="24"/>
          <w:szCs w:val="24"/>
        </w:rPr>
        <w:t xml:space="preserve"> Aprobado que sea túrnese a la Secretaría para que elabore la minuta de decreto.  </w:t>
      </w:r>
    </w:p>
    <w:p w14:paraId="0D37FDF6" w14:textId="77777777" w:rsidR="008B4F5B" w:rsidRPr="00135329" w:rsidRDefault="008B4F5B" w:rsidP="008B4F5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816756C" w14:textId="49395A2D" w:rsidR="008B4F5B" w:rsidRPr="00354362" w:rsidRDefault="008B4F5B" w:rsidP="008B4F5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Dado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la ciudad Chihuahua,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Chihuahua, 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los </w:t>
      </w:r>
      <w:r w:rsidR="0080505C">
        <w:rPr>
          <w:rFonts w:ascii="Century Gothic" w:eastAsia="Century Gothic" w:hAnsi="Century Gothic" w:cs="Century Gothic"/>
          <w:color w:val="000000"/>
          <w:sz w:val="24"/>
          <w:szCs w:val="24"/>
        </w:rPr>
        <w:t>24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días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del mes de </w:t>
      </w:r>
      <w:r w:rsidR="0080505C">
        <w:rPr>
          <w:rFonts w:ascii="Century Gothic" w:eastAsia="Century Gothic" w:hAnsi="Century Gothic" w:cs="Century Gothic"/>
          <w:color w:val="000000"/>
          <w:sz w:val="24"/>
          <w:szCs w:val="24"/>
        </w:rPr>
        <w:t>abril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veint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icinco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0A38CC5" w14:textId="77777777" w:rsidR="008B4F5B" w:rsidRPr="0049062D" w:rsidRDefault="008B4F5B" w:rsidP="008B4F5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D5C47EB" w14:textId="77777777" w:rsidR="008B4F5B" w:rsidRPr="006306EA" w:rsidRDefault="008B4F5B" w:rsidP="008B4F5B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6306EA">
        <w:rPr>
          <w:rFonts w:ascii="Century Gothic" w:hAnsi="Century Gothic"/>
          <w:b/>
          <w:sz w:val="24"/>
        </w:rPr>
        <w:t>ATENTAMENTE</w:t>
      </w:r>
    </w:p>
    <w:p w14:paraId="322D673A" w14:textId="77777777" w:rsidR="0080505C" w:rsidRPr="00D92E57" w:rsidRDefault="0080505C" w:rsidP="0080505C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0505C" w:rsidRPr="000C7966" w14:paraId="76D6F13E" w14:textId="77777777" w:rsidTr="00444605">
        <w:tc>
          <w:tcPr>
            <w:tcW w:w="4414" w:type="dxa"/>
          </w:tcPr>
          <w:p w14:paraId="12DDE521" w14:textId="77777777" w:rsidR="0080505C" w:rsidRPr="000C7966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5ABDA49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CE1FE4F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4E5E3BB" w14:textId="77777777" w:rsidR="0080505C" w:rsidRPr="000C7966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>D</w:t>
            </w:r>
            <w:r>
              <w:rPr>
                <w:rFonts w:ascii="Century Gothic" w:hAnsi="Century Gothic"/>
                <w:b/>
              </w:rPr>
              <w:t>I</w:t>
            </w:r>
            <w:r w:rsidRPr="000C7966">
              <w:rPr>
                <w:rFonts w:ascii="Century Gothic" w:hAnsi="Century Gothic"/>
                <w:b/>
              </w:rPr>
              <w:t>P. JOSÉ ALFREDO CHÁVEZ MADRID</w:t>
            </w:r>
          </w:p>
        </w:tc>
        <w:tc>
          <w:tcPr>
            <w:tcW w:w="4414" w:type="dxa"/>
          </w:tcPr>
          <w:p w14:paraId="125E5E45" w14:textId="77777777" w:rsidR="0080505C" w:rsidRPr="000C7966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9532EAB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7323967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CD0F1BE" w14:textId="77777777" w:rsidR="0080505C" w:rsidRPr="000C7966" w:rsidRDefault="0080505C" w:rsidP="00444605">
            <w:pPr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</w:t>
            </w:r>
            <w:r w:rsidRPr="000C7966">
              <w:rPr>
                <w:rFonts w:ascii="Century Gothic" w:hAnsi="Century Gothic"/>
                <w:b/>
              </w:rPr>
              <w:t xml:space="preserve">DIP. </w:t>
            </w:r>
            <w:r>
              <w:rPr>
                <w:rFonts w:ascii="Century Gothic" w:hAnsi="Century Gothic"/>
                <w:b/>
              </w:rPr>
              <w:t>SAÚL MIRELES CORRAL</w:t>
            </w:r>
          </w:p>
        </w:tc>
      </w:tr>
      <w:tr w:rsidR="0080505C" w:rsidRPr="000C7966" w14:paraId="6ADAE159" w14:textId="77777777" w:rsidTr="00444605">
        <w:tc>
          <w:tcPr>
            <w:tcW w:w="4414" w:type="dxa"/>
          </w:tcPr>
          <w:p w14:paraId="2EF1D508" w14:textId="77777777" w:rsidR="0080505C" w:rsidRPr="000C7966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E8650FA" w14:textId="77777777" w:rsid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1DD3BB8" w14:textId="77777777" w:rsid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F48E4D3" w14:textId="77777777" w:rsidR="0080505C" w:rsidRPr="000C7966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A7F4A79" w14:textId="77777777" w:rsid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058B2F0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5D576C2" w14:textId="77777777" w:rsidR="0080505C" w:rsidRPr="000C7966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>DIP. ROBERTO MARCELINO CARREÓN HUITRÓN</w:t>
            </w:r>
          </w:p>
        </w:tc>
        <w:tc>
          <w:tcPr>
            <w:tcW w:w="4414" w:type="dxa"/>
          </w:tcPr>
          <w:p w14:paraId="6939B496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5D1BC9A" w14:textId="77777777" w:rsid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A3D3F2E" w14:textId="77777777" w:rsid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AAD9C61" w14:textId="77777777" w:rsid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15518D1" w14:textId="77777777" w:rsidR="0080505C" w:rsidRPr="000C7966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8A5F320" w14:textId="77777777" w:rsidR="0080505C" w:rsidRPr="000C7966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16CED5E" w14:textId="77777777" w:rsidR="0080505C" w:rsidRPr="000C7966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>DIP. ISMAEL PÉREZ PAVÍA</w:t>
            </w:r>
          </w:p>
        </w:tc>
      </w:tr>
      <w:tr w:rsidR="0080505C" w:rsidRPr="00980FB6" w14:paraId="754C0166" w14:textId="77777777" w:rsidTr="00444605">
        <w:tc>
          <w:tcPr>
            <w:tcW w:w="4414" w:type="dxa"/>
          </w:tcPr>
          <w:p w14:paraId="6A0407FE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7B3946F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F523525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FCDCFF2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5AF21FF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AB81E7D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47655A2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AC018D8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685ED04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AE25E10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93F5AB6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E87DC39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D1843F5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6F3F243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7A1A92A" w14:textId="43C2ED43" w:rsid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8150A71" w14:textId="4A3E687E" w:rsid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73B82A3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FE38C44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7890F02" w14:textId="77777777" w:rsidR="0080505C" w:rsidRPr="00DA1220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u w:val="single"/>
              </w:rPr>
            </w:pPr>
          </w:p>
          <w:p w14:paraId="30116E68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  <w:r w:rsidRPr="00DA1220">
              <w:rPr>
                <w:rFonts w:ascii="Century Gothic" w:hAnsi="Century Gothic"/>
                <w:b/>
                <w:u w:val="single"/>
              </w:rPr>
              <w:t>DIP. YESENIA GUADALUPE REYES CALZADÍAS</w:t>
            </w:r>
          </w:p>
        </w:tc>
        <w:tc>
          <w:tcPr>
            <w:tcW w:w="4414" w:type="dxa"/>
          </w:tcPr>
          <w:p w14:paraId="27C56BD7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BC6EBB3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94D0EA3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C37708A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5E51236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FF85E50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646DB7C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75EF545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0F42E03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295E9AE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C3281B8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8A73616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1D2E207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2360015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CAE01CA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A878C42" w14:textId="210F9164" w:rsid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D496B90" w14:textId="34B06308" w:rsid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DD3FD26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D1C8CC6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B518F1A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8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DIP. CARLA YAMILETH RIVAS MARTÍNEZ</w:t>
              </w:r>
            </w:hyperlink>
          </w:p>
          <w:p w14:paraId="12EBA600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0505C" w:rsidRPr="00980FB6" w14:paraId="104E11C6" w14:textId="77777777" w:rsidTr="00444605">
        <w:tc>
          <w:tcPr>
            <w:tcW w:w="4414" w:type="dxa"/>
          </w:tcPr>
          <w:p w14:paraId="7FDE971E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9585DDA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E1522B9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BE20BB1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9E76222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CACB493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9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DIP. CARLOS ALFREDO OLSON SAN VICENTE</w:t>
              </w:r>
            </w:hyperlink>
          </w:p>
          <w:p w14:paraId="38985FC4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14" w:type="dxa"/>
          </w:tcPr>
          <w:p w14:paraId="489EBF7D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D24FDB9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F26577B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CF6E924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75AF3A8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74224E2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0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DIP. JOCELINE VEGA VARGAS</w:t>
              </w:r>
            </w:hyperlink>
          </w:p>
          <w:p w14:paraId="4F8DDC6D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0505C" w:rsidRPr="00980FB6" w14:paraId="4382F137" w14:textId="77777777" w:rsidTr="00444605">
        <w:tc>
          <w:tcPr>
            <w:tcW w:w="4414" w:type="dxa"/>
          </w:tcPr>
          <w:p w14:paraId="1E0C9A0B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47E6BEA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0FEDAA1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C163E89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C69E4C2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1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DIP. EDNA XÓCHITL CONTRERAS HERRERA</w:t>
              </w:r>
            </w:hyperlink>
          </w:p>
          <w:p w14:paraId="3579E242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14" w:type="dxa"/>
          </w:tcPr>
          <w:p w14:paraId="1FE9DA84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970B9F1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49A310A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A5801FB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D50E09D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2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 xml:space="preserve">DIP. NANCY JANETH FRÍAS </w:t>
              </w:r>
              <w:proofErr w:type="spellStart"/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FRÍAS</w:t>
              </w:r>
              <w:proofErr w:type="spellEnd"/>
            </w:hyperlink>
          </w:p>
          <w:p w14:paraId="12C5A621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0505C" w:rsidRPr="00980FB6" w14:paraId="0BE62BFA" w14:textId="77777777" w:rsidTr="00444605">
        <w:tc>
          <w:tcPr>
            <w:tcW w:w="4414" w:type="dxa"/>
          </w:tcPr>
          <w:p w14:paraId="116CB1C9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1ED2797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2148ED7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9B8B6C7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E48E6FB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3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DIP. ARTURO ZUBIA FERNÁNDEZ</w:t>
              </w:r>
            </w:hyperlink>
          </w:p>
          <w:p w14:paraId="0DD1FA3D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14" w:type="dxa"/>
          </w:tcPr>
          <w:p w14:paraId="4B799B79" w14:textId="77777777" w:rsidR="0080505C" w:rsidRPr="0080505C" w:rsidRDefault="0080505C" w:rsidP="00444605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34E5C55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038E785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216AD76" w14:textId="77777777" w:rsidR="0080505C" w:rsidRPr="0080505C" w:rsidRDefault="0080505C" w:rsidP="00444605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B096109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4" w:history="1">
              <w:r w:rsidRPr="0080505C">
                <w:rPr>
                  <w:rStyle w:val="Hipervnculo"/>
                  <w:rFonts w:ascii="Century Gothic" w:hAnsi="Century Gothic"/>
                  <w:b/>
                  <w:bCs/>
                  <w:color w:val="auto"/>
                </w:rPr>
                <w:t>DIP. JORGE CARLOS SOTO PRIETO</w:t>
              </w:r>
            </w:hyperlink>
          </w:p>
          <w:p w14:paraId="51DC4F97" w14:textId="77777777" w:rsidR="0080505C" w:rsidRPr="0080505C" w:rsidRDefault="0080505C" w:rsidP="00444605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160AF29" w14:textId="77777777" w:rsidR="008B4F5B" w:rsidRDefault="008B4F5B" w:rsidP="008B4F5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505C" w14:paraId="10398753" w14:textId="77777777" w:rsidTr="00444605">
        <w:tc>
          <w:tcPr>
            <w:tcW w:w="8828" w:type="dxa"/>
          </w:tcPr>
          <w:p w14:paraId="59EDBB5B" w14:textId="498F33B0" w:rsidR="0080505C" w:rsidRPr="00597102" w:rsidRDefault="0080505C" w:rsidP="00444605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97102"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 xml:space="preserve">ESTA HOJA DE FIRMAS PERTENECE A LA </w:t>
            </w:r>
            <w:r w:rsidRPr="008646CA"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 xml:space="preserve">INICIATIVA CON CARÁCTER DE DECRETO QUE </w:t>
            </w:r>
            <w:r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 xml:space="preserve">ADICIONA DIVERSAS DISPOSICIONES DE </w:t>
            </w:r>
            <w:r w:rsidRPr="0080505C"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>LEY DE NIÑAS, NIÑOS Y ADOLESCENTES, ASÍ COMO DE LA LEY DE PREVENCIÓN SOCIAL DE LA VIOLENCIA Y LA DELINCUENCIA, CON PARTICIPACIÓN CIUDADANA, AMBOS ORDENAMIENTOS DEL ESTADO DE CHIHUAHUA, CON EL PROPÓSITO DE QUE LA PREVENCIÓN DE LA VIOLENCIA SEA CON PERSPECTIVA DE NIÑEZ Y JUVENTUD</w:t>
            </w:r>
            <w:r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4EEAFB89" w14:textId="77777777" w:rsidR="00B73D43" w:rsidRPr="00F6627D" w:rsidRDefault="00B73D43" w:rsidP="008A654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B73D43" w:rsidRPr="00F6627D" w:rsidSect="00252957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9B3F" w14:textId="77777777" w:rsidR="00556713" w:rsidRDefault="00556713" w:rsidP="007F665E">
      <w:pPr>
        <w:spacing w:after="0" w:line="240" w:lineRule="auto"/>
      </w:pPr>
      <w:r>
        <w:separator/>
      </w:r>
    </w:p>
  </w:endnote>
  <w:endnote w:type="continuationSeparator" w:id="0">
    <w:p w14:paraId="4CC07732" w14:textId="77777777" w:rsidR="00556713" w:rsidRDefault="00556713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14F9" w14:textId="77777777" w:rsidR="00556713" w:rsidRDefault="00556713" w:rsidP="007F665E">
      <w:pPr>
        <w:spacing w:after="0" w:line="240" w:lineRule="auto"/>
      </w:pPr>
      <w:r>
        <w:separator/>
      </w:r>
    </w:p>
  </w:footnote>
  <w:footnote w:type="continuationSeparator" w:id="0">
    <w:p w14:paraId="326C57B7" w14:textId="77777777" w:rsidR="00556713" w:rsidRDefault="00556713" w:rsidP="007F665E">
      <w:pPr>
        <w:spacing w:after="0" w:line="240" w:lineRule="auto"/>
      </w:pPr>
      <w:r>
        <w:continuationSeparator/>
      </w:r>
    </w:p>
  </w:footnote>
  <w:footnote w:id="1">
    <w:p w14:paraId="420309F2" w14:textId="03B647AE" w:rsidR="002F58FA" w:rsidRDefault="002F58FA" w:rsidP="002F58FA">
      <w:pPr>
        <w:pStyle w:val="Textonotapie"/>
        <w:spacing w:line="276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2F58FA">
        <w:rPr>
          <w:rFonts w:ascii="Century Gothic" w:hAnsi="Century Gothic"/>
          <w:sz w:val="16"/>
          <w:szCs w:val="16"/>
        </w:rPr>
        <w:t>Delitos contra niñas, niños y adolescentes en México (a junio de 2024)</w:t>
      </w:r>
      <w:r w:rsidRPr="002F58FA">
        <w:rPr>
          <w:rFonts w:ascii="Century Gothic" w:hAnsi="Century Gothic"/>
          <w:sz w:val="16"/>
          <w:szCs w:val="16"/>
        </w:rPr>
        <w:t xml:space="preserve">, REDIM. Recuperado el 23 de abril de 2024, disponible en </w:t>
      </w:r>
      <w:r w:rsidRPr="002F58FA">
        <w:rPr>
          <w:rFonts w:ascii="Century Gothic" w:hAnsi="Century Gothic"/>
          <w:sz w:val="16"/>
          <w:szCs w:val="16"/>
        </w:rPr>
        <w:t>https://blog.derechosinfancia.org.mx/2024/07/10/delitos-contra-ninas-ninos-y-adolescentes-en-mexico-a-junio-de-2024/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6FA229AB" w:rsidR="007F665E" w:rsidRDefault="007F66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5ACEC4C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929"/>
    <w:multiLevelType w:val="hybridMultilevel"/>
    <w:tmpl w:val="891A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12C"/>
    <w:multiLevelType w:val="hybridMultilevel"/>
    <w:tmpl w:val="70865886"/>
    <w:lvl w:ilvl="0" w:tplc="5A7A56E8">
      <w:start w:val="16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0BF0"/>
    <w:multiLevelType w:val="multilevel"/>
    <w:tmpl w:val="4D32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47D3A"/>
    <w:multiLevelType w:val="multilevel"/>
    <w:tmpl w:val="EBC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06DD0"/>
    <w:rsid w:val="00014E59"/>
    <w:rsid w:val="000251FF"/>
    <w:rsid w:val="00034AF4"/>
    <w:rsid w:val="00064182"/>
    <w:rsid w:val="000719FD"/>
    <w:rsid w:val="000A24D6"/>
    <w:rsid w:val="000A5164"/>
    <w:rsid w:val="000B55FF"/>
    <w:rsid w:val="00144B70"/>
    <w:rsid w:val="001911AA"/>
    <w:rsid w:val="0019604E"/>
    <w:rsid w:val="001E5423"/>
    <w:rsid w:val="00252957"/>
    <w:rsid w:val="00272258"/>
    <w:rsid w:val="00291896"/>
    <w:rsid w:val="002A1443"/>
    <w:rsid w:val="002A57E1"/>
    <w:rsid w:val="002A6667"/>
    <w:rsid w:val="002F58FA"/>
    <w:rsid w:val="003148B1"/>
    <w:rsid w:val="00326670"/>
    <w:rsid w:val="0033091A"/>
    <w:rsid w:val="00385061"/>
    <w:rsid w:val="003D3DCB"/>
    <w:rsid w:val="003D4854"/>
    <w:rsid w:val="003F495F"/>
    <w:rsid w:val="004078CC"/>
    <w:rsid w:val="00417A5D"/>
    <w:rsid w:val="00444C92"/>
    <w:rsid w:val="004611BB"/>
    <w:rsid w:val="00480B2B"/>
    <w:rsid w:val="004865CF"/>
    <w:rsid w:val="004A2CAD"/>
    <w:rsid w:val="004C1D83"/>
    <w:rsid w:val="004C60C5"/>
    <w:rsid w:val="004D1AA7"/>
    <w:rsid w:val="004D5B3F"/>
    <w:rsid w:val="004F4807"/>
    <w:rsid w:val="00507F71"/>
    <w:rsid w:val="00556713"/>
    <w:rsid w:val="00561A86"/>
    <w:rsid w:val="0059206D"/>
    <w:rsid w:val="005E0DF5"/>
    <w:rsid w:val="005F02C1"/>
    <w:rsid w:val="005F7DB5"/>
    <w:rsid w:val="00652673"/>
    <w:rsid w:val="0069486C"/>
    <w:rsid w:val="006A339C"/>
    <w:rsid w:val="006A4ED0"/>
    <w:rsid w:val="006C689A"/>
    <w:rsid w:val="0070484A"/>
    <w:rsid w:val="00732CB5"/>
    <w:rsid w:val="00740750"/>
    <w:rsid w:val="0076582A"/>
    <w:rsid w:val="007659A7"/>
    <w:rsid w:val="00791DAF"/>
    <w:rsid w:val="007926CD"/>
    <w:rsid w:val="007F665E"/>
    <w:rsid w:val="0080505C"/>
    <w:rsid w:val="00832159"/>
    <w:rsid w:val="00842717"/>
    <w:rsid w:val="00860CED"/>
    <w:rsid w:val="008818DB"/>
    <w:rsid w:val="008A6540"/>
    <w:rsid w:val="008B4F5B"/>
    <w:rsid w:val="008F5B89"/>
    <w:rsid w:val="008F6A06"/>
    <w:rsid w:val="00903D90"/>
    <w:rsid w:val="00953B98"/>
    <w:rsid w:val="009715A5"/>
    <w:rsid w:val="009B64A1"/>
    <w:rsid w:val="00A02F09"/>
    <w:rsid w:val="00A2504D"/>
    <w:rsid w:val="00A4474A"/>
    <w:rsid w:val="00A87CCA"/>
    <w:rsid w:val="00AB4ECA"/>
    <w:rsid w:val="00AE1FF2"/>
    <w:rsid w:val="00AF3AF7"/>
    <w:rsid w:val="00B26F54"/>
    <w:rsid w:val="00B328A2"/>
    <w:rsid w:val="00B73D43"/>
    <w:rsid w:val="00B96C2B"/>
    <w:rsid w:val="00BA6F58"/>
    <w:rsid w:val="00C17A1B"/>
    <w:rsid w:val="00C5407F"/>
    <w:rsid w:val="00C6330E"/>
    <w:rsid w:val="00C97BBD"/>
    <w:rsid w:val="00CE5C19"/>
    <w:rsid w:val="00D03976"/>
    <w:rsid w:val="00D558EC"/>
    <w:rsid w:val="00D65DAA"/>
    <w:rsid w:val="00DA1220"/>
    <w:rsid w:val="00DA3B90"/>
    <w:rsid w:val="00DA5F70"/>
    <w:rsid w:val="00DB3F45"/>
    <w:rsid w:val="00DD3ECF"/>
    <w:rsid w:val="00DF7091"/>
    <w:rsid w:val="00E56A52"/>
    <w:rsid w:val="00EB012D"/>
    <w:rsid w:val="00F10C32"/>
    <w:rsid w:val="00F37F47"/>
    <w:rsid w:val="00F6627D"/>
    <w:rsid w:val="00F85652"/>
    <w:rsid w:val="00F96CCD"/>
    <w:rsid w:val="00FE5318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59"/>
    <w:rPr>
      <w:rFonts w:ascii="Soberana Sans" w:eastAsia="Soberana Sans" w:hAnsi="Soberana Sans" w:cs="Soberana Sans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Prrafodelista">
    <w:name w:val="List Paragraph"/>
    <w:basedOn w:val="Normal"/>
    <w:uiPriority w:val="34"/>
    <w:qFormat/>
    <w:rsid w:val="00B26F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B4F5B"/>
    <w:rPr>
      <w:rFonts w:ascii="Soberana Sans" w:eastAsia="Soberana Sans" w:hAnsi="Soberana Sans" w:cs="Soberana Sans"/>
      <w:lang w:eastAsia="es-MX"/>
    </w:rPr>
  </w:style>
  <w:style w:type="character" w:customStyle="1" w:styleId="citation-0">
    <w:name w:val="citation-0"/>
    <w:basedOn w:val="Fuentedeprrafopredeter"/>
    <w:rsid w:val="00FE5318"/>
  </w:style>
  <w:style w:type="character" w:styleId="Textoennegrita">
    <w:name w:val="Strong"/>
    <w:basedOn w:val="Fuentedeprrafopredeter"/>
    <w:uiPriority w:val="22"/>
    <w:qFormat/>
    <w:rsid w:val="003F495F"/>
    <w:rPr>
      <w:b/>
      <w:bCs/>
    </w:rPr>
  </w:style>
  <w:style w:type="character" w:customStyle="1" w:styleId="relative">
    <w:name w:val="relative"/>
    <w:basedOn w:val="Fuentedeprrafopredeter"/>
    <w:rsid w:val="00DA5F70"/>
  </w:style>
  <w:style w:type="character" w:customStyle="1" w:styleId="ms-1">
    <w:name w:val="ms-1"/>
    <w:basedOn w:val="Fuentedeprrafopredeter"/>
    <w:rsid w:val="00DA5F70"/>
  </w:style>
  <w:style w:type="character" w:customStyle="1" w:styleId="max-w-full">
    <w:name w:val="max-w-full"/>
    <w:basedOn w:val="Fuentedeprrafopredeter"/>
    <w:rsid w:val="00DA5F70"/>
  </w:style>
  <w:style w:type="character" w:customStyle="1" w:styleId="-me-1">
    <w:name w:val="-me-1"/>
    <w:basedOn w:val="Fuentedeprrafopredeter"/>
    <w:rsid w:val="00DA5F70"/>
  </w:style>
  <w:style w:type="paragraph" w:styleId="Textonotapie">
    <w:name w:val="footnote text"/>
    <w:basedOn w:val="Normal"/>
    <w:link w:val="TextonotapieCar"/>
    <w:uiPriority w:val="99"/>
    <w:semiHidden/>
    <w:unhideWhenUsed/>
    <w:rsid w:val="002F58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8FA"/>
    <w:rPr>
      <w:rFonts w:ascii="Soberana Sans" w:eastAsia="Soberana Sans" w:hAnsi="Soberana Sans" w:cs="Soberana Sans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F58FA"/>
    <w:rPr>
      <w:vertAlign w:val="superscript"/>
    </w:rPr>
  </w:style>
  <w:style w:type="table" w:styleId="Tablaconcuadrcula">
    <w:name w:val="Table Grid"/>
    <w:basedOn w:val="Tablanormal"/>
    <w:uiPriority w:val="39"/>
    <w:rsid w:val="0080505C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irDetalle(1345)" TargetMode="External"/><Relationship Id="rId13" Type="http://schemas.openxmlformats.org/officeDocument/2006/relationships/hyperlink" Target="javascript:%20irDetalle(1349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%20irDetalle(1341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irDetalle(1334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javascript:%20irDetalle(1344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irDetalle(1346)" TargetMode="External"/><Relationship Id="rId14" Type="http://schemas.openxmlformats.org/officeDocument/2006/relationships/hyperlink" Target="javascript:%20irDetalle(1353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F7B43B35-64FB-4F06-8DC8-10F8537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12</Pages>
  <Words>1916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Jocelyne Ruelas Juárez</cp:lastModifiedBy>
  <cp:revision>2</cp:revision>
  <cp:lastPrinted>2025-04-24T18:46:00Z</cp:lastPrinted>
  <dcterms:created xsi:type="dcterms:W3CDTF">2025-04-25T15:41:00Z</dcterms:created>
  <dcterms:modified xsi:type="dcterms:W3CDTF">2025-04-25T15:41:00Z</dcterms:modified>
</cp:coreProperties>
</file>