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3888B" w14:textId="77777777" w:rsidR="00030115" w:rsidRPr="00D37021" w:rsidRDefault="00030115" w:rsidP="00B95E00">
      <w:pPr>
        <w:spacing w:after="0" w:line="276" w:lineRule="auto"/>
        <w:jc w:val="both"/>
        <w:rPr>
          <w:rFonts w:ascii="Century Gothic" w:hAnsi="Century Gothic"/>
          <w:sz w:val="24"/>
          <w:szCs w:val="24"/>
        </w:rPr>
      </w:pPr>
      <w:r w:rsidRPr="00D37021">
        <w:rPr>
          <w:rFonts w:ascii="Century Gothic" w:hAnsi="Century Gothic"/>
          <w:b/>
          <w:bCs/>
          <w:sz w:val="24"/>
          <w:szCs w:val="24"/>
        </w:rPr>
        <w:t>H. CONGRESO DEL ESTADO DE CHIHUAHUA</w:t>
      </w:r>
    </w:p>
    <w:p w14:paraId="7D204DBE" w14:textId="6FA39F08" w:rsidR="00050933" w:rsidRDefault="00030115" w:rsidP="00B95E00">
      <w:pPr>
        <w:spacing w:after="0" w:line="276" w:lineRule="auto"/>
        <w:jc w:val="both"/>
        <w:rPr>
          <w:rFonts w:ascii="Century Gothic" w:hAnsi="Century Gothic"/>
          <w:sz w:val="24"/>
          <w:szCs w:val="24"/>
        </w:rPr>
      </w:pPr>
      <w:r>
        <w:rPr>
          <w:rFonts w:ascii="Century Gothic" w:hAnsi="Century Gothic"/>
          <w:b/>
          <w:bCs/>
          <w:sz w:val="24"/>
          <w:szCs w:val="24"/>
        </w:rPr>
        <w:t xml:space="preserve">P R E S E N T E </w:t>
      </w:r>
      <w:r w:rsidRPr="00D37021">
        <w:rPr>
          <w:rFonts w:ascii="Century Gothic" w:hAnsi="Century Gothic"/>
          <w:b/>
          <w:bCs/>
          <w:sz w:val="24"/>
          <w:szCs w:val="24"/>
        </w:rPr>
        <w:t>.- </w:t>
      </w:r>
    </w:p>
    <w:p w14:paraId="4B008B80" w14:textId="77777777" w:rsidR="00050933" w:rsidRPr="00050933" w:rsidRDefault="00030115" w:rsidP="00B95E00">
      <w:pPr>
        <w:spacing w:line="276" w:lineRule="auto"/>
        <w:jc w:val="both"/>
        <w:rPr>
          <w:rFonts w:ascii="Century Gothic" w:hAnsi="Century Gothic"/>
          <w:sz w:val="24"/>
          <w:szCs w:val="24"/>
        </w:rPr>
      </w:pPr>
      <w:r w:rsidRPr="00D37021">
        <w:rPr>
          <w:rFonts w:ascii="Century Gothic" w:hAnsi="Century Gothic"/>
          <w:sz w:val="24"/>
          <w:szCs w:val="24"/>
        </w:rPr>
        <w:br/>
        <w:t xml:space="preserve">Quien suscribe, </w:t>
      </w:r>
      <w:r w:rsidRPr="00D37021">
        <w:rPr>
          <w:rFonts w:ascii="Century Gothic" w:hAnsi="Century Gothic"/>
          <w:b/>
          <w:bCs/>
          <w:sz w:val="24"/>
          <w:szCs w:val="24"/>
        </w:rPr>
        <w:t xml:space="preserve">América Victoria Aguilar Gil, </w:t>
      </w:r>
      <w:r w:rsidRPr="00D37021">
        <w:rPr>
          <w:rFonts w:ascii="Century Gothic" w:hAnsi="Century Gothic"/>
          <w:sz w:val="24"/>
          <w:szCs w:val="24"/>
        </w:rPr>
        <w:t xml:space="preserve">en mi carácter de Diputada de la Sexagésima Octava Legislatura del Honorable Congreso del Estado de Chihuahua, </w:t>
      </w:r>
      <w:r>
        <w:rPr>
          <w:rFonts w:ascii="Century Gothic" w:hAnsi="Century Gothic"/>
          <w:sz w:val="24"/>
          <w:szCs w:val="24"/>
        </w:rPr>
        <w:t xml:space="preserve">Representante Parlamentaria </w:t>
      </w:r>
      <w:r w:rsidRPr="00D37021">
        <w:rPr>
          <w:rFonts w:ascii="Century Gothic" w:hAnsi="Century Gothic"/>
          <w:sz w:val="24"/>
          <w:szCs w:val="24"/>
        </w:rPr>
        <w:t xml:space="preserve">del Partido del Trabajo, con fundamento en los artículos 64, fracciones I, II y III de la Constitución Política del Estado; 167 fracción I de la Ley Orgánica del Poder Legislativo del Estado de Chihuahua; 75, 76 y 77 </w:t>
      </w:r>
      <w:r w:rsidR="00050933">
        <w:rPr>
          <w:rFonts w:ascii="Century Gothic" w:hAnsi="Century Gothic"/>
          <w:sz w:val="24"/>
          <w:szCs w:val="24"/>
        </w:rPr>
        <w:t xml:space="preserve">del Reglamento Interior y de Prácticas Parlamentarias del Poder Legislativo, </w:t>
      </w:r>
      <w:r w:rsidR="00050933" w:rsidRPr="00050933">
        <w:rPr>
          <w:rFonts w:ascii="Century Gothic" w:hAnsi="Century Gothic"/>
          <w:sz w:val="24"/>
          <w:szCs w:val="24"/>
        </w:rPr>
        <w:t>someto a la consideración de esta Honorable Asamblea la siguiente iniciativa con carácter de decreto, con el propósito de:</w:t>
      </w:r>
    </w:p>
    <w:p w14:paraId="4445C858" w14:textId="77777777" w:rsidR="00E74F33" w:rsidRPr="00E74F33" w:rsidRDefault="00E74F33" w:rsidP="00E74F33">
      <w:pPr>
        <w:spacing w:before="100" w:beforeAutospacing="1" w:after="100" w:afterAutospacing="1" w:line="276" w:lineRule="auto"/>
        <w:jc w:val="both"/>
        <w:rPr>
          <w:rFonts w:ascii="Century Gothic" w:eastAsia="Times New Roman" w:hAnsi="Century Gothic" w:cs="Times New Roman"/>
          <w:kern w:val="0"/>
          <w:sz w:val="24"/>
          <w:szCs w:val="24"/>
          <w:lang w:eastAsia="es-MX"/>
          <w14:ligatures w14:val="none"/>
        </w:rPr>
      </w:pPr>
      <w:r w:rsidRPr="00E74F33">
        <w:rPr>
          <w:rFonts w:ascii="Century Gothic" w:eastAsia="Times New Roman" w:hAnsi="Century Gothic" w:cs="Times New Roman"/>
          <w:kern w:val="0"/>
          <w:sz w:val="24"/>
          <w:szCs w:val="24"/>
          <w:lang w:eastAsia="es-MX"/>
          <w14:ligatures w14:val="none"/>
        </w:rPr>
        <w:t xml:space="preserve">• </w:t>
      </w:r>
      <w:r w:rsidRPr="00E74F33">
        <w:rPr>
          <w:rFonts w:ascii="Century Gothic" w:eastAsia="Times New Roman" w:hAnsi="Century Gothic" w:cs="Times New Roman"/>
          <w:b/>
          <w:bCs/>
          <w:kern w:val="0"/>
          <w:sz w:val="24"/>
          <w:szCs w:val="24"/>
          <w:lang w:eastAsia="es-MX"/>
          <w14:ligatures w14:val="none"/>
        </w:rPr>
        <w:t>Adicionar en el Capítulo III Bis del Código Penal del Estado de Chihuahua, que lleva por título “Acoso Sexual”, la figura del acecho,</w:t>
      </w:r>
      <w:r w:rsidRPr="00E74F33">
        <w:rPr>
          <w:rFonts w:ascii="Century Gothic" w:eastAsia="Times New Roman" w:hAnsi="Century Gothic" w:cs="Times New Roman"/>
          <w:kern w:val="0"/>
          <w:sz w:val="24"/>
          <w:szCs w:val="24"/>
          <w:lang w:eastAsia="es-MX"/>
          <w14:ligatures w14:val="none"/>
        </w:rPr>
        <w:t xml:space="preserve"> mediante la incorporación de los artículos </w:t>
      </w:r>
      <w:r w:rsidRPr="00E74F33">
        <w:rPr>
          <w:rFonts w:ascii="Century Gothic" w:eastAsia="Times New Roman" w:hAnsi="Century Gothic" w:cs="Times New Roman"/>
          <w:b/>
          <w:bCs/>
          <w:kern w:val="0"/>
          <w:sz w:val="24"/>
          <w:szCs w:val="24"/>
          <w:lang w:eastAsia="es-MX"/>
          <w14:ligatures w14:val="none"/>
        </w:rPr>
        <w:t xml:space="preserve">176 </w:t>
      </w:r>
      <w:proofErr w:type="spellStart"/>
      <w:r w:rsidRPr="00E74F33">
        <w:rPr>
          <w:rFonts w:ascii="Century Gothic" w:eastAsia="Times New Roman" w:hAnsi="Century Gothic" w:cs="Times New Roman"/>
          <w:b/>
          <w:bCs/>
          <w:kern w:val="0"/>
          <w:sz w:val="24"/>
          <w:szCs w:val="24"/>
          <w:lang w:eastAsia="es-MX"/>
          <w14:ligatures w14:val="none"/>
        </w:rPr>
        <w:t>Quáter</w:t>
      </w:r>
      <w:proofErr w:type="spellEnd"/>
      <w:r w:rsidRPr="00E74F33">
        <w:rPr>
          <w:rFonts w:ascii="Century Gothic" w:eastAsia="Times New Roman" w:hAnsi="Century Gothic" w:cs="Times New Roman"/>
          <w:kern w:val="0"/>
          <w:sz w:val="24"/>
          <w:szCs w:val="24"/>
          <w:lang w:eastAsia="es-MX"/>
          <w14:ligatures w14:val="none"/>
        </w:rPr>
        <w:t xml:space="preserve"> y </w:t>
      </w:r>
      <w:r w:rsidRPr="00E74F33">
        <w:rPr>
          <w:rFonts w:ascii="Century Gothic" w:eastAsia="Times New Roman" w:hAnsi="Century Gothic" w:cs="Times New Roman"/>
          <w:b/>
          <w:bCs/>
          <w:kern w:val="0"/>
          <w:sz w:val="24"/>
          <w:szCs w:val="24"/>
          <w:lang w:eastAsia="es-MX"/>
          <w14:ligatures w14:val="none"/>
        </w:rPr>
        <w:t>176 Quinquies</w:t>
      </w:r>
      <w:r w:rsidRPr="00E74F33">
        <w:rPr>
          <w:rFonts w:ascii="Century Gothic" w:eastAsia="Times New Roman" w:hAnsi="Century Gothic" w:cs="Times New Roman"/>
          <w:kern w:val="0"/>
          <w:sz w:val="24"/>
          <w:szCs w:val="24"/>
          <w:lang w:eastAsia="es-MX"/>
          <w14:ligatures w14:val="none"/>
        </w:rPr>
        <w:t xml:space="preserve">, con el objeto de </w:t>
      </w:r>
      <w:r w:rsidRPr="00E74F33">
        <w:rPr>
          <w:rFonts w:ascii="Century Gothic" w:eastAsia="Times New Roman" w:hAnsi="Century Gothic" w:cs="Times New Roman"/>
          <w:b/>
          <w:bCs/>
          <w:kern w:val="0"/>
          <w:sz w:val="24"/>
          <w:szCs w:val="24"/>
          <w:lang w:eastAsia="es-MX"/>
          <w14:ligatures w14:val="none"/>
        </w:rPr>
        <w:t>tipificar dicha conducta como un delito autónomo</w:t>
      </w:r>
      <w:r w:rsidRPr="00E74F33">
        <w:rPr>
          <w:rFonts w:ascii="Century Gothic" w:eastAsia="Times New Roman" w:hAnsi="Century Gothic" w:cs="Times New Roman"/>
          <w:kern w:val="0"/>
          <w:sz w:val="24"/>
          <w:szCs w:val="24"/>
          <w:lang w:eastAsia="es-MX"/>
          <w14:ligatures w14:val="none"/>
        </w:rPr>
        <w:t>, diferenciándola del acoso sexual y dotando al marco penal estatal de una herramienta específica para su prevención y sanción.</w:t>
      </w:r>
    </w:p>
    <w:p w14:paraId="4423B75A" w14:textId="77777777" w:rsidR="00E74F33" w:rsidRPr="00E74F33" w:rsidRDefault="00E74F33" w:rsidP="00E74F33">
      <w:pPr>
        <w:spacing w:before="100" w:beforeAutospacing="1" w:after="100" w:afterAutospacing="1" w:line="276" w:lineRule="auto"/>
        <w:jc w:val="both"/>
        <w:rPr>
          <w:rFonts w:ascii="Century Gothic" w:eastAsia="Times New Roman" w:hAnsi="Century Gothic" w:cs="Times New Roman"/>
          <w:kern w:val="0"/>
          <w:sz w:val="24"/>
          <w:szCs w:val="24"/>
          <w:lang w:eastAsia="es-MX"/>
          <w14:ligatures w14:val="none"/>
        </w:rPr>
      </w:pPr>
      <w:r w:rsidRPr="00E74F33">
        <w:rPr>
          <w:rFonts w:ascii="Century Gothic" w:eastAsia="Times New Roman" w:hAnsi="Century Gothic" w:cs="Times New Roman"/>
          <w:kern w:val="0"/>
          <w:sz w:val="24"/>
          <w:szCs w:val="24"/>
          <w:lang w:eastAsia="es-MX"/>
          <w14:ligatures w14:val="none"/>
        </w:rPr>
        <w:t xml:space="preserve">• En el mismo sentido, se propone </w:t>
      </w:r>
      <w:r w:rsidRPr="00E74F33">
        <w:rPr>
          <w:rFonts w:ascii="Century Gothic" w:eastAsia="Times New Roman" w:hAnsi="Century Gothic" w:cs="Times New Roman"/>
          <w:b/>
          <w:bCs/>
          <w:kern w:val="0"/>
          <w:sz w:val="24"/>
          <w:szCs w:val="24"/>
          <w:lang w:eastAsia="es-MX"/>
          <w14:ligatures w14:val="none"/>
        </w:rPr>
        <w:t>reformar y adicionar la Ley Estatal del Derecho de las Mujeres a una Vida Libre de Violencia</w:t>
      </w:r>
      <w:r w:rsidRPr="00E74F33">
        <w:rPr>
          <w:rFonts w:ascii="Century Gothic" w:eastAsia="Times New Roman" w:hAnsi="Century Gothic" w:cs="Times New Roman"/>
          <w:kern w:val="0"/>
          <w:sz w:val="24"/>
          <w:szCs w:val="24"/>
          <w:lang w:eastAsia="es-MX"/>
          <w14:ligatures w14:val="none"/>
        </w:rPr>
        <w:t>, en los siguientes términos:</w:t>
      </w:r>
    </w:p>
    <w:p w14:paraId="293DDA4D" w14:textId="77777777" w:rsidR="00E74F33" w:rsidRPr="00E74F33" w:rsidRDefault="00E74F33" w:rsidP="00E74F33">
      <w:pPr>
        <w:numPr>
          <w:ilvl w:val="0"/>
          <w:numId w:val="3"/>
        </w:numPr>
        <w:spacing w:before="100" w:beforeAutospacing="1" w:after="100" w:afterAutospacing="1" w:line="276" w:lineRule="auto"/>
        <w:jc w:val="both"/>
        <w:rPr>
          <w:rFonts w:ascii="Century Gothic" w:eastAsia="Times New Roman" w:hAnsi="Century Gothic" w:cs="Times New Roman"/>
          <w:kern w:val="0"/>
          <w:sz w:val="24"/>
          <w:szCs w:val="24"/>
          <w:lang w:eastAsia="es-MX"/>
          <w14:ligatures w14:val="none"/>
        </w:rPr>
      </w:pPr>
      <w:r w:rsidRPr="00E74F33">
        <w:rPr>
          <w:rFonts w:ascii="Century Gothic" w:eastAsia="Times New Roman" w:hAnsi="Century Gothic" w:cs="Times New Roman"/>
          <w:b/>
          <w:bCs/>
          <w:kern w:val="0"/>
          <w:sz w:val="24"/>
          <w:szCs w:val="24"/>
          <w:lang w:eastAsia="es-MX"/>
          <w14:ligatures w14:val="none"/>
        </w:rPr>
        <w:t>Artículo 6, fracción III, primero y segundo párrafo:</w:t>
      </w:r>
      <w:r w:rsidRPr="00E74F33">
        <w:rPr>
          <w:rFonts w:ascii="Century Gothic" w:eastAsia="Times New Roman" w:hAnsi="Century Gothic" w:cs="Times New Roman"/>
          <w:kern w:val="0"/>
          <w:sz w:val="24"/>
          <w:szCs w:val="24"/>
          <w:lang w:eastAsia="es-MX"/>
          <w14:ligatures w14:val="none"/>
        </w:rPr>
        <w:t xml:space="preserve"> incluir expresamente el acecho en la redacción y adicionar un inciso que defina cómo se manifiesta esta conducta.</w:t>
      </w:r>
    </w:p>
    <w:p w14:paraId="44EC974F" w14:textId="77777777" w:rsidR="00E74F33" w:rsidRPr="00E74F33" w:rsidRDefault="00E74F33" w:rsidP="00E74F33">
      <w:pPr>
        <w:numPr>
          <w:ilvl w:val="0"/>
          <w:numId w:val="3"/>
        </w:numPr>
        <w:spacing w:before="100" w:beforeAutospacing="1" w:after="100" w:afterAutospacing="1" w:line="276" w:lineRule="auto"/>
        <w:jc w:val="both"/>
        <w:rPr>
          <w:rFonts w:ascii="Century Gothic" w:eastAsia="Times New Roman" w:hAnsi="Century Gothic" w:cs="Times New Roman"/>
          <w:kern w:val="0"/>
          <w:sz w:val="24"/>
          <w:szCs w:val="24"/>
          <w:lang w:eastAsia="es-MX"/>
          <w14:ligatures w14:val="none"/>
        </w:rPr>
      </w:pPr>
      <w:r w:rsidRPr="00E74F33">
        <w:rPr>
          <w:rFonts w:ascii="Century Gothic" w:eastAsia="Times New Roman" w:hAnsi="Century Gothic" w:cs="Times New Roman"/>
          <w:b/>
          <w:bCs/>
          <w:kern w:val="0"/>
          <w:sz w:val="24"/>
          <w:szCs w:val="24"/>
          <w:lang w:eastAsia="es-MX"/>
          <w14:ligatures w14:val="none"/>
        </w:rPr>
        <w:t>Artículo 27, fracción VI:</w:t>
      </w:r>
      <w:r w:rsidRPr="00E74F33">
        <w:rPr>
          <w:rFonts w:ascii="Century Gothic" w:eastAsia="Times New Roman" w:hAnsi="Century Gothic" w:cs="Times New Roman"/>
          <w:kern w:val="0"/>
          <w:sz w:val="24"/>
          <w:szCs w:val="24"/>
          <w:lang w:eastAsia="es-MX"/>
          <w14:ligatures w14:val="none"/>
        </w:rPr>
        <w:t xml:space="preserve"> incorporar el término acecho en las campañas de sensibilización previstas.</w:t>
      </w:r>
    </w:p>
    <w:p w14:paraId="43759BA6" w14:textId="77777777" w:rsidR="00E74F33" w:rsidRPr="00E74F33" w:rsidRDefault="00E74F33" w:rsidP="00E74F33">
      <w:pPr>
        <w:numPr>
          <w:ilvl w:val="0"/>
          <w:numId w:val="3"/>
        </w:numPr>
        <w:spacing w:before="100" w:beforeAutospacing="1" w:after="100" w:afterAutospacing="1" w:line="276" w:lineRule="auto"/>
        <w:jc w:val="both"/>
        <w:rPr>
          <w:rFonts w:ascii="Century Gothic" w:eastAsia="Times New Roman" w:hAnsi="Century Gothic" w:cs="Times New Roman"/>
          <w:kern w:val="0"/>
          <w:sz w:val="24"/>
          <w:szCs w:val="24"/>
          <w:lang w:eastAsia="es-MX"/>
          <w14:ligatures w14:val="none"/>
        </w:rPr>
      </w:pPr>
      <w:r w:rsidRPr="00E74F33">
        <w:rPr>
          <w:rFonts w:ascii="Century Gothic" w:eastAsia="Times New Roman" w:hAnsi="Century Gothic" w:cs="Times New Roman"/>
          <w:b/>
          <w:bCs/>
          <w:kern w:val="0"/>
          <w:sz w:val="24"/>
          <w:szCs w:val="24"/>
          <w:lang w:eastAsia="es-MX"/>
          <w14:ligatures w14:val="none"/>
        </w:rPr>
        <w:t>Artículo 29, fracción XXI:</w:t>
      </w:r>
      <w:r w:rsidRPr="00E74F33">
        <w:rPr>
          <w:rFonts w:ascii="Century Gothic" w:eastAsia="Times New Roman" w:hAnsi="Century Gothic" w:cs="Times New Roman"/>
          <w:kern w:val="0"/>
          <w:sz w:val="24"/>
          <w:szCs w:val="24"/>
          <w:lang w:eastAsia="es-MX"/>
          <w14:ligatures w14:val="none"/>
        </w:rPr>
        <w:t xml:space="preserve"> incluir el acecho entre las conductas que deben ser canalizadas a instituciones de atención.</w:t>
      </w:r>
    </w:p>
    <w:p w14:paraId="11E10301" w14:textId="77777777" w:rsidR="00E74F33" w:rsidRPr="00E74F33" w:rsidRDefault="00E74F33" w:rsidP="00E74F33">
      <w:pPr>
        <w:numPr>
          <w:ilvl w:val="0"/>
          <w:numId w:val="3"/>
        </w:numPr>
        <w:spacing w:before="100" w:beforeAutospacing="1" w:after="100" w:afterAutospacing="1" w:line="276" w:lineRule="auto"/>
        <w:jc w:val="both"/>
        <w:rPr>
          <w:rFonts w:ascii="Century Gothic" w:eastAsia="Times New Roman" w:hAnsi="Century Gothic" w:cs="Times New Roman"/>
          <w:kern w:val="0"/>
          <w:sz w:val="24"/>
          <w:szCs w:val="24"/>
          <w:lang w:eastAsia="es-MX"/>
          <w14:ligatures w14:val="none"/>
        </w:rPr>
      </w:pPr>
      <w:r w:rsidRPr="00E74F33">
        <w:rPr>
          <w:rFonts w:ascii="Century Gothic" w:eastAsia="Times New Roman" w:hAnsi="Century Gothic" w:cs="Times New Roman"/>
          <w:b/>
          <w:bCs/>
          <w:kern w:val="0"/>
          <w:sz w:val="24"/>
          <w:szCs w:val="24"/>
          <w:lang w:eastAsia="es-MX"/>
          <w14:ligatures w14:val="none"/>
        </w:rPr>
        <w:t>Artículo 32, fracción XV:</w:t>
      </w:r>
      <w:r w:rsidRPr="00E74F33">
        <w:rPr>
          <w:rFonts w:ascii="Century Gothic" w:eastAsia="Times New Roman" w:hAnsi="Century Gothic" w:cs="Times New Roman"/>
          <w:kern w:val="0"/>
          <w:sz w:val="24"/>
          <w:szCs w:val="24"/>
          <w:lang w:eastAsia="es-MX"/>
          <w14:ligatures w14:val="none"/>
        </w:rPr>
        <w:t xml:space="preserve"> asegurar que los modelos de atención institucional contemplen la atención específica a víctimas de acecho.</w:t>
      </w:r>
    </w:p>
    <w:p w14:paraId="6EC0BBFD" w14:textId="11288B3C" w:rsidR="00744FA2" w:rsidRPr="00E74F33" w:rsidRDefault="00E74F33" w:rsidP="00B95E00">
      <w:pPr>
        <w:spacing w:line="276" w:lineRule="auto"/>
        <w:jc w:val="both"/>
        <w:rPr>
          <w:rFonts w:ascii="Century Gothic" w:hAnsi="Century Gothic"/>
          <w:b/>
          <w:bCs/>
          <w:sz w:val="24"/>
          <w:szCs w:val="24"/>
        </w:rPr>
      </w:pPr>
      <w:r w:rsidRPr="00E74F33">
        <w:rPr>
          <w:rFonts w:ascii="Century Gothic" w:eastAsia="Times New Roman" w:hAnsi="Century Gothic" w:cs="Times New Roman"/>
          <w:kern w:val="0"/>
          <w:sz w:val="24"/>
          <w:szCs w:val="24"/>
          <w:lang w:eastAsia="es-MX"/>
          <w14:ligatures w14:val="none"/>
        </w:rPr>
        <w:lastRenderedPageBreak/>
        <w:t xml:space="preserve">Todo lo anterior, </w:t>
      </w:r>
      <w:r w:rsidRPr="00E74F33">
        <w:rPr>
          <w:rFonts w:ascii="Century Gothic" w:eastAsia="Times New Roman" w:hAnsi="Century Gothic" w:cs="Times New Roman"/>
          <w:b/>
          <w:bCs/>
          <w:kern w:val="0"/>
          <w:sz w:val="24"/>
          <w:szCs w:val="24"/>
          <w:lang w:eastAsia="es-MX"/>
          <w14:ligatures w14:val="none"/>
        </w:rPr>
        <w:t>con el objetivo de reconocer expresamente el acecho como una forma de violencia contra las mujeres</w:t>
      </w:r>
      <w:r w:rsidRPr="00E74F33">
        <w:rPr>
          <w:rFonts w:ascii="Century Gothic" w:eastAsia="Times New Roman" w:hAnsi="Century Gothic" w:cs="Times New Roman"/>
          <w:kern w:val="0"/>
          <w:sz w:val="24"/>
          <w:szCs w:val="24"/>
          <w:lang w:eastAsia="es-MX"/>
          <w14:ligatures w14:val="none"/>
        </w:rPr>
        <w:t xml:space="preserve">, tanto en el ámbito penal como en el marco de atención y protección institucional, </w:t>
      </w:r>
      <w:r w:rsidRPr="00E74F33">
        <w:rPr>
          <w:rFonts w:ascii="Century Gothic" w:eastAsia="Times New Roman" w:hAnsi="Century Gothic" w:cs="Times New Roman"/>
          <w:b/>
          <w:bCs/>
          <w:kern w:val="0"/>
          <w:sz w:val="24"/>
          <w:szCs w:val="24"/>
          <w:lang w:eastAsia="es-MX"/>
          <w14:ligatures w14:val="none"/>
        </w:rPr>
        <w:t>así como establecer la pena correspondiente a quien incurra en dicha conducta</w:t>
      </w:r>
      <w:r w:rsidRPr="00E74F33">
        <w:rPr>
          <w:rFonts w:ascii="Century Gothic" w:eastAsia="Times New Roman" w:hAnsi="Century Gothic" w:cs="Times New Roman"/>
          <w:kern w:val="0"/>
          <w:sz w:val="24"/>
          <w:szCs w:val="24"/>
          <w:lang w:eastAsia="es-MX"/>
          <w14:ligatures w14:val="none"/>
        </w:rPr>
        <w:t>,</w:t>
      </w:r>
      <w:r w:rsidR="00A67A9D" w:rsidRPr="00E74F33">
        <w:rPr>
          <w:rFonts w:ascii="Century Gothic" w:hAnsi="Century Gothic"/>
          <w:b/>
          <w:bCs/>
          <w:sz w:val="24"/>
          <w:szCs w:val="24"/>
        </w:rPr>
        <w:t xml:space="preserve"> </w:t>
      </w:r>
      <w:r>
        <w:rPr>
          <w:rFonts w:ascii="Century Gothic" w:hAnsi="Century Gothic"/>
          <w:sz w:val="24"/>
          <w:szCs w:val="24"/>
        </w:rPr>
        <w:t>l</w:t>
      </w:r>
      <w:r w:rsidR="00050933" w:rsidRPr="009714D1">
        <w:rPr>
          <w:rFonts w:ascii="Century Gothic" w:hAnsi="Century Gothic"/>
          <w:sz w:val="24"/>
          <w:szCs w:val="24"/>
        </w:rPr>
        <w:t>o anterior con base en la siguiente</w:t>
      </w:r>
      <w:r w:rsidR="009714D1">
        <w:rPr>
          <w:rFonts w:ascii="Century Gothic" w:hAnsi="Century Gothic"/>
          <w:sz w:val="24"/>
          <w:szCs w:val="24"/>
        </w:rPr>
        <w:t>:</w:t>
      </w:r>
    </w:p>
    <w:p w14:paraId="09020D67" w14:textId="228ECFEE" w:rsidR="00030115" w:rsidRPr="00D37021" w:rsidRDefault="00030115" w:rsidP="00B95E00">
      <w:pPr>
        <w:spacing w:line="276" w:lineRule="auto"/>
        <w:jc w:val="center"/>
        <w:rPr>
          <w:rFonts w:ascii="Century Gothic" w:hAnsi="Century Gothic"/>
          <w:b/>
          <w:bCs/>
          <w:sz w:val="24"/>
          <w:szCs w:val="24"/>
        </w:rPr>
      </w:pPr>
      <w:r w:rsidRPr="00D37021">
        <w:rPr>
          <w:rFonts w:ascii="Century Gothic" w:hAnsi="Century Gothic"/>
          <w:b/>
          <w:bCs/>
          <w:sz w:val="24"/>
          <w:szCs w:val="24"/>
        </w:rPr>
        <w:t>EXPOSICIÓN DE MOTIVOS</w:t>
      </w:r>
    </w:p>
    <w:p w14:paraId="250F5303" w14:textId="74682425" w:rsidR="00030115" w:rsidRPr="00030115" w:rsidRDefault="00030115" w:rsidP="00B95E00">
      <w:pPr>
        <w:spacing w:before="100" w:beforeAutospacing="1" w:after="100" w:afterAutospacing="1" w:line="276" w:lineRule="auto"/>
        <w:jc w:val="both"/>
        <w:rPr>
          <w:rFonts w:ascii="Century Gothic" w:eastAsia="Times New Roman" w:hAnsi="Century Gothic" w:cs="Times New Roman"/>
          <w:sz w:val="24"/>
          <w:szCs w:val="24"/>
          <w:lang w:eastAsia="es-MX"/>
        </w:rPr>
      </w:pPr>
      <w:r w:rsidRPr="001A1983">
        <w:rPr>
          <w:rFonts w:ascii="Century Gothic" w:eastAsia="Times New Roman" w:hAnsi="Century Gothic" w:cs="Times New Roman"/>
          <w:sz w:val="24"/>
          <w:szCs w:val="24"/>
          <w:lang w:eastAsia="es-MX"/>
        </w:rPr>
        <w:t>El acecho</w:t>
      </w:r>
      <w:r w:rsidR="005E57CC">
        <w:rPr>
          <w:rFonts w:ascii="Century Gothic" w:eastAsia="Times New Roman" w:hAnsi="Century Gothic" w:cs="Times New Roman"/>
          <w:sz w:val="24"/>
          <w:szCs w:val="24"/>
          <w:lang w:eastAsia="es-MX"/>
        </w:rPr>
        <w:t xml:space="preserve"> </w:t>
      </w:r>
      <w:r w:rsidRPr="001A1983">
        <w:rPr>
          <w:rFonts w:ascii="Century Gothic" w:eastAsia="Times New Roman" w:hAnsi="Century Gothic" w:cs="Times New Roman"/>
          <w:sz w:val="24"/>
          <w:szCs w:val="24"/>
          <w:lang w:eastAsia="es-MX"/>
        </w:rPr>
        <w:t>es un patrón de conducta repetitivo e invasivo dirigido hacia una persona específica, con la intención o el efecto</w:t>
      </w:r>
      <w:r w:rsidR="009714D1">
        <w:rPr>
          <w:rFonts w:ascii="Century Gothic" w:eastAsia="Times New Roman" w:hAnsi="Century Gothic" w:cs="Times New Roman"/>
          <w:sz w:val="24"/>
          <w:szCs w:val="24"/>
          <w:lang w:eastAsia="es-MX"/>
        </w:rPr>
        <w:t xml:space="preserve"> </w:t>
      </w:r>
      <w:r w:rsidRPr="001A1983">
        <w:rPr>
          <w:rFonts w:ascii="Century Gothic" w:eastAsia="Times New Roman" w:hAnsi="Century Gothic" w:cs="Times New Roman"/>
          <w:sz w:val="24"/>
          <w:szCs w:val="24"/>
          <w:lang w:eastAsia="es-MX"/>
        </w:rPr>
        <w:t xml:space="preserve">de perturbar su paz, intimidarla o afectarla emocional y psicológicamente. </w:t>
      </w:r>
    </w:p>
    <w:p w14:paraId="57F05415" w14:textId="06B9A0F2" w:rsidR="00030115" w:rsidRPr="001A1983" w:rsidRDefault="00030115" w:rsidP="00B95E00">
      <w:pPr>
        <w:spacing w:before="100" w:beforeAutospacing="1" w:after="100" w:afterAutospacing="1" w:line="276" w:lineRule="auto"/>
        <w:jc w:val="both"/>
        <w:rPr>
          <w:rFonts w:ascii="Century Gothic" w:eastAsia="Times New Roman" w:hAnsi="Century Gothic" w:cs="Times New Roman"/>
          <w:sz w:val="24"/>
          <w:szCs w:val="24"/>
          <w:lang w:eastAsia="es-MX"/>
        </w:rPr>
      </w:pPr>
      <w:r w:rsidRPr="001A1983">
        <w:rPr>
          <w:rFonts w:ascii="Century Gothic" w:eastAsia="Times New Roman" w:hAnsi="Century Gothic" w:cs="Times New Roman"/>
          <w:sz w:val="24"/>
          <w:szCs w:val="24"/>
          <w:lang w:eastAsia="es-MX"/>
        </w:rPr>
        <w:t>Se caracteriza por acciones insistentes como</w:t>
      </w:r>
      <w:r w:rsidR="00E16224">
        <w:rPr>
          <w:rFonts w:ascii="Century Gothic" w:eastAsia="Times New Roman" w:hAnsi="Century Gothic" w:cs="Times New Roman"/>
          <w:sz w:val="24"/>
          <w:szCs w:val="24"/>
          <w:lang w:eastAsia="es-MX"/>
        </w:rPr>
        <w:t>:</w:t>
      </w:r>
      <w:r w:rsidRPr="001A1983">
        <w:rPr>
          <w:rFonts w:ascii="Century Gothic" w:eastAsia="Times New Roman" w:hAnsi="Century Gothic" w:cs="Times New Roman"/>
          <w:sz w:val="24"/>
          <w:szCs w:val="24"/>
          <w:lang w:eastAsia="es-MX"/>
        </w:rPr>
        <w:t xml:space="preserve"> la vigilancia constante, el seguimiento físico o digital, la presencia indeseada en espacios comunes, llamadas frecuentes, mensajes reiterados, envío de regalos no deseados y otros actos que, aunque </w:t>
      </w:r>
      <w:r w:rsidR="00E16224">
        <w:rPr>
          <w:rFonts w:ascii="Century Gothic" w:eastAsia="Times New Roman" w:hAnsi="Century Gothic" w:cs="Times New Roman"/>
          <w:sz w:val="24"/>
          <w:szCs w:val="24"/>
          <w:lang w:eastAsia="es-MX"/>
        </w:rPr>
        <w:t xml:space="preserve">pueden parecer </w:t>
      </w:r>
      <w:r w:rsidRPr="001A1983">
        <w:rPr>
          <w:rFonts w:ascii="Century Gothic" w:eastAsia="Times New Roman" w:hAnsi="Century Gothic" w:cs="Times New Roman"/>
          <w:sz w:val="24"/>
          <w:szCs w:val="24"/>
          <w:lang w:eastAsia="es-MX"/>
        </w:rPr>
        <w:t>no violentos, generan temor fundado en la víctima.</w:t>
      </w:r>
    </w:p>
    <w:p w14:paraId="39D69A19" w14:textId="77777777" w:rsidR="00030115" w:rsidRPr="00030115" w:rsidRDefault="00030115" w:rsidP="00B95E00">
      <w:pPr>
        <w:spacing w:before="100" w:beforeAutospacing="1" w:after="100" w:afterAutospacing="1" w:line="276" w:lineRule="auto"/>
        <w:jc w:val="both"/>
        <w:rPr>
          <w:rFonts w:ascii="Century Gothic" w:eastAsia="Times New Roman" w:hAnsi="Century Gothic" w:cs="Times New Roman"/>
          <w:sz w:val="24"/>
          <w:szCs w:val="24"/>
          <w:lang w:eastAsia="es-MX"/>
        </w:rPr>
      </w:pPr>
      <w:r w:rsidRPr="001A1983">
        <w:rPr>
          <w:rFonts w:ascii="Century Gothic" w:eastAsia="Times New Roman" w:hAnsi="Century Gothic" w:cs="Times New Roman"/>
          <w:sz w:val="24"/>
          <w:szCs w:val="24"/>
          <w:lang w:eastAsia="es-MX"/>
        </w:rPr>
        <w:t xml:space="preserve">Desde el ámbito jurídico, diversos autores han definido el acecho como una modalidad de hostigamiento que vulnera los derechos fundamentales a la privacidad, a la integridad personal y a la seguridad. </w:t>
      </w:r>
    </w:p>
    <w:p w14:paraId="78E27D35" w14:textId="77777777" w:rsidR="00030115" w:rsidRPr="001A1983" w:rsidRDefault="00030115" w:rsidP="00B95E00">
      <w:pPr>
        <w:spacing w:before="100" w:beforeAutospacing="1" w:after="100" w:afterAutospacing="1" w:line="276" w:lineRule="auto"/>
        <w:jc w:val="both"/>
        <w:rPr>
          <w:rFonts w:ascii="Century Gothic" w:eastAsia="Times New Roman" w:hAnsi="Century Gothic" w:cs="Times New Roman"/>
          <w:sz w:val="24"/>
          <w:szCs w:val="24"/>
          <w:lang w:eastAsia="es-MX"/>
        </w:rPr>
      </w:pPr>
      <w:r w:rsidRPr="001A1983">
        <w:rPr>
          <w:rFonts w:ascii="Century Gothic" w:eastAsia="Times New Roman" w:hAnsi="Century Gothic" w:cs="Times New Roman"/>
          <w:sz w:val="24"/>
          <w:szCs w:val="24"/>
          <w:lang w:eastAsia="es-MX"/>
        </w:rPr>
        <w:t>Doctrinarios como Fabián Caparrós y Raúl Zaffaroni han señalado que este tipo de conducta es una forma de violencia encubierta que busca controlar o dominar a la víctima.</w:t>
      </w:r>
    </w:p>
    <w:p w14:paraId="23EA4913" w14:textId="36E5FFD4" w:rsidR="00030115" w:rsidRPr="00030115" w:rsidRDefault="00030115" w:rsidP="00B95E00">
      <w:pPr>
        <w:spacing w:before="100" w:beforeAutospacing="1" w:after="100" w:afterAutospacing="1" w:line="276" w:lineRule="auto"/>
        <w:jc w:val="both"/>
        <w:rPr>
          <w:rFonts w:ascii="Century Gothic" w:eastAsia="Times New Roman" w:hAnsi="Century Gothic" w:cs="Times New Roman"/>
          <w:sz w:val="24"/>
          <w:szCs w:val="24"/>
          <w:lang w:eastAsia="es-MX"/>
        </w:rPr>
      </w:pPr>
      <w:r w:rsidRPr="001A1983">
        <w:rPr>
          <w:rFonts w:ascii="Century Gothic" w:eastAsia="Times New Roman" w:hAnsi="Century Gothic" w:cs="Times New Roman"/>
          <w:sz w:val="24"/>
          <w:szCs w:val="24"/>
          <w:lang w:eastAsia="es-MX"/>
        </w:rPr>
        <w:t xml:space="preserve">La psicología lo clasifica como un trastorno obsesivo </w:t>
      </w:r>
      <w:r w:rsidR="009145AC">
        <w:rPr>
          <w:rFonts w:ascii="Century Gothic" w:eastAsia="Times New Roman" w:hAnsi="Century Gothic" w:cs="Times New Roman"/>
          <w:sz w:val="24"/>
          <w:szCs w:val="24"/>
          <w:lang w:eastAsia="es-MX"/>
        </w:rPr>
        <w:t>en el que la persona acec</w:t>
      </w:r>
      <w:r w:rsidR="008567FF">
        <w:rPr>
          <w:rFonts w:ascii="Century Gothic" w:eastAsia="Times New Roman" w:hAnsi="Century Gothic" w:cs="Times New Roman"/>
          <w:sz w:val="24"/>
          <w:szCs w:val="24"/>
          <w:lang w:eastAsia="es-MX"/>
        </w:rPr>
        <w:t xml:space="preserve">hadora </w:t>
      </w:r>
      <w:r w:rsidRPr="001A1983">
        <w:rPr>
          <w:rFonts w:ascii="Century Gothic" w:eastAsia="Times New Roman" w:hAnsi="Century Gothic" w:cs="Times New Roman"/>
          <w:sz w:val="24"/>
          <w:szCs w:val="24"/>
          <w:lang w:eastAsia="es-MX"/>
        </w:rPr>
        <w:t>presenta</w:t>
      </w:r>
      <w:r w:rsidR="008567FF">
        <w:rPr>
          <w:rFonts w:ascii="Century Gothic" w:eastAsia="Times New Roman" w:hAnsi="Century Gothic" w:cs="Times New Roman"/>
          <w:sz w:val="24"/>
          <w:szCs w:val="24"/>
          <w:lang w:eastAsia="es-MX"/>
        </w:rPr>
        <w:t>,</w:t>
      </w:r>
      <w:r w:rsidRPr="001A1983">
        <w:rPr>
          <w:rFonts w:ascii="Century Gothic" w:eastAsia="Times New Roman" w:hAnsi="Century Gothic" w:cs="Times New Roman"/>
          <w:sz w:val="24"/>
          <w:szCs w:val="24"/>
          <w:lang w:eastAsia="es-MX"/>
        </w:rPr>
        <w:t xml:space="preserve"> generalmente</w:t>
      </w:r>
      <w:r w:rsidR="008567FF">
        <w:rPr>
          <w:rFonts w:ascii="Century Gothic" w:eastAsia="Times New Roman" w:hAnsi="Century Gothic" w:cs="Times New Roman"/>
          <w:sz w:val="24"/>
          <w:szCs w:val="24"/>
          <w:lang w:eastAsia="es-MX"/>
        </w:rPr>
        <w:t>,</w:t>
      </w:r>
      <w:r w:rsidRPr="001A1983">
        <w:rPr>
          <w:rFonts w:ascii="Century Gothic" w:eastAsia="Times New Roman" w:hAnsi="Century Gothic" w:cs="Times New Roman"/>
          <w:sz w:val="24"/>
          <w:szCs w:val="24"/>
          <w:lang w:eastAsia="es-MX"/>
        </w:rPr>
        <w:t xml:space="preserve"> conductas compulsivas derivadas de fijaciones afectivas o deseos de control. </w:t>
      </w:r>
    </w:p>
    <w:p w14:paraId="6E022A40" w14:textId="1578D945" w:rsidR="00030115" w:rsidRPr="001A1983" w:rsidRDefault="00030115" w:rsidP="00B95E00">
      <w:pPr>
        <w:spacing w:before="100" w:beforeAutospacing="1" w:after="100" w:afterAutospacing="1" w:line="276" w:lineRule="auto"/>
        <w:jc w:val="both"/>
        <w:rPr>
          <w:rFonts w:ascii="Century Gothic" w:eastAsia="Times New Roman" w:hAnsi="Century Gothic" w:cs="Times New Roman"/>
          <w:sz w:val="24"/>
          <w:szCs w:val="24"/>
          <w:lang w:eastAsia="es-MX"/>
        </w:rPr>
      </w:pPr>
      <w:r w:rsidRPr="001A1983">
        <w:rPr>
          <w:rFonts w:ascii="Century Gothic" w:eastAsia="Times New Roman" w:hAnsi="Century Gothic" w:cs="Times New Roman"/>
          <w:sz w:val="24"/>
          <w:szCs w:val="24"/>
          <w:lang w:eastAsia="es-MX"/>
        </w:rPr>
        <w:lastRenderedPageBreak/>
        <w:t>La víctima, por su parte, experimenta</w:t>
      </w:r>
      <w:r w:rsidR="00E123DC">
        <w:rPr>
          <w:rFonts w:ascii="Century Gothic" w:eastAsia="Times New Roman" w:hAnsi="Century Gothic" w:cs="Times New Roman"/>
          <w:sz w:val="24"/>
          <w:szCs w:val="24"/>
          <w:lang w:eastAsia="es-MX"/>
        </w:rPr>
        <w:t xml:space="preserve"> </w:t>
      </w:r>
      <w:r w:rsidR="0011100B" w:rsidRPr="001A1983">
        <w:rPr>
          <w:rFonts w:ascii="Century Gothic" w:eastAsia="Times New Roman" w:hAnsi="Century Gothic" w:cs="Times New Roman"/>
          <w:sz w:val="24"/>
          <w:szCs w:val="24"/>
          <w:lang w:eastAsia="es-MX"/>
        </w:rPr>
        <w:t xml:space="preserve">ansiedad, </w:t>
      </w:r>
      <w:r w:rsidR="0011100B">
        <w:rPr>
          <w:rFonts w:ascii="Century Gothic" w:eastAsia="Times New Roman" w:hAnsi="Century Gothic" w:cs="Times New Roman"/>
          <w:sz w:val="24"/>
          <w:szCs w:val="24"/>
          <w:lang w:eastAsia="es-MX"/>
        </w:rPr>
        <w:t xml:space="preserve">angustia, depresión, </w:t>
      </w:r>
      <w:r w:rsidR="0011100B" w:rsidRPr="001A1983">
        <w:rPr>
          <w:rFonts w:ascii="Century Gothic" w:eastAsia="Times New Roman" w:hAnsi="Century Gothic" w:cs="Times New Roman"/>
          <w:sz w:val="24"/>
          <w:szCs w:val="24"/>
          <w:lang w:eastAsia="es-MX"/>
        </w:rPr>
        <w:t xml:space="preserve">estrés postraumático, </w:t>
      </w:r>
      <w:r w:rsidR="0011100B">
        <w:rPr>
          <w:rFonts w:ascii="Century Gothic" w:eastAsia="Times New Roman" w:hAnsi="Century Gothic" w:cs="Times New Roman"/>
          <w:sz w:val="24"/>
          <w:szCs w:val="24"/>
          <w:lang w:eastAsia="es-MX"/>
        </w:rPr>
        <w:t xml:space="preserve">y </w:t>
      </w:r>
      <w:r w:rsidR="0011100B" w:rsidRPr="001A1983">
        <w:rPr>
          <w:rFonts w:ascii="Century Gothic" w:eastAsia="Times New Roman" w:hAnsi="Century Gothic" w:cs="Times New Roman"/>
          <w:sz w:val="24"/>
          <w:szCs w:val="24"/>
          <w:lang w:eastAsia="es-MX"/>
        </w:rPr>
        <w:t>sensación de vulnerabilidad</w:t>
      </w:r>
      <w:r w:rsidR="0011100B">
        <w:rPr>
          <w:rFonts w:ascii="Century Gothic" w:eastAsia="Times New Roman" w:hAnsi="Century Gothic" w:cs="Times New Roman"/>
          <w:sz w:val="24"/>
          <w:szCs w:val="24"/>
          <w:lang w:eastAsia="es-MX"/>
        </w:rPr>
        <w:t xml:space="preserve"> que le llevan a realizar </w:t>
      </w:r>
      <w:r w:rsidR="00E123DC">
        <w:rPr>
          <w:rFonts w:ascii="Century Gothic" w:eastAsia="Times New Roman" w:hAnsi="Century Gothic" w:cs="Times New Roman"/>
          <w:sz w:val="24"/>
          <w:szCs w:val="24"/>
          <w:lang w:eastAsia="es-MX"/>
        </w:rPr>
        <w:t>alteraciones severas en su vida cotidiana,</w:t>
      </w:r>
      <w:r w:rsidR="00C05C93">
        <w:rPr>
          <w:rFonts w:ascii="Century Gothic" w:eastAsia="Times New Roman" w:hAnsi="Century Gothic" w:cs="Times New Roman"/>
          <w:sz w:val="24"/>
          <w:szCs w:val="24"/>
          <w:lang w:eastAsia="es-MX"/>
        </w:rPr>
        <w:t xml:space="preserve"> </w:t>
      </w:r>
      <w:r w:rsidR="005F7D4E">
        <w:rPr>
          <w:rFonts w:ascii="Century Gothic" w:eastAsia="Times New Roman" w:hAnsi="Century Gothic" w:cs="Times New Roman"/>
          <w:sz w:val="24"/>
          <w:szCs w:val="24"/>
          <w:lang w:eastAsia="es-MX"/>
        </w:rPr>
        <w:t>con el objetivo de intentar evitar el acecho</w:t>
      </w:r>
      <w:r w:rsidR="005E5E3D">
        <w:rPr>
          <w:rFonts w:ascii="Century Gothic" w:eastAsia="Times New Roman" w:hAnsi="Century Gothic" w:cs="Times New Roman"/>
          <w:sz w:val="24"/>
          <w:szCs w:val="24"/>
          <w:lang w:eastAsia="es-MX"/>
        </w:rPr>
        <w:t>.</w:t>
      </w:r>
    </w:p>
    <w:p w14:paraId="641BDCF9" w14:textId="77777777" w:rsidR="00030115" w:rsidRPr="001A1983" w:rsidRDefault="00030115" w:rsidP="00B95E00">
      <w:pPr>
        <w:spacing w:before="100" w:beforeAutospacing="1" w:after="100" w:afterAutospacing="1" w:line="276" w:lineRule="auto"/>
        <w:jc w:val="both"/>
        <w:rPr>
          <w:rFonts w:ascii="Century Gothic" w:eastAsia="Times New Roman" w:hAnsi="Century Gothic" w:cs="Times New Roman"/>
          <w:sz w:val="24"/>
          <w:szCs w:val="24"/>
          <w:lang w:eastAsia="es-MX"/>
        </w:rPr>
      </w:pPr>
      <w:r w:rsidRPr="001A1983">
        <w:rPr>
          <w:rFonts w:ascii="Century Gothic" w:eastAsia="Times New Roman" w:hAnsi="Century Gothic" w:cs="Times New Roman"/>
          <w:sz w:val="24"/>
          <w:szCs w:val="24"/>
          <w:lang w:eastAsia="es-MX"/>
        </w:rPr>
        <w:t>Sociológicamente, el acecho ha sido identificado como una expresión de control social y poder, particularmente en relaciones de género. Las mujeres, niñas y adolescentes son las principales víctimas, y en muchos casos, este tipo de conducta es la antesala de formas más graves de violencia como el abuso sexual, la violencia física o incluso el feminicidio.</w:t>
      </w:r>
    </w:p>
    <w:p w14:paraId="1BF922E3" w14:textId="77777777" w:rsidR="00030115" w:rsidRPr="009F3EEF" w:rsidRDefault="00030115" w:rsidP="00B95E00">
      <w:pPr>
        <w:spacing w:before="100" w:beforeAutospacing="1" w:after="100" w:afterAutospacing="1" w:line="276" w:lineRule="auto"/>
        <w:jc w:val="both"/>
        <w:rPr>
          <w:rFonts w:ascii="Century Gothic" w:eastAsia="Times New Roman" w:hAnsi="Century Gothic" w:cs="Times New Roman"/>
          <w:sz w:val="24"/>
          <w:szCs w:val="24"/>
          <w:lang w:eastAsia="es-MX"/>
        </w:rPr>
      </w:pPr>
      <w:r w:rsidRPr="009F3EEF">
        <w:rPr>
          <w:rFonts w:ascii="Century Gothic" w:eastAsia="Times New Roman" w:hAnsi="Century Gothic" w:cs="Times New Roman"/>
          <w:sz w:val="24"/>
          <w:szCs w:val="24"/>
          <w:lang w:eastAsia="es-MX"/>
        </w:rPr>
        <w:t>La Suprema Corte de Justicia de la Nación</w:t>
      </w:r>
      <w:r w:rsidRPr="00030115">
        <w:rPr>
          <w:rFonts w:ascii="Century Gothic" w:eastAsia="Times New Roman" w:hAnsi="Century Gothic" w:cs="Times New Roman"/>
          <w:sz w:val="24"/>
          <w:szCs w:val="24"/>
          <w:lang w:eastAsia="es-MX"/>
        </w:rPr>
        <w:t>, aún</w:t>
      </w:r>
      <w:r w:rsidRPr="009F3EEF">
        <w:rPr>
          <w:rFonts w:ascii="Century Gothic" w:eastAsia="Times New Roman" w:hAnsi="Century Gothic" w:cs="Times New Roman"/>
          <w:sz w:val="24"/>
          <w:szCs w:val="24"/>
          <w:lang w:eastAsia="es-MX"/>
        </w:rPr>
        <w:t xml:space="preserve"> no ha emitido </w:t>
      </w:r>
      <w:r w:rsidRPr="00030115">
        <w:rPr>
          <w:rFonts w:ascii="Century Gothic" w:eastAsia="Times New Roman" w:hAnsi="Century Gothic" w:cs="Times New Roman"/>
          <w:sz w:val="24"/>
          <w:szCs w:val="24"/>
          <w:lang w:eastAsia="es-MX"/>
        </w:rPr>
        <w:t xml:space="preserve">al respeto </w:t>
      </w:r>
      <w:r w:rsidRPr="009F3EEF">
        <w:rPr>
          <w:rFonts w:ascii="Century Gothic" w:eastAsia="Times New Roman" w:hAnsi="Century Gothic" w:cs="Times New Roman"/>
          <w:sz w:val="24"/>
          <w:szCs w:val="24"/>
          <w:lang w:eastAsia="es-MX"/>
        </w:rPr>
        <w:t>jurisprudencia específica que tipifique el acecho como delito autónomo, sin embargo, ha establecido criterios importantes en relación con la protección de los derechos fundamentales que se ven comprometidos por este tipo de conductas.</w:t>
      </w:r>
    </w:p>
    <w:p w14:paraId="3FBC1D8E" w14:textId="77777777" w:rsidR="00030115" w:rsidRPr="00030115" w:rsidRDefault="00030115" w:rsidP="00B95E00">
      <w:pPr>
        <w:spacing w:before="100" w:beforeAutospacing="1" w:after="100" w:afterAutospacing="1" w:line="276" w:lineRule="auto"/>
        <w:jc w:val="both"/>
        <w:rPr>
          <w:rFonts w:ascii="Century Gothic" w:eastAsia="Times New Roman" w:hAnsi="Century Gothic" w:cs="Times New Roman"/>
          <w:sz w:val="24"/>
          <w:szCs w:val="24"/>
          <w:lang w:eastAsia="es-MX"/>
        </w:rPr>
      </w:pPr>
      <w:r w:rsidRPr="009F3EEF">
        <w:rPr>
          <w:rFonts w:ascii="Century Gothic" w:eastAsia="Times New Roman" w:hAnsi="Century Gothic" w:cs="Times New Roman"/>
          <w:sz w:val="24"/>
          <w:szCs w:val="24"/>
          <w:lang w:eastAsia="es-MX"/>
        </w:rPr>
        <w:t xml:space="preserve">En diversas sentencias, </w:t>
      </w:r>
      <w:r w:rsidRPr="00E67B05">
        <w:rPr>
          <w:rFonts w:ascii="Century Gothic" w:eastAsia="Times New Roman" w:hAnsi="Century Gothic" w:cs="Times New Roman"/>
          <w:b/>
          <w:bCs/>
          <w:sz w:val="24"/>
          <w:szCs w:val="24"/>
          <w:lang w:eastAsia="es-MX"/>
        </w:rPr>
        <w:t>la Corte ha sostenido que el Estado tiene el deber de prevenir, sancionar y erradicar toda forma de violencia que afecte el desarrollo libre de la personalidad</w:t>
      </w:r>
      <w:r w:rsidRPr="009F3EEF">
        <w:rPr>
          <w:rFonts w:ascii="Century Gothic" w:eastAsia="Times New Roman" w:hAnsi="Century Gothic" w:cs="Times New Roman"/>
          <w:sz w:val="24"/>
          <w:szCs w:val="24"/>
          <w:lang w:eastAsia="es-MX"/>
        </w:rPr>
        <w:t>, la seguridad jurídica y la integridad emocional.</w:t>
      </w:r>
    </w:p>
    <w:p w14:paraId="2EC6A82E" w14:textId="77777777" w:rsidR="00030115" w:rsidRPr="009F3EEF" w:rsidRDefault="00030115" w:rsidP="00B95E00">
      <w:pPr>
        <w:spacing w:before="100" w:beforeAutospacing="1" w:after="100" w:afterAutospacing="1" w:line="276" w:lineRule="auto"/>
        <w:jc w:val="both"/>
        <w:rPr>
          <w:rFonts w:ascii="Century Gothic" w:eastAsia="Times New Roman" w:hAnsi="Century Gothic" w:cs="Times New Roman"/>
          <w:sz w:val="24"/>
          <w:szCs w:val="24"/>
          <w:lang w:eastAsia="es-MX"/>
        </w:rPr>
      </w:pPr>
      <w:r w:rsidRPr="009F3EEF">
        <w:rPr>
          <w:rFonts w:ascii="Century Gothic" w:eastAsia="Times New Roman" w:hAnsi="Century Gothic" w:cs="Times New Roman"/>
          <w:sz w:val="24"/>
          <w:szCs w:val="24"/>
          <w:lang w:eastAsia="es-MX"/>
        </w:rPr>
        <w:t>En particular, en el marco de los derechos de las mujeres, la Suprema Corte de Justicia de la Nación</w:t>
      </w:r>
      <w:r w:rsidRPr="00030115">
        <w:rPr>
          <w:rFonts w:ascii="Century Gothic" w:eastAsia="Times New Roman" w:hAnsi="Century Gothic" w:cs="Times New Roman"/>
          <w:sz w:val="24"/>
          <w:szCs w:val="24"/>
          <w:lang w:eastAsia="es-MX"/>
        </w:rPr>
        <w:t>,</w:t>
      </w:r>
      <w:r w:rsidRPr="009F3EEF">
        <w:rPr>
          <w:rFonts w:ascii="Century Gothic" w:eastAsia="Times New Roman" w:hAnsi="Century Gothic" w:cs="Times New Roman"/>
          <w:sz w:val="24"/>
          <w:szCs w:val="24"/>
          <w:lang w:eastAsia="es-MX"/>
        </w:rPr>
        <w:t xml:space="preserve"> ha señalado que deben adoptarse medidas legislativas y administrativas eficaces para garantizar su acceso a una vida libre de violencia.</w:t>
      </w:r>
    </w:p>
    <w:p w14:paraId="162EAD27" w14:textId="77777777" w:rsidR="00030115" w:rsidRPr="009F3EEF" w:rsidRDefault="00030115" w:rsidP="00B95E00">
      <w:pPr>
        <w:spacing w:before="100" w:beforeAutospacing="1" w:after="100" w:afterAutospacing="1" w:line="276" w:lineRule="auto"/>
        <w:jc w:val="both"/>
        <w:rPr>
          <w:rFonts w:ascii="Century Gothic" w:eastAsia="Times New Roman" w:hAnsi="Century Gothic" w:cs="Times New Roman"/>
          <w:sz w:val="24"/>
          <w:szCs w:val="24"/>
          <w:lang w:eastAsia="es-MX"/>
        </w:rPr>
      </w:pPr>
      <w:r w:rsidRPr="009F3EEF">
        <w:rPr>
          <w:rFonts w:ascii="Century Gothic" w:eastAsia="Times New Roman" w:hAnsi="Century Gothic" w:cs="Times New Roman"/>
          <w:sz w:val="24"/>
          <w:szCs w:val="24"/>
          <w:lang w:eastAsia="es-MX"/>
        </w:rPr>
        <w:t>Por tanto, aunque no existe un precedente directo sobre el acecho, los criterios generales de la Suprema Corte de Justicia de la Nación</w:t>
      </w:r>
      <w:r w:rsidRPr="00030115">
        <w:rPr>
          <w:rFonts w:ascii="Century Gothic" w:eastAsia="Times New Roman" w:hAnsi="Century Gothic" w:cs="Times New Roman"/>
          <w:sz w:val="24"/>
          <w:szCs w:val="24"/>
          <w:lang w:eastAsia="es-MX"/>
        </w:rPr>
        <w:t xml:space="preserve">, </w:t>
      </w:r>
      <w:r w:rsidRPr="009F3EEF">
        <w:rPr>
          <w:rFonts w:ascii="Century Gothic" w:eastAsia="Times New Roman" w:hAnsi="Century Gothic" w:cs="Times New Roman"/>
          <w:sz w:val="24"/>
          <w:szCs w:val="24"/>
          <w:lang w:eastAsia="es-MX"/>
        </w:rPr>
        <w:t>en torno a la violencia psicológica y la protección de las víctimas permiten fundar la necesidad de tipificar esta conducta, atendiendo a los principios de prevención y no repetición.</w:t>
      </w:r>
    </w:p>
    <w:p w14:paraId="17B56CBD" w14:textId="77777777" w:rsidR="00030115" w:rsidRPr="00030115" w:rsidRDefault="00030115" w:rsidP="00B95E00">
      <w:pPr>
        <w:spacing w:before="100" w:beforeAutospacing="1" w:after="100" w:afterAutospacing="1" w:line="276" w:lineRule="auto"/>
        <w:jc w:val="both"/>
        <w:rPr>
          <w:rFonts w:ascii="Century Gothic" w:eastAsia="Times New Roman" w:hAnsi="Century Gothic" w:cs="Times New Roman"/>
          <w:sz w:val="24"/>
          <w:szCs w:val="24"/>
          <w:lang w:eastAsia="es-MX"/>
        </w:rPr>
      </w:pPr>
      <w:r w:rsidRPr="009F3EEF">
        <w:rPr>
          <w:rFonts w:ascii="Century Gothic" w:eastAsia="Times New Roman" w:hAnsi="Century Gothic" w:cs="Times New Roman"/>
          <w:sz w:val="24"/>
          <w:szCs w:val="24"/>
          <w:lang w:eastAsia="es-MX"/>
        </w:rPr>
        <w:lastRenderedPageBreak/>
        <w:t xml:space="preserve">La Encuesta Nacional sobre la Dinámica de las Relaciones en los Hogares ENDIREH </w:t>
      </w:r>
      <w:r w:rsidRPr="00030115">
        <w:rPr>
          <w:rFonts w:ascii="Century Gothic" w:eastAsia="Times New Roman" w:hAnsi="Century Gothic" w:cs="Times New Roman"/>
          <w:sz w:val="24"/>
          <w:szCs w:val="24"/>
          <w:lang w:eastAsia="es-MX"/>
        </w:rPr>
        <w:t xml:space="preserve">en el año </w:t>
      </w:r>
      <w:r w:rsidRPr="009F3EEF">
        <w:rPr>
          <w:rFonts w:ascii="Century Gothic" w:eastAsia="Times New Roman" w:hAnsi="Century Gothic" w:cs="Times New Roman"/>
          <w:sz w:val="24"/>
          <w:szCs w:val="24"/>
          <w:lang w:eastAsia="es-MX"/>
        </w:rPr>
        <w:t>2021 revel</w:t>
      </w:r>
      <w:r w:rsidRPr="00030115">
        <w:rPr>
          <w:rFonts w:ascii="Century Gothic" w:eastAsia="Times New Roman" w:hAnsi="Century Gothic" w:cs="Times New Roman"/>
          <w:sz w:val="24"/>
          <w:szCs w:val="24"/>
          <w:lang w:eastAsia="es-MX"/>
        </w:rPr>
        <w:t>ó</w:t>
      </w:r>
      <w:r w:rsidRPr="009F3EEF">
        <w:rPr>
          <w:rFonts w:ascii="Century Gothic" w:eastAsia="Times New Roman" w:hAnsi="Century Gothic" w:cs="Times New Roman"/>
          <w:sz w:val="24"/>
          <w:szCs w:val="24"/>
          <w:lang w:eastAsia="es-MX"/>
        </w:rPr>
        <w:t xml:space="preserve"> que </w:t>
      </w:r>
      <w:r w:rsidRPr="009F3EEF">
        <w:rPr>
          <w:rFonts w:ascii="Century Gothic" w:eastAsia="Times New Roman" w:hAnsi="Century Gothic" w:cs="Times New Roman"/>
          <w:b/>
          <w:bCs/>
          <w:sz w:val="24"/>
          <w:szCs w:val="24"/>
          <w:lang w:eastAsia="es-MX"/>
        </w:rPr>
        <w:t>el 15.2% de las mujeres mayores de 15 años ha sufrido conductas que se pueden considerar acecho</w:t>
      </w:r>
      <w:r w:rsidRPr="009F3EEF">
        <w:rPr>
          <w:rFonts w:ascii="Century Gothic" w:eastAsia="Times New Roman" w:hAnsi="Century Gothic" w:cs="Times New Roman"/>
          <w:sz w:val="24"/>
          <w:szCs w:val="24"/>
          <w:lang w:eastAsia="es-MX"/>
        </w:rPr>
        <w:t xml:space="preserve"> por parte de su pareja, expareja u otra persona. </w:t>
      </w:r>
    </w:p>
    <w:p w14:paraId="261951A6" w14:textId="77777777" w:rsidR="00030115" w:rsidRPr="009F3EEF" w:rsidRDefault="00030115" w:rsidP="00B95E00">
      <w:pPr>
        <w:spacing w:before="100" w:beforeAutospacing="1" w:after="100" w:afterAutospacing="1" w:line="276" w:lineRule="auto"/>
        <w:jc w:val="both"/>
        <w:rPr>
          <w:rFonts w:ascii="Century Gothic" w:eastAsia="Times New Roman" w:hAnsi="Century Gothic" w:cs="Times New Roman"/>
          <w:sz w:val="24"/>
          <w:szCs w:val="24"/>
          <w:lang w:eastAsia="es-MX"/>
        </w:rPr>
      </w:pPr>
      <w:r w:rsidRPr="009F3EEF">
        <w:rPr>
          <w:rFonts w:ascii="Century Gothic" w:eastAsia="Times New Roman" w:hAnsi="Century Gothic" w:cs="Times New Roman"/>
          <w:sz w:val="24"/>
          <w:szCs w:val="24"/>
          <w:lang w:eastAsia="es-MX"/>
        </w:rPr>
        <w:t>Esto incluye seguimiento, vigilancia constante, aparición sorpresiva en lugares que frecuentan, llamadas o mensajes insistentes, entre otros.</w:t>
      </w:r>
    </w:p>
    <w:p w14:paraId="345E0F9E" w14:textId="77777777" w:rsidR="00030115" w:rsidRPr="009F3EEF" w:rsidRDefault="00030115" w:rsidP="00B95E00">
      <w:pPr>
        <w:spacing w:before="100" w:beforeAutospacing="1" w:after="100" w:afterAutospacing="1" w:line="276" w:lineRule="auto"/>
        <w:jc w:val="both"/>
        <w:rPr>
          <w:rFonts w:ascii="Century Gothic" w:eastAsia="Times New Roman" w:hAnsi="Century Gothic" w:cs="Times New Roman"/>
          <w:sz w:val="24"/>
          <w:szCs w:val="24"/>
          <w:lang w:eastAsia="es-MX"/>
        </w:rPr>
      </w:pPr>
      <w:r w:rsidRPr="00030115">
        <w:rPr>
          <w:rFonts w:ascii="Century Gothic" w:eastAsia="Times New Roman" w:hAnsi="Century Gothic" w:cs="Times New Roman"/>
          <w:sz w:val="24"/>
          <w:szCs w:val="24"/>
          <w:lang w:eastAsia="es-MX"/>
        </w:rPr>
        <w:t>Por otra parte, e</w:t>
      </w:r>
      <w:r w:rsidRPr="009F3EEF">
        <w:rPr>
          <w:rFonts w:ascii="Century Gothic" w:eastAsia="Times New Roman" w:hAnsi="Century Gothic" w:cs="Times New Roman"/>
          <w:sz w:val="24"/>
          <w:szCs w:val="24"/>
          <w:lang w:eastAsia="es-MX"/>
        </w:rPr>
        <w:t>l Instituto Nacional de las Mujeres INMUJERES, en conjunto con la Comisión Nacional para Prevenir y Erradicar la Violencia contra las Mujeres</w:t>
      </w:r>
      <w:r w:rsidRPr="00030115">
        <w:rPr>
          <w:rFonts w:ascii="Century Gothic" w:eastAsia="Times New Roman" w:hAnsi="Century Gothic" w:cs="Times New Roman"/>
          <w:sz w:val="24"/>
          <w:szCs w:val="24"/>
          <w:lang w:eastAsia="es-MX"/>
        </w:rPr>
        <w:t xml:space="preserve"> </w:t>
      </w:r>
      <w:r w:rsidRPr="009F3EEF">
        <w:rPr>
          <w:rFonts w:ascii="Century Gothic" w:eastAsia="Times New Roman" w:hAnsi="Century Gothic" w:cs="Times New Roman"/>
          <w:sz w:val="24"/>
          <w:szCs w:val="24"/>
          <w:lang w:eastAsia="es-MX"/>
        </w:rPr>
        <w:t xml:space="preserve">CONAVIM, ha señalado en informes recientes la </w:t>
      </w:r>
      <w:r w:rsidRPr="009F3EEF">
        <w:rPr>
          <w:rFonts w:ascii="Century Gothic" w:eastAsia="Times New Roman" w:hAnsi="Century Gothic" w:cs="Times New Roman"/>
          <w:b/>
          <w:bCs/>
          <w:sz w:val="24"/>
          <w:szCs w:val="24"/>
          <w:lang w:eastAsia="es-MX"/>
        </w:rPr>
        <w:t>ausencia de un tipo penal específico</w:t>
      </w:r>
      <w:r w:rsidRPr="009F3EEF">
        <w:rPr>
          <w:rFonts w:ascii="Century Gothic" w:eastAsia="Times New Roman" w:hAnsi="Century Gothic" w:cs="Times New Roman"/>
          <w:sz w:val="24"/>
          <w:szCs w:val="24"/>
          <w:lang w:eastAsia="es-MX"/>
        </w:rPr>
        <w:t xml:space="preserve"> que sancione el acecho como forma autónoma de violencia, a pesar de su frecuencia e impacto.</w:t>
      </w:r>
    </w:p>
    <w:p w14:paraId="1789F0B9" w14:textId="77777777" w:rsidR="00030115" w:rsidRPr="009F3EEF" w:rsidRDefault="00030115" w:rsidP="00B95E00">
      <w:pPr>
        <w:spacing w:before="100" w:beforeAutospacing="1" w:after="100" w:afterAutospacing="1" w:line="276" w:lineRule="auto"/>
        <w:jc w:val="both"/>
        <w:rPr>
          <w:rFonts w:ascii="Century Gothic" w:eastAsia="Times New Roman" w:hAnsi="Century Gothic" w:cs="Times New Roman"/>
          <w:sz w:val="24"/>
          <w:szCs w:val="24"/>
          <w:lang w:eastAsia="es-MX"/>
        </w:rPr>
      </w:pPr>
      <w:r w:rsidRPr="009F3EEF">
        <w:rPr>
          <w:rFonts w:ascii="Century Gothic" w:eastAsia="Times New Roman" w:hAnsi="Century Gothic" w:cs="Times New Roman"/>
          <w:sz w:val="24"/>
          <w:szCs w:val="24"/>
          <w:lang w:eastAsia="es-MX"/>
        </w:rPr>
        <w:t>Diversas fiscalías estatales también han documentado que una parte significativa de los feminicidios precede de antecedentes de acecho no denunciados, o que fueron desestimados por no tener una figura penal clara.</w:t>
      </w:r>
    </w:p>
    <w:p w14:paraId="21E4B842" w14:textId="77777777" w:rsidR="00030115" w:rsidRPr="003240CC" w:rsidRDefault="00030115" w:rsidP="00B95E00">
      <w:pPr>
        <w:spacing w:before="100" w:beforeAutospacing="1" w:after="100" w:afterAutospacing="1" w:line="276" w:lineRule="auto"/>
        <w:jc w:val="both"/>
        <w:rPr>
          <w:rFonts w:ascii="Century Gothic" w:eastAsia="Times New Roman" w:hAnsi="Century Gothic" w:cs="Times New Roman"/>
          <w:sz w:val="24"/>
          <w:szCs w:val="24"/>
          <w:lang w:eastAsia="es-MX"/>
        </w:rPr>
      </w:pPr>
      <w:r w:rsidRPr="00030115">
        <w:rPr>
          <w:rFonts w:ascii="Century Gothic" w:eastAsia="Times New Roman" w:hAnsi="Century Gothic" w:cs="Times New Roman"/>
          <w:sz w:val="24"/>
          <w:szCs w:val="24"/>
          <w:lang w:eastAsia="es-MX"/>
        </w:rPr>
        <w:t>En algunos Estados de la República Mexicana, ya se ha legislado al respecto al llama al acecho como</w:t>
      </w:r>
      <w:r w:rsidRPr="003240CC">
        <w:rPr>
          <w:rFonts w:ascii="Century Gothic" w:eastAsia="Times New Roman" w:hAnsi="Century Gothic" w:cs="Times New Roman"/>
          <w:sz w:val="24"/>
          <w:szCs w:val="24"/>
          <w:lang w:eastAsia="es-MX"/>
        </w:rPr>
        <w:t xml:space="preserve"> “Ley Valeria”</w:t>
      </w:r>
      <w:r w:rsidRPr="00030115">
        <w:rPr>
          <w:rFonts w:ascii="Century Gothic" w:eastAsia="Times New Roman" w:hAnsi="Century Gothic" w:cs="Times New Roman"/>
          <w:sz w:val="24"/>
          <w:szCs w:val="24"/>
          <w:lang w:eastAsia="es-MX"/>
        </w:rPr>
        <w:t xml:space="preserve"> ya que</w:t>
      </w:r>
      <w:r w:rsidRPr="003240CC">
        <w:rPr>
          <w:rFonts w:ascii="Century Gothic" w:eastAsia="Times New Roman" w:hAnsi="Century Gothic" w:cs="Times New Roman"/>
          <w:sz w:val="24"/>
          <w:szCs w:val="24"/>
          <w:lang w:eastAsia="es-MX"/>
        </w:rPr>
        <w:t xml:space="preserve"> fue impulsada en la Ciudad de México tras el asesinato de Valeria, una joven que había sido víctima de acecho durante meses por parte de un agresor que terminó privándola de la vida. A pesar de que ella había denunciado previamente, las autoridades no contaban con herramientas jurídicas claras para intervenir antes de que ocurriera un hecho fatal.</w:t>
      </w:r>
    </w:p>
    <w:p w14:paraId="5E7D87A7" w14:textId="77777777" w:rsidR="00030115" w:rsidRPr="00030115" w:rsidRDefault="00030115" w:rsidP="00B95E00">
      <w:pPr>
        <w:spacing w:before="100" w:beforeAutospacing="1" w:after="100" w:afterAutospacing="1" w:line="276" w:lineRule="auto"/>
        <w:jc w:val="both"/>
        <w:rPr>
          <w:rFonts w:ascii="Century Gothic" w:eastAsia="Times New Roman" w:hAnsi="Century Gothic" w:cs="Times New Roman"/>
          <w:sz w:val="24"/>
          <w:szCs w:val="24"/>
          <w:lang w:eastAsia="es-MX"/>
        </w:rPr>
      </w:pPr>
      <w:r w:rsidRPr="003240CC">
        <w:rPr>
          <w:rFonts w:ascii="Century Gothic" w:eastAsia="Times New Roman" w:hAnsi="Century Gothic" w:cs="Times New Roman"/>
          <w:sz w:val="24"/>
          <w:szCs w:val="24"/>
          <w:lang w:eastAsia="es-MX"/>
        </w:rPr>
        <w:t xml:space="preserve">Esta legislación fue pionera en </w:t>
      </w:r>
      <w:r w:rsidRPr="003240CC">
        <w:rPr>
          <w:rFonts w:ascii="Century Gothic" w:eastAsia="Times New Roman" w:hAnsi="Century Gothic" w:cs="Times New Roman"/>
          <w:b/>
          <w:bCs/>
          <w:sz w:val="24"/>
          <w:szCs w:val="24"/>
          <w:lang w:eastAsia="es-MX"/>
        </w:rPr>
        <w:t>tipificar el acecho como delito autónomo en el Código Penal de la Ciudad de México</w:t>
      </w:r>
      <w:r w:rsidRPr="003240CC">
        <w:rPr>
          <w:rFonts w:ascii="Century Gothic" w:eastAsia="Times New Roman" w:hAnsi="Century Gothic" w:cs="Times New Roman"/>
          <w:sz w:val="24"/>
          <w:szCs w:val="24"/>
          <w:lang w:eastAsia="es-MX"/>
        </w:rPr>
        <w:t>, reconociéndolo como una conducta de riesgo y parte del ciclo de violencia feminicida. Su aprobación marcó un parteaguas en el tratamiento del fenómeno, y ha sido un ejemplo replicado por otras entidades federativas.</w:t>
      </w:r>
    </w:p>
    <w:p w14:paraId="10C9FD0B" w14:textId="77777777" w:rsidR="00030115" w:rsidRPr="00030115" w:rsidRDefault="00030115" w:rsidP="00B95E00">
      <w:pPr>
        <w:spacing w:before="100" w:beforeAutospacing="1" w:after="100" w:afterAutospacing="1" w:line="276" w:lineRule="auto"/>
        <w:jc w:val="both"/>
        <w:rPr>
          <w:rFonts w:ascii="Century Gothic" w:eastAsia="Times New Roman" w:hAnsi="Century Gothic" w:cs="Times New Roman"/>
          <w:sz w:val="24"/>
          <w:szCs w:val="24"/>
          <w:lang w:eastAsia="es-MX"/>
        </w:rPr>
      </w:pPr>
      <w:r w:rsidRPr="00030115">
        <w:rPr>
          <w:rFonts w:ascii="Century Gothic" w:eastAsia="Times New Roman" w:hAnsi="Century Gothic" w:cs="Times New Roman"/>
          <w:sz w:val="24"/>
          <w:szCs w:val="24"/>
          <w:lang w:eastAsia="es-MX"/>
        </w:rPr>
        <w:lastRenderedPageBreak/>
        <w:t>Sin embargo, este tema no es nuevo ya que, en el ámbito internacional, el acecho ya ha sido reconocido como delito en diversos países:</w:t>
      </w:r>
    </w:p>
    <w:p w14:paraId="2FFD4DA3" w14:textId="796521F8" w:rsidR="00030115" w:rsidRPr="003240CC" w:rsidRDefault="00030115" w:rsidP="00B95E00">
      <w:pPr>
        <w:numPr>
          <w:ilvl w:val="0"/>
          <w:numId w:val="1"/>
        </w:numPr>
        <w:spacing w:before="100" w:beforeAutospacing="1" w:after="100" w:afterAutospacing="1" w:line="276" w:lineRule="auto"/>
        <w:jc w:val="both"/>
        <w:rPr>
          <w:rFonts w:ascii="Century Gothic" w:eastAsia="Times New Roman" w:hAnsi="Century Gothic" w:cs="Times New Roman"/>
          <w:sz w:val="24"/>
          <w:szCs w:val="24"/>
          <w:lang w:eastAsia="es-MX"/>
        </w:rPr>
      </w:pPr>
      <w:r w:rsidRPr="003240CC">
        <w:rPr>
          <w:rFonts w:ascii="Century Gothic" w:eastAsia="Times New Roman" w:hAnsi="Century Gothic" w:cs="Times New Roman"/>
          <w:b/>
          <w:bCs/>
          <w:sz w:val="24"/>
          <w:szCs w:val="24"/>
          <w:lang w:eastAsia="es-MX"/>
        </w:rPr>
        <w:t>Estados Unidos</w:t>
      </w:r>
      <w:r w:rsidRPr="003240CC">
        <w:rPr>
          <w:rFonts w:ascii="Century Gothic" w:eastAsia="Times New Roman" w:hAnsi="Century Gothic" w:cs="Times New Roman"/>
          <w:sz w:val="24"/>
          <w:szCs w:val="24"/>
          <w:lang w:eastAsia="es-MX"/>
        </w:rPr>
        <w:t xml:space="preserve">: Desde la década de los noventa, con la ley federal </w:t>
      </w:r>
      <w:proofErr w:type="spellStart"/>
      <w:r w:rsidRPr="003240CC">
        <w:rPr>
          <w:rFonts w:ascii="Century Gothic" w:eastAsia="Times New Roman" w:hAnsi="Century Gothic" w:cs="Times New Roman"/>
          <w:i/>
          <w:iCs/>
          <w:sz w:val="24"/>
          <w:szCs w:val="24"/>
          <w:lang w:eastAsia="es-MX"/>
        </w:rPr>
        <w:t>Violence</w:t>
      </w:r>
      <w:proofErr w:type="spellEnd"/>
      <w:r w:rsidRPr="003240CC">
        <w:rPr>
          <w:rFonts w:ascii="Century Gothic" w:eastAsia="Times New Roman" w:hAnsi="Century Gothic" w:cs="Times New Roman"/>
          <w:i/>
          <w:iCs/>
          <w:sz w:val="24"/>
          <w:szCs w:val="24"/>
          <w:lang w:eastAsia="es-MX"/>
        </w:rPr>
        <w:t xml:space="preserve"> </w:t>
      </w:r>
      <w:proofErr w:type="spellStart"/>
      <w:r w:rsidRPr="003240CC">
        <w:rPr>
          <w:rFonts w:ascii="Century Gothic" w:eastAsia="Times New Roman" w:hAnsi="Century Gothic" w:cs="Times New Roman"/>
          <w:i/>
          <w:iCs/>
          <w:sz w:val="24"/>
          <w:szCs w:val="24"/>
          <w:lang w:eastAsia="es-MX"/>
        </w:rPr>
        <w:t>Against</w:t>
      </w:r>
      <w:proofErr w:type="spellEnd"/>
      <w:r w:rsidRPr="003240CC">
        <w:rPr>
          <w:rFonts w:ascii="Century Gothic" w:eastAsia="Times New Roman" w:hAnsi="Century Gothic" w:cs="Times New Roman"/>
          <w:i/>
          <w:iCs/>
          <w:sz w:val="24"/>
          <w:szCs w:val="24"/>
          <w:lang w:eastAsia="es-MX"/>
        </w:rPr>
        <w:t xml:space="preserve"> </w:t>
      </w:r>
      <w:proofErr w:type="spellStart"/>
      <w:r w:rsidRPr="003240CC">
        <w:rPr>
          <w:rFonts w:ascii="Century Gothic" w:eastAsia="Times New Roman" w:hAnsi="Century Gothic" w:cs="Times New Roman"/>
          <w:i/>
          <w:iCs/>
          <w:sz w:val="24"/>
          <w:szCs w:val="24"/>
          <w:lang w:eastAsia="es-MX"/>
        </w:rPr>
        <w:t>Women</w:t>
      </w:r>
      <w:proofErr w:type="spellEnd"/>
      <w:r w:rsidRPr="003240CC">
        <w:rPr>
          <w:rFonts w:ascii="Century Gothic" w:eastAsia="Times New Roman" w:hAnsi="Century Gothic" w:cs="Times New Roman"/>
          <w:i/>
          <w:iCs/>
          <w:sz w:val="24"/>
          <w:szCs w:val="24"/>
          <w:lang w:eastAsia="es-MX"/>
        </w:rPr>
        <w:t xml:space="preserve"> </w:t>
      </w:r>
      <w:proofErr w:type="spellStart"/>
      <w:r w:rsidRPr="003240CC">
        <w:rPr>
          <w:rFonts w:ascii="Century Gothic" w:eastAsia="Times New Roman" w:hAnsi="Century Gothic" w:cs="Times New Roman"/>
          <w:i/>
          <w:iCs/>
          <w:sz w:val="24"/>
          <w:szCs w:val="24"/>
          <w:lang w:eastAsia="es-MX"/>
        </w:rPr>
        <w:t>Act</w:t>
      </w:r>
      <w:proofErr w:type="spellEnd"/>
      <w:r w:rsidRPr="003240CC">
        <w:rPr>
          <w:rFonts w:ascii="Century Gothic" w:eastAsia="Times New Roman" w:hAnsi="Century Gothic" w:cs="Times New Roman"/>
          <w:sz w:val="24"/>
          <w:szCs w:val="24"/>
          <w:lang w:eastAsia="es-MX"/>
        </w:rPr>
        <w:t xml:space="preserve">, se tipifica el </w:t>
      </w:r>
      <w:r w:rsidR="00A20822">
        <w:rPr>
          <w:rFonts w:ascii="Century Gothic" w:eastAsia="Times New Roman" w:hAnsi="Century Gothic" w:cs="Times New Roman"/>
          <w:sz w:val="24"/>
          <w:szCs w:val="24"/>
          <w:lang w:eastAsia="es-MX"/>
        </w:rPr>
        <w:t>acecho, “</w:t>
      </w:r>
      <w:proofErr w:type="spellStart"/>
      <w:r w:rsidRPr="003240CC">
        <w:rPr>
          <w:rFonts w:ascii="Century Gothic" w:eastAsia="Times New Roman" w:hAnsi="Century Gothic" w:cs="Times New Roman"/>
          <w:i/>
          <w:iCs/>
          <w:sz w:val="24"/>
          <w:szCs w:val="24"/>
          <w:lang w:eastAsia="es-MX"/>
        </w:rPr>
        <w:t>stalking</w:t>
      </w:r>
      <w:proofErr w:type="spellEnd"/>
      <w:r w:rsidR="00A20822">
        <w:rPr>
          <w:rFonts w:ascii="Century Gothic" w:eastAsia="Times New Roman" w:hAnsi="Century Gothic" w:cs="Times New Roman"/>
          <w:i/>
          <w:iCs/>
          <w:sz w:val="24"/>
          <w:szCs w:val="24"/>
          <w:lang w:eastAsia="es-MX"/>
        </w:rPr>
        <w:t xml:space="preserve">” </w:t>
      </w:r>
      <w:r w:rsidR="00A20822" w:rsidRPr="00A20822">
        <w:rPr>
          <w:rFonts w:ascii="Century Gothic" w:eastAsia="Times New Roman" w:hAnsi="Century Gothic" w:cs="Times New Roman"/>
          <w:sz w:val="24"/>
          <w:szCs w:val="24"/>
          <w:lang w:eastAsia="es-MX"/>
        </w:rPr>
        <w:t>en inglés</w:t>
      </w:r>
      <w:r w:rsidR="00A20822">
        <w:rPr>
          <w:rFonts w:ascii="Century Gothic" w:eastAsia="Times New Roman" w:hAnsi="Century Gothic" w:cs="Times New Roman"/>
          <w:i/>
          <w:iCs/>
          <w:sz w:val="24"/>
          <w:szCs w:val="24"/>
          <w:lang w:eastAsia="es-MX"/>
        </w:rPr>
        <w:t>,</w:t>
      </w:r>
      <w:r w:rsidRPr="003240CC">
        <w:rPr>
          <w:rFonts w:ascii="Century Gothic" w:eastAsia="Times New Roman" w:hAnsi="Century Gothic" w:cs="Times New Roman"/>
          <w:sz w:val="24"/>
          <w:szCs w:val="24"/>
          <w:lang w:eastAsia="es-MX"/>
        </w:rPr>
        <w:t xml:space="preserve"> como una conducta punible, con sanciones severas.</w:t>
      </w:r>
    </w:p>
    <w:p w14:paraId="23983A5D" w14:textId="77777777" w:rsidR="00030115" w:rsidRPr="003240CC" w:rsidRDefault="00030115" w:rsidP="00B95E00">
      <w:pPr>
        <w:numPr>
          <w:ilvl w:val="0"/>
          <w:numId w:val="1"/>
        </w:numPr>
        <w:spacing w:before="100" w:beforeAutospacing="1" w:after="100" w:afterAutospacing="1" w:line="276" w:lineRule="auto"/>
        <w:jc w:val="both"/>
        <w:rPr>
          <w:rFonts w:ascii="Century Gothic" w:eastAsia="Times New Roman" w:hAnsi="Century Gothic" w:cs="Times New Roman"/>
          <w:sz w:val="24"/>
          <w:szCs w:val="24"/>
          <w:lang w:eastAsia="es-MX"/>
        </w:rPr>
      </w:pPr>
      <w:r w:rsidRPr="003240CC">
        <w:rPr>
          <w:rFonts w:ascii="Century Gothic" w:eastAsia="Times New Roman" w:hAnsi="Century Gothic" w:cs="Times New Roman"/>
          <w:b/>
          <w:bCs/>
          <w:sz w:val="24"/>
          <w:szCs w:val="24"/>
          <w:lang w:eastAsia="es-MX"/>
        </w:rPr>
        <w:t>España</w:t>
      </w:r>
      <w:r w:rsidRPr="003240CC">
        <w:rPr>
          <w:rFonts w:ascii="Century Gothic" w:eastAsia="Times New Roman" w:hAnsi="Century Gothic" w:cs="Times New Roman"/>
          <w:sz w:val="24"/>
          <w:szCs w:val="24"/>
          <w:lang w:eastAsia="es-MX"/>
        </w:rPr>
        <w:t>: A través del artículo 172 ter del Código Penal se introdujo la figura de acoso u hostigamiento reiterado (“</w:t>
      </w:r>
      <w:proofErr w:type="spellStart"/>
      <w:r w:rsidRPr="003240CC">
        <w:rPr>
          <w:rFonts w:ascii="Century Gothic" w:eastAsia="Times New Roman" w:hAnsi="Century Gothic" w:cs="Times New Roman"/>
          <w:i/>
          <w:iCs/>
          <w:sz w:val="24"/>
          <w:szCs w:val="24"/>
          <w:lang w:eastAsia="es-MX"/>
        </w:rPr>
        <w:t>stalking</w:t>
      </w:r>
      <w:proofErr w:type="spellEnd"/>
      <w:r w:rsidRPr="003240CC">
        <w:rPr>
          <w:rFonts w:ascii="Century Gothic" w:eastAsia="Times New Roman" w:hAnsi="Century Gothic" w:cs="Times New Roman"/>
          <w:sz w:val="24"/>
          <w:szCs w:val="24"/>
          <w:lang w:eastAsia="es-MX"/>
        </w:rPr>
        <w:t>”) como delito en 2015.</w:t>
      </w:r>
    </w:p>
    <w:p w14:paraId="2203B497" w14:textId="77777777" w:rsidR="00030115" w:rsidRPr="003240CC" w:rsidRDefault="00030115" w:rsidP="00B95E00">
      <w:pPr>
        <w:numPr>
          <w:ilvl w:val="0"/>
          <w:numId w:val="1"/>
        </w:numPr>
        <w:spacing w:before="100" w:beforeAutospacing="1" w:after="100" w:afterAutospacing="1" w:line="276" w:lineRule="auto"/>
        <w:jc w:val="both"/>
        <w:rPr>
          <w:rFonts w:ascii="Century Gothic" w:eastAsia="Times New Roman" w:hAnsi="Century Gothic" w:cs="Times New Roman"/>
          <w:sz w:val="24"/>
          <w:szCs w:val="24"/>
          <w:lang w:eastAsia="es-MX"/>
        </w:rPr>
      </w:pPr>
      <w:r w:rsidRPr="003240CC">
        <w:rPr>
          <w:rFonts w:ascii="Century Gothic" w:eastAsia="Times New Roman" w:hAnsi="Century Gothic" w:cs="Times New Roman"/>
          <w:b/>
          <w:bCs/>
          <w:sz w:val="24"/>
          <w:szCs w:val="24"/>
          <w:lang w:eastAsia="es-MX"/>
        </w:rPr>
        <w:t>Argentina</w:t>
      </w:r>
      <w:r w:rsidRPr="003240CC">
        <w:rPr>
          <w:rFonts w:ascii="Century Gothic" w:eastAsia="Times New Roman" w:hAnsi="Century Gothic" w:cs="Times New Roman"/>
          <w:sz w:val="24"/>
          <w:szCs w:val="24"/>
          <w:lang w:eastAsia="es-MX"/>
        </w:rPr>
        <w:t>: Aunque no existe aún una tipificación específica, se han impulsado iniciativas legislativas para sancionar el “hostigamiento digital”.</w:t>
      </w:r>
    </w:p>
    <w:p w14:paraId="0333BE2E" w14:textId="77777777" w:rsidR="00030115" w:rsidRPr="003240CC" w:rsidRDefault="00030115" w:rsidP="00B95E00">
      <w:pPr>
        <w:numPr>
          <w:ilvl w:val="0"/>
          <w:numId w:val="1"/>
        </w:numPr>
        <w:spacing w:before="100" w:beforeAutospacing="1" w:after="100" w:afterAutospacing="1" w:line="276" w:lineRule="auto"/>
        <w:jc w:val="both"/>
        <w:rPr>
          <w:rFonts w:ascii="Century Gothic" w:eastAsia="Times New Roman" w:hAnsi="Century Gothic" w:cs="Times New Roman"/>
          <w:sz w:val="24"/>
          <w:szCs w:val="24"/>
          <w:lang w:eastAsia="es-MX"/>
        </w:rPr>
      </w:pPr>
      <w:r w:rsidRPr="003240CC">
        <w:rPr>
          <w:rFonts w:ascii="Century Gothic" w:eastAsia="Times New Roman" w:hAnsi="Century Gothic" w:cs="Times New Roman"/>
          <w:b/>
          <w:bCs/>
          <w:sz w:val="24"/>
          <w:szCs w:val="24"/>
          <w:lang w:eastAsia="es-MX"/>
        </w:rPr>
        <w:t>Colombia y Chile</w:t>
      </w:r>
      <w:r w:rsidRPr="003240CC">
        <w:rPr>
          <w:rFonts w:ascii="Century Gothic" w:eastAsia="Times New Roman" w:hAnsi="Century Gothic" w:cs="Times New Roman"/>
          <w:sz w:val="24"/>
          <w:szCs w:val="24"/>
          <w:lang w:eastAsia="es-MX"/>
        </w:rPr>
        <w:t>: Han reconocido el acecho dentro de los marcos de violencia contra la mujer y han reformado sus códigos penales para sancionarlo.</w:t>
      </w:r>
    </w:p>
    <w:p w14:paraId="73139C76" w14:textId="77777777" w:rsidR="00030115" w:rsidRPr="003240CC" w:rsidRDefault="00030115" w:rsidP="00B95E00">
      <w:pPr>
        <w:spacing w:before="100" w:beforeAutospacing="1" w:after="100" w:afterAutospacing="1" w:line="276" w:lineRule="auto"/>
        <w:jc w:val="both"/>
        <w:rPr>
          <w:rFonts w:ascii="Century Gothic" w:eastAsia="Times New Roman" w:hAnsi="Century Gothic" w:cs="Times New Roman"/>
          <w:sz w:val="24"/>
          <w:szCs w:val="24"/>
          <w:lang w:eastAsia="es-MX"/>
        </w:rPr>
      </w:pPr>
      <w:r w:rsidRPr="003240CC">
        <w:rPr>
          <w:rFonts w:ascii="Century Gothic" w:eastAsia="Times New Roman" w:hAnsi="Century Gothic" w:cs="Times New Roman"/>
          <w:sz w:val="24"/>
          <w:szCs w:val="24"/>
          <w:lang w:eastAsia="es-MX"/>
        </w:rPr>
        <w:t xml:space="preserve">Asimismo, organismos como la </w:t>
      </w:r>
      <w:r w:rsidRPr="003240CC">
        <w:rPr>
          <w:rFonts w:ascii="Century Gothic" w:eastAsia="Times New Roman" w:hAnsi="Century Gothic" w:cs="Times New Roman"/>
          <w:b/>
          <w:bCs/>
          <w:sz w:val="24"/>
          <w:szCs w:val="24"/>
          <w:lang w:eastAsia="es-MX"/>
        </w:rPr>
        <w:t>Organización de las Naciones Unidas</w:t>
      </w:r>
      <w:r w:rsidRPr="003240CC">
        <w:rPr>
          <w:rFonts w:ascii="Century Gothic" w:eastAsia="Times New Roman" w:hAnsi="Century Gothic" w:cs="Times New Roman"/>
          <w:sz w:val="24"/>
          <w:szCs w:val="24"/>
          <w:lang w:eastAsia="es-MX"/>
        </w:rPr>
        <w:t xml:space="preserve"> y la </w:t>
      </w:r>
      <w:r w:rsidRPr="003240CC">
        <w:rPr>
          <w:rFonts w:ascii="Century Gothic" w:eastAsia="Times New Roman" w:hAnsi="Century Gothic" w:cs="Times New Roman"/>
          <w:b/>
          <w:bCs/>
          <w:sz w:val="24"/>
          <w:szCs w:val="24"/>
          <w:lang w:eastAsia="es-MX"/>
        </w:rPr>
        <w:t>Comisión Interamericana de Derechos Humanos</w:t>
      </w:r>
      <w:r w:rsidRPr="003240CC">
        <w:rPr>
          <w:rFonts w:ascii="Century Gothic" w:eastAsia="Times New Roman" w:hAnsi="Century Gothic" w:cs="Times New Roman"/>
          <w:sz w:val="24"/>
          <w:szCs w:val="24"/>
          <w:lang w:eastAsia="es-MX"/>
        </w:rPr>
        <w:t xml:space="preserve"> han exhortado a los Estados a legislar en torno al acecho como parte de sus compromisos con la protección de los derechos humanos y la eliminación de la violencia de género.</w:t>
      </w:r>
    </w:p>
    <w:p w14:paraId="52664C16" w14:textId="77777777" w:rsidR="00030115" w:rsidRPr="003240CC" w:rsidRDefault="00030115" w:rsidP="00B95E00">
      <w:pPr>
        <w:spacing w:before="100" w:beforeAutospacing="1" w:after="100" w:afterAutospacing="1" w:line="276" w:lineRule="auto"/>
        <w:jc w:val="both"/>
        <w:rPr>
          <w:rFonts w:ascii="Century Gothic" w:eastAsia="Times New Roman" w:hAnsi="Century Gothic" w:cs="Times New Roman"/>
          <w:sz w:val="24"/>
          <w:szCs w:val="24"/>
          <w:lang w:eastAsia="es-MX"/>
        </w:rPr>
      </w:pPr>
      <w:r w:rsidRPr="003240CC">
        <w:rPr>
          <w:rFonts w:ascii="Century Gothic" w:eastAsia="Times New Roman" w:hAnsi="Century Gothic" w:cs="Times New Roman"/>
          <w:sz w:val="24"/>
          <w:szCs w:val="24"/>
          <w:lang w:eastAsia="es-MX"/>
        </w:rPr>
        <w:t>De acuerdo con estudios de criminología, sociología y victimología, el acecho puede manifestarse en distintas modalidades, entre las que se encuentran:</w:t>
      </w:r>
    </w:p>
    <w:p w14:paraId="3981C414" w14:textId="77777777" w:rsidR="00030115" w:rsidRPr="003240CC" w:rsidRDefault="00030115" w:rsidP="00B95E00">
      <w:pPr>
        <w:numPr>
          <w:ilvl w:val="0"/>
          <w:numId w:val="2"/>
        </w:numPr>
        <w:spacing w:before="100" w:beforeAutospacing="1" w:after="100" w:afterAutospacing="1" w:line="276" w:lineRule="auto"/>
        <w:jc w:val="both"/>
        <w:rPr>
          <w:rFonts w:ascii="Century Gothic" w:eastAsia="Times New Roman" w:hAnsi="Century Gothic" w:cs="Times New Roman"/>
          <w:sz w:val="24"/>
          <w:szCs w:val="24"/>
          <w:lang w:eastAsia="es-MX"/>
        </w:rPr>
      </w:pPr>
      <w:r w:rsidRPr="003240CC">
        <w:rPr>
          <w:rFonts w:ascii="Century Gothic" w:eastAsia="Times New Roman" w:hAnsi="Century Gothic" w:cs="Times New Roman"/>
          <w:b/>
          <w:bCs/>
          <w:sz w:val="24"/>
          <w:szCs w:val="24"/>
          <w:lang w:eastAsia="es-MX"/>
        </w:rPr>
        <w:t>Acecho físico</w:t>
      </w:r>
      <w:r w:rsidRPr="003240CC">
        <w:rPr>
          <w:rFonts w:ascii="Century Gothic" w:eastAsia="Times New Roman" w:hAnsi="Century Gothic" w:cs="Times New Roman"/>
          <w:sz w:val="24"/>
          <w:szCs w:val="24"/>
          <w:lang w:eastAsia="es-MX"/>
        </w:rPr>
        <w:t>: Seguimiento directo de la víctima en espacios públicos o privados, rondar su lugar de trabajo, escuela o domicilio sin justificación.</w:t>
      </w:r>
    </w:p>
    <w:p w14:paraId="424C162C" w14:textId="77777777" w:rsidR="00030115" w:rsidRPr="003240CC" w:rsidRDefault="00030115" w:rsidP="00B95E00">
      <w:pPr>
        <w:numPr>
          <w:ilvl w:val="0"/>
          <w:numId w:val="2"/>
        </w:numPr>
        <w:spacing w:before="100" w:beforeAutospacing="1" w:after="100" w:afterAutospacing="1" w:line="276" w:lineRule="auto"/>
        <w:jc w:val="both"/>
        <w:rPr>
          <w:rFonts w:ascii="Century Gothic" w:eastAsia="Times New Roman" w:hAnsi="Century Gothic" w:cs="Times New Roman"/>
          <w:sz w:val="24"/>
          <w:szCs w:val="24"/>
          <w:lang w:eastAsia="es-MX"/>
        </w:rPr>
      </w:pPr>
      <w:r w:rsidRPr="003240CC">
        <w:rPr>
          <w:rFonts w:ascii="Century Gothic" w:eastAsia="Times New Roman" w:hAnsi="Century Gothic" w:cs="Times New Roman"/>
          <w:b/>
          <w:bCs/>
          <w:sz w:val="24"/>
          <w:szCs w:val="24"/>
          <w:lang w:eastAsia="es-MX"/>
        </w:rPr>
        <w:t>Acecho digital</w:t>
      </w:r>
      <w:r w:rsidRPr="003240CC">
        <w:rPr>
          <w:rFonts w:ascii="Century Gothic" w:eastAsia="Times New Roman" w:hAnsi="Century Gothic" w:cs="Times New Roman"/>
          <w:sz w:val="24"/>
          <w:szCs w:val="24"/>
          <w:lang w:eastAsia="es-MX"/>
        </w:rPr>
        <w:t xml:space="preserve"> (</w:t>
      </w:r>
      <w:proofErr w:type="spellStart"/>
      <w:r w:rsidRPr="003240CC">
        <w:rPr>
          <w:rFonts w:ascii="Century Gothic" w:eastAsia="Times New Roman" w:hAnsi="Century Gothic" w:cs="Times New Roman"/>
          <w:i/>
          <w:iCs/>
          <w:sz w:val="24"/>
          <w:szCs w:val="24"/>
          <w:lang w:eastAsia="es-MX"/>
        </w:rPr>
        <w:t>ciberacecho</w:t>
      </w:r>
      <w:proofErr w:type="spellEnd"/>
      <w:r w:rsidRPr="003240CC">
        <w:rPr>
          <w:rFonts w:ascii="Century Gothic" w:eastAsia="Times New Roman" w:hAnsi="Century Gothic" w:cs="Times New Roman"/>
          <w:sz w:val="24"/>
          <w:szCs w:val="24"/>
          <w:lang w:eastAsia="es-MX"/>
        </w:rPr>
        <w:t>): Vigilancia en redes sociales, envío constante de correos electrónicos, mensajes de texto, llamadas anónimas o insistentes, rastreo mediante GPS u otras aplicaciones móviles.</w:t>
      </w:r>
    </w:p>
    <w:p w14:paraId="7BFB66D4" w14:textId="77777777" w:rsidR="00030115" w:rsidRPr="003240CC" w:rsidRDefault="00030115" w:rsidP="00B95E00">
      <w:pPr>
        <w:numPr>
          <w:ilvl w:val="0"/>
          <w:numId w:val="2"/>
        </w:numPr>
        <w:spacing w:before="100" w:beforeAutospacing="1" w:after="100" w:afterAutospacing="1" w:line="276" w:lineRule="auto"/>
        <w:jc w:val="both"/>
        <w:rPr>
          <w:rFonts w:ascii="Century Gothic" w:eastAsia="Times New Roman" w:hAnsi="Century Gothic" w:cs="Times New Roman"/>
          <w:sz w:val="24"/>
          <w:szCs w:val="24"/>
          <w:lang w:eastAsia="es-MX"/>
        </w:rPr>
      </w:pPr>
      <w:r w:rsidRPr="003240CC">
        <w:rPr>
          <w:rFonts w:ascii="Century Gothic" w:eastAsia="Times New Roman" w:hAnsi="Century Gothic" w:cs="Times New Roman"/>
          <w:b/>
          <w:bCs/>
          <w:sz w:val="24"/>
          <w:szCs w:val="24"/>
          <w:lang w:eastAsia="es-MX"/>
        </w:rPr>
        <w:t>Acecho indirecto</w:t>
      </w:r>
      <w:r w:rsidRPr="003240CC">
        <w:rPr>
          <w:rFonts w:ascii="Century Gothic" w:eastAsia="Times New Roman" w:hAnsi="Century Gothic" w:cs="Times New Roman"/>
          <w:sz w:val="24"/>
          <w:szCs w:val="24"/>
          <w:lang w:eastAsia="es-MX"/>
        </w:rPr>
        <w:t>: A través de terceros, utilizando familiares, amigos o intermediarios para obtener información de la víctima o enviar mensajes.</w:t>
      </w:r>
    </w:p>
    <w:p w14:paraId="76A4D2D7" w14:textId="77777777" w:rsidR="00030115" w:rsidRPr="003240CC" w:rsidRDefault="00030115" w:rsidP="00B95E00">
      <w:pPr>
        <w:numPr>
          <w:ilvl w:val="0"/>
          <w:numId w:val="2"/>
        </w:numPr>
        <w:spacing w:before="100" w:beforeAutospacing="1" w:after="100" w:afterAutospacing="1" w:line="276" w:lineRule="auto"/>
        <w:jc w:val="both"/>
        <w:rPr>
          <w:rFonts w:ascii="Century Gothic" w:eastAsia="Times New Roman" w:hAnsi="Century Gothic" w:cs="Times New Roman"/>
          <w:sz w:val="24"/>
          <w:szCs w:val="24"/>
          <w:lang w:eastAsia="es-MX"/>
        </w:rPr>
      </w:pPr>
      <w:r w:rsidRPr="003240CC">
        <w:rPr>
          <w:rFonts w:ascii="Century Gothic" w:eastAsia="Times New Roman" w:hAnsi="Century Gothic" w:cs="Times New Roman"/>
          <w:b/>
          <w:bCs/>
          <w:sz w:val="24"/>
          <w:szCs w:val="24"/>
          <w:lang w:eastAsia="es-MX"/>
        </w:rPr>
        <w:lastRenderedPageBreak/>
        <w:t>Acecho íntimo o emocional</w:t>
      </w:r>
      <w:r w:rsidRPr="003240CC">
        <w:rPr>
          <w:rFonts w:ascii="Century Gothic" w:eastAsia="Times New Roman" w:hAnsi="Century Gothic" w:cs="Times New Roman"/>
          <w:sz w:val="24"/>
          <w:szCs w:val="24"/>
          <w:lang w:eastAsia="es-MX"/>
        </w:rPr>
        <w:t>: Involucra conductas invasivas de parte de una expareja o persona cercana que busca manipular emocionalmente a la víctima.</w:t>
      </w:r>
    </w:p>
    <w:p w14:paraId="2C397DD0" w14:textId="77777777" w:rsidR="00030115" w:rsidRPr="00030115" w:rsidRDefault="00030115" w:rsidP="00B95E00">
      <w:pPr>
        <w:spacing w:before="100" w:beforeAutospacing="1" w:after="100" w:afterAutospacing="1" w:line="276" w:lineRule="auto"/>
        <w:jc w:val="both"/>
        <w:rPr>
          <w:rFonts w:ascii="Century Gothic" w:eastAsia="Times New Roman" w:hAnsi="Century Gothic" w:cs="Times New Roman"/>
          <w:sz w:val="24"/>
          <w:szCs w:val="24"/>
          <w:lang w:eastAsia="es-MX"/>
        </w:rPr>
      </w:pPr>
      <w:r w:rsidRPr="003240CC">
        <w:rPr>
          <w:rFonts w:ascii="Century Gothic" w:eastAsia="Times New Roman" w:hAnsi="Century Gothic" w:cs="Times New Roman"/>
          <w:sz w:val="24"/>
          <w:szCs w:val="24"/>
          <w:lang w:eastAsia="es-MX"/>
        </w:rPr>
        <w:t xml:space="preserve">En todos los casos, el elemento común es la </w:t>
      </w:r>
      <w:r w:rsidRPr="003240CC">
        <w:rPr>
          <w:rFonts w:ascii="Century Gothic" w:eastAsia="Times New Roman" w:hAnsi="Century Gothic" w:cs="Times New Roman"/>
          <w:b/>
          <w:bCs/>
          <w:sz w:val="24"/>
          <w:szCs w:val="24"/>
          <w:lang w:eastAsia="es-MX"/>
        </w:rPr>
        <w:t>persistencia</w:t>
      </w:r>
      <w:r w:rsidRPr="003240CC">
        <w:rPr>
          <w:rFonts w:ascii="Century Gothic" w:eastAsia="Times New Roman" w:hAnsi="Century Gothic" w:cs="Times New Roman"/>
          <w:sz w:val="24"/>
          <w:szCs w:val="24"/>
          <w:lang w:eastAsia="es-MX"/>
        </w:rPr>
        <w:t xml:space="preserve"> y la </w:t>
      </w:r>
      <w:r w:rsidRPr="003240CC">
        <w:rPr>
          <w:rFonts w:ascii="Century Gothic" w:eastAsia="Times New Roman" w:hAnsi="Century Gothic" w:cs="Times New Roman"/>
          <w:b/>
          <w:bCs/>
          <w:sz w:val="24"/>
          <w:szCs w:val="24"/>
          <w:lang w:eastAsia="es-MX"/>
        </w:rPr>
        <w:t>afectación directa</w:t>
      </w:r>
      <w:r w:rsidRPr="003240CC">
        <w:rPr>
          <w:rFonts w:ascii="Century Gothic" w:eastAsia="Times New Roman" w:hAnsi="Century Gothic" w:cs="Times New Roman"/>
          <w:sz w:val="24"/>
          <w:szCs w:val="24"/>
          <w:lang w:eastAsia="es-MX"/>
        </w:rPr>
        <w:t xml:space="preserve"> a la libertad, seguridad y privacidad de la persona acosada. Esta conducta no debe minimizarse por no ser física o violenta en apariencia, pues tiene impactos graves en la salud mental y emocional de quien la padece.</w:t>
      </w:r>
    </w:p>
    <w:p w14:paraId="349C6A35" w14:textId="77777777" w:rsidR="00030115" w:rsidRPr="00030115" w:rsidRDefault="00030115" w:rsidP="00B95E00">
      <w:pPr>
        <w:spacing w:before="100" w:beforeAutospacing="1" w:after="100" w:afterAutospacing="1" w:line="276" w:lineRule="auto"/>
        <w:jc w:val="both"/>
        <w:rPr>
          <w:rFonts w:ascii="Century Gothic" w:eastAsia="Times New Roman" w:hAnsi="Century Gothic" w:cs="Times New Roman"/>
          <w:sz w:val="24"/>
          <w:szCs w:val="24"/>
          <w:lang w:eastAsia="es-MX"/>
        </w:rPr>
      </w:pPr>
      <w:r w:rsidRPr="003240CC">
        <w:rPr>
          <w:rFonts w:ascii="Century Gothic" w:eastAsia="Times New Roman" w:hAnsi="Century Gothic" w:cs="Times New Roman"/>
          <w:sz w:val="24"/>
          <w:szCs w:val="24"/>
          <w:lang w:eastAsia="es-MX"/>
        </w:rPr>
        <w:t xml:space="preserve">Con la presente iniciativa se busca atender una deuda legislativa que por años ha dejado en situación de vulnerabilidad a cientos de víctimas, particularmente mujeres, frente a una conducta reiterada, silenciosa y profundamente invasiva como lo es el acecho. </w:t>
      </w:r>
    </w:p>
    <w:p w14:paraId="6FA33E54" w14:textId="77777777" w:rsidR="00030115" w:rsidRPr="003240CC" w:rsidRDefault="00030115" w:rsidP="00B95E00">
      <w:pPr>
        <w:spacing w:before="100" w:beforeAutospacing="1" w:after="100" w:afterAutospacing="1" w:line="276" w:lineRule="auto"/>
        <w:jc w:val="both"/>
        <w:rPr>
          <w:rFonts w:ascii="Century Gothic" w:eastAsia="Times New Roman" w:hAnsi="Century Gothic" w:cs="Times New Roman"/>
          <w:sz w:val="24"/>
          <w:szCs w:val="24"/>
          <w:lang w:eastAsia="es-MX"/>
        </w:rPr>
      </w:pPr>
      <w:r w:rsidRPr="003240CC">
        <w:rPr>
          <w:rFonts w:ascii="Century Gothic" w:eastAsia="Times New Roman" w:hAnsi="Century Gothic" w:cs="Times New Roman"/>
          <w:sz w:val="24"/>
          <w:szCs w:val="24"/>
          <w:lang w:eastAsia="es-MX"/>
        </w:rPr>
        <w:t>Este fenómeno, que afecta directamente la dignidad, la libertad, la integridad emocional y la seguridad personal, no cuenta actualmente con un reconocimiento autónomo en la legislación penal del Estado de Chihuahua, lo cual limita gravemente la capacidad de las autoridades para prevenirlo, sancionarlo y proteger eficazmente a quienes lo padecen.</w:t>
      </w:r>
    </w:p>
    <w:p w14:paraId="649B1CDE" w14:textId="0CE69C0D" w:rsidR="00030115" w:rsidRDefault="00030115" w:rsidP="00B95E00">
      <w:pPr>
        <w:spacing w:before="100" w:beforeAutospacing="1" w:after="100" w:afterAutospacing="1" w:line="276" w:lineRule="auto"/>
        <w:jc w:val="both"/>
        <w:rPr>
          <w:rFonts w:ascii="Century Gothic" w:eastAsia="Times New Roman" w:hAnsi="Century Gothic" w:cs="Times New Roman"/>
          <w:sz w:val="24"/>
          <w:szCs w:val="24"/>
          <w:lang w:eastAsia="es-MX"/>
        </w:rPr>
      </w:pPr>
      <w:r w:rsidRPr="003240CC">
        <w:rPr>
          <w:rFonts w:ascii="Century Gothic" w:eastAsia="Times New Roman" w:hAnsi="Century Gothic" w:cs="Times New Roman"/>
          <w:sz w:val="24"/>
          <w:szCs w:val="24"/>
          <w:lang w:eastAsia="es-MX"/>
        </w:rPr>
        <w:t xml:space="preserve">La incorporación de figuras jurídicas específicas en el Código Penal y en </w:t>
      </w:r>
      <w:r w:rsidR="00140446" w:rsidRPr="003240CC">
        <w:rPr>
          <w:rFonts w:ascii="Century Gothic" w:eastAsia="Times New Roman" w:hAnsi="Century Gothic" w:cs="Times New Roman"/>
          <w:sz w:val="24"/>
          <w:szCs w:val="24"/>
          <w:lang w:eastAsia="es-MX"/>
        </w:rPr>
        <w:t xml:space="preserve">la </w:t>
      </w:r>
      <w:r w:rsidR="00140446">
        <w:rPr>
          <w:rFonts w:ascii="Century Gothic" w:eastAsia="Times New Roman" w:hAnsi="Century Gothic" w:cs="Times New Roman"/>
          <w:sz w:val="24"/>
          <w:szCs w:val="24"/>
          <w:lang w:eastAsia="es-MX"/>
        </w:rPr>
        <w:t>L</w:t>
      </w:r>
      <w:r w:rsidR="00140446" w:rsidRPr="00140446">
        <w:rPr>
          <w:rFonts w:ascii="Century Gothic" w:eastAsia="Times New Roman" w:hAnsi="Century Gothic" w:cs="Times New Roman"/>
          <w:sz w:val="24"/>
          <w:szCs w:val="24"/>
          <w:lang w:eastAsia="es-MX"/>
        </w:rPr>
        <w:t xml:space="preserve">ey </w:t>
      </w:r>
      <w:r w:rsidR="00140446">
        <w:rPr>
          <w:rFonts w:ascii="Century Gothic" w:eastAsia="Times New Roman" w:hAnsi="Century Gothic" w:cs="Times New Roman"/>
          <w:sz w:val="24"/>
          <w:szCs w:val="24"/>
          <w:lang w:eastAsia="es-MX"/>
        </w:rPr>
        <w:t>E</w:t>
      </w:r>
      <w:r w:rsidR="00140446" w:rsidRPr="00140446">
        <w:rPr>
          <w:rFonts w:ascii="Century Gothic" w:eastAsia="Times New Roman" w:hAnsi="Century Gothic" w:cs="Times New Roman"/>
          <w:sz w:val="24"/>
          <w:szCs w:val="24"/>
          <w:lang w:eastAsia="es-MX"/>
        </w:rPr>
        <w:t xml:space="preserve">statal del </w:t>
      </w:r>
      <w:r w:rsidR="00140446">
        <w:rPr>
          <w:rFonts w:ascii="Century Gothic" w:eastAsia="Times New Roman" w:hAnsi="Century Gothic" w:cs="Times New Roman"/>
          <w:sz w:val="24"/>
          <w:szCs w:val="24"/>
          <w:lang w:eastAsia="es-MX"/>
        </w:rPr>
        <w:t>D</w:t>
      </w:r>
      <w:r w:rsidR="00140446" w:rsidRPr="00140446">
        <w:rPr>
          <w:rFonts w:ascii="Century Gothic" w:eastAsia="Times New Roman" w:hAnsi="Century Gothic" w:cs="Times New Roman"/>
          <w:sz w:val="24"/>
          <w:szCs w:val="24"/>
          <w:lang w:eastAsia="es-MX"/>
        </w:rPr>
        <w:t xml:space="preserve">erecho de las </w:t>
      </w:r>
      <w:r w:rsidR="00140446">
        <w:rPr>
          <w:rFonts w:ascii="Century Gothic" w:eastAsia="Times New Roman" w:hAnsi="Century Gothic" w:cs="Times New Roman"/>
          <w:sz w:val="24"/>
          <w:szCs w:val="24"/>
          <w:lang w:eastAsia="es-MX"/>
        </w:rPr>
        <w:t>M</w:t>
      </w:r>
      <w:r w:rsidR="00140446" w:rsidRPr="00140446">
        <w:rPr>
          <w:rFonts w:ascii="Century Gothic" w:eastAsia="Times New Roman" w:hAnsi="Century Gothic" w:cs="Times New Roman"/>
          <w:sz w:val="24"/>
          <w:szCs w:val="24"/>
          <w:lang w:eastAsia="es-MX"/>
        </w:rPr>
        <w:t xml:space="preserve">ujeres a una </w:t>
      </w:r>
      <w:r w:rsidR="00140446">
        <w:rPr>
          <w:rFonts w:ascii="Century Gothic" w:eastAsia="Times New Roman" w:hAnsi="Century Gothic" w:cs="Times New Roman"/>
          <w:sz w:val="24"/>
          <w:szCs w:val="24"/>
          <w:lang w:eastAsia="es-MX"/>
        </w:rPr>
        <w:t>Vi</w:t>
      </w:r>
      <w:r w:rsidR="00140446" w:rsidRPr="00140446">
        <w:rPr>
          <w:rFonts w:ascii="Century Gothic" w:eastAsia="Times New Roman" w:hAnsi="Century Gothic" w:cs="Times New Roman"/>
          <w:sz w:val="24"/>
          <w:szCs w:val="24"/>
          <w:lang w:eastAsia="es-MX"/>
        </w:rPr>
        <w:t xml:space="preserve">da </w:t>
      </w:r>
      <w:r w:rsidR="00140446">
        <w:rPr>
          <w:rFonts w:ascii="Century Gothic" w:eastAsia="Times New Roman" w:hAnsi="Century Gothic" w:cs="Times New Roman"/>
          <w:sz w:val="24"/>
          <w:szCs w:val="24"/>
          <w:lang w:eastAsia="es-MX"/>
        </w:rPr>
        <w:t>L</w:t>
      </w:r>
      <w:r w:rsidR="00140446" w:rsidRPr="00140446">
        <w:rPr>
          <w:rFonts w:ascii="Century Gothic" w:eastAsia="Times New Roman" w:hAnsi="Century Gothic" w:cs="Times New Roman"/>
          <w:sz w:val="24"/>
          <w:szCs w:val="24"/>
          <w:lang w:eastAsia="es-MX"/>
        </w:rPr>
        <w:t xml:space="preserve">ibre de </w:t>
      </w:r>
      <w:r w:rsidR="00140446">
        <w:rPr>
          <w:rFonts w:ascii="Century Gothic" w:eastAsia="Times New Roman" w:hAnsi="Century Gothic" w:cs="Times New Roman"/>
          <w:sz w:val="24"/>
          <w:szCs w:val="24"/>
          <w:lang w:eastAsia="es-MX"/>
        </w:rPr>
        <w:t>V</w:t>
      </w:r>
      <w:r w:rsidR="00140446" w:rsidRPr="00140446">
        <w:rPr>
          <w:rFonts w:ascii="Century Gothic" w:eastAsia="Times New Roman" w:hAnsi="Century Gothic" w:cs="Times New Roman"/>
          <w:sz w:val="24"/>
          <w:szCs w:val="24"/>
          <w:lang w:eastAsia="es-MX"/>
        </w:rPr>
        <w:t xml:space="preserve">iolencia </w:t>
      </w:r>
      <w:r w:rsidRPr="003240CC">
        <w:rPr>
          <w:rFonts w:ascii="Century Gothic" w:eastAsia="Times New Roman" w:hAnsi="Century Gothic" w:cs="Times New Roman"/>
          <w:sz w:val="24"/>
          <w:szCs w:val="24"/>
          <w:lang w:eastAsia="es-MX"/>
        </w:rPr>
        <w:t>permitirá visibilizar y reconocer legalmente esta forma de violencia, al tiempo que se dota al Estado de herramientas normativas para intervenir de manera oportuna y eficaz</w:t>
      </w:r>
      <w:r w:rsidR="001A13FD">
        <w:rPr>
          <w:rFonts w:ascii="Century Gothic" w:eastAsia="Times New Roman" w:hAnsi="Century Gothic" w:cs="Times New Roman"/>
          <w:sz w:val="24"/>
          <w:szCs w:val="24"/>
          <w:lang w:eastAsia="es-MX"/>
        </w:rPr>
        <w:t>:</w:t>
      </w:r>
    </w:p>
    <w:tbl>
      <w:tblPr>
        <w:tblStyle w:val="Tablaconcuadrcula"/>
        <w:tblW w:w="9493" w:type="dxa"/>
        <w:tblLayout w:type="fixed"/>
        <w:tblLook w:val="04A0" w:firstRow="1" w:lastRow="0" w:firstColumn="1" w:lastColumn="0" w:noHBand="0" w:noVBand="1"/>
      </w:tblPr>
      <w:tblGrid>
        <w:gridCol w:w="2830"/>
        <w:gridCol w:w="3784"/>
        <w:gridCol w:w="2879"/>
      </w:tblGrid>
      <w:tr w:rsidR="001A13FD" w:rsidRPr="00D177CF" w14:paraId="4B80B62F" w14:textId="77777777" w:rsidTr="00B86FA9">
        <w:tc>
          <w:tcPr>
            <w:tcW w:w="2830" w:type="dxa"/>
            <w:tcBorders>
              <w:top w:val="single" w:sz="4" w:space="0" w:color="auto"/>
              <w:left w:val="single" w:sz="4" w:space="0" w:color="auto"/>
              <w:bottom w:val="single" w:sz="4" w:space="0" w:color="auto"/>
              <w:right w:val="single" w:sz="4" w:space="0" w:color="auto"/>
            </w:tcBorders>
            <w:hideMark/>
          </w:tcPr>
          <w:p w14:paraId="1FBE695B" w14:textId="77777777" w:rsidR="001A13FD" w:rsidRPr="00D177CF" w:rsidRDefault="001A13FD" w:rsidP="00D72772">
            <w:pPr>
              <w:spacing w:line="276" w:lineRule="auto"/>
              <w:rPr>
                <w:rFonts w:ascii="Century Gothic" w:hAnsi="Century Gothic"/>
                <w:b/>
                <w:bCs/>
                <w:kern w:val="0"/>
                <w:sz w:val="24"/>
                <w:szCs w:val="24"/>
                <w14:ligatures w14:val="none"/>
              </w:rPr>
            </w:pPr>
            <w:r w:rsidRPr="00D177CF">
              <w:rPr>
                <w:rFonts w:ascii="Century Gothic" w:hAnsi="Century Gothic"/>
                <w:b/>
                <w:bCs/>
                <w:sz w:val="24"/>
                <w:szCs w:val="24"/>
              </w:rPr>
              <w:t>ARTÍCULO Y TEXTO VIGENTE</w:t>
            </w:r>
          </w:p>
        </w:tc>
        <w:tc>
          <w:tcPr>
            <w:tcW w:w="3784" w:type="dxa"/>
            <w:tcBorders>
              <w:top w:val="single" w:sz="4" w:space="0" w:color="auto"/>
              <w:left w:val="single" w:sz="4" w:space="0" w:color="auto"/>
              <w:bottom w:val="single" w:sz="4" w:space="0" w:color="auto"/>
              <w:right w:val="single" w:sz="4" w:space="0" w:color="auto"/>
            </w:tcBorders>
            <w:hideMark/>
          </w:tcPr>
          <w:p w14:paraId="66DC91A3" w14:textId="77777777" w:rsidR="001A13FD" w:rsidRPr="00D177CF" w:rsidRDefault="001A13FD" w:rsidP="00D72772">
            <w:pPr>
              <w:spacing w:line="276" w:lineRule="auto"/>
              <w:rPr>
                <w:rFonts w:ascii="Century Gothic" w:hAnsi="Century Gothic"/>
                <w:b/>
                <w:bCs/>
                <w:sz w:val="24"/>
                <w:szCs w:val="24"/>
              </w:rPr>
            </w:pPr>
            <w:r w:rsidRPr="00D177CF">
              <w:rPr>
                <w:rFonts w:ascii="Century Gothic" w:hAnsi="Century Gothic"/>
                <w:b/>
                <w:bCs/>
                <w:sz w:val="24"/>
                <w:szCs w:val="24"/>
              </w:rPr>
              <w:t>PROPUESTA DE REFORMA</w:t>
            </w:r>
          </w:p>
        </w:tc>
        <w:tc>
          <w:tcPr>
            <w:tcW w:w="2879" w:type="dxa"/>
            <w:tcBorders>
              <w:top w:val="single" w:sz="4" w:space="0" w:color="auto"/>
              <w:left w:val="single" w:sz="4" w:space="0" w:color="auto"/>
              <w:bottom w:val="single" w:sz="4" w:space="0" w:color="auto"/>
              <w:right w:val="single" w:sz="4" w:space="0" w:color="auto"/>
            </w:tcBorders>
            <w:hideMark/>
          </w:tcPr>
          <w:p w14:paraId="36CC024B" w14:textId="77777777" w:rsidR="001A13FD" w:rsidRPr="00D177CF" w:rsidRDefault="001A13FD" w:rsidP="00D72772">
            <w:pPr>
              <w:spacing w:line="276" w:lineRule="auto"/>
              <w:rPr>
                <w:rFonts w:ascii="Century Gothic" w:hAnsi="Century Gothic"/>
                <w:b/>
                <w:bCs/>
                <w:sz w:val="24"/>
                <w:szCs w:val="24"/>
              </w:rPr>
            </w:pPr>
            <w:r w:rsidRPr="00D177CF">
              <w:rPr>
                <w:rFonts w:ascii="Century Gothic" w:hAnsi="Century Gothic"/>
                <w:b/>
                <w:bCs/>
                <w:sz w:val="24"/>
                <w:szCs w:val="24"/>
              </w:rPr>
              <w:t>JUSTIFICACIÓN/OBSERVACIONES</w:t>
            </w:r>
          </w:p>
        </w:tc>
      </w:tr>
      <w:tr w:rsidR="00E74F33" w:rsidRPr="00D177CF" w14:paraId="6125D4E8" w14:textId="77777777" w:rsidTr="00FE7F0D">
        <w:tc>
          <w:tcPr>
            <w:tcW w:w="9493" w:type="dxa"/>
            <w:gridSpan w:val="3"/>
            <w:tcBorders>
              <w:top w:val="single" w:sz="4" w:space="0" w:color="auto"/>
              <w:left w:val="single" w:sz="4" w:space="0" w:color="auto"/>
              <w:bottom w:val="single" w:sz="4" w:space="0" w:color="auto"/>
              <w:right w:val="single" w:sz="4" w:space="0" w:color="auto"/>
            </w:tcBorders>
          </w:tcPr>
          <w:p w14:paraId="5CFC967B" w14:textId="347EF1C2" w:rsidR="00E74F33" w:rsidRPr="00E74F33" w:rsidRDefault="00E74F33" w:rsidP="00E74F33">
            <w:pPr>
              <w:spacing w:line="276" w:lineRule="auto"/>
              <w:jc w:val="center"/>
              <w:rPr>
                <w:rFonts w:ascii="Century Gothic" w:hAnsi="Century Gothic"/>
                <w:b/>
                <w:bCs/>
                <w:sz w:val="24"/>
                <w:szCs w:val="24"/>
              </w:rPr>
            </w:pPr>
            <w:r w:rsidRPr="00E74F33">
              <w:rPr>
                <w:rFonts w:ascii="Century Gothic" w:hAnsi="Century Gothic"/>
                <w:b/>
                <w:bCs/>
                <w:sz w:val="24"/>
                <w:szCs w:val="24"/>
              </w:rPr>
              <w:t>Código Penal del Estado de Chihuahua</w:t>
            </w:r>
          </w:p>
        </w:tc>
      </w:tr>
      <w:tr w:rsidR="001A13FD" w:rsidRPr="00D177CF" w14:paraId="0AD0D632" w14:textId="77777777" w:rsidTr="00B86FA9">
        <w:tc>
          <w:tcPr>
            <w:tcW w:w="2830" w:type="dxa"/>
            <w:tcBorders>
              <w:top w:val="single" w:sz="4" w:space="0" w:color="auto"/>
              <w:left w:val="single" w:sz="4" w:space="0" w:color="auto"/>
              <w:bottom w:val="single" w:sz="4" w:space="0" w:color="auto"/>
              <w:right w:val="single" w:sz="4" w:space="0" w:color="auto"/>
            </w:tcBorders>
            <w:hideMark/>
          </w:tcPr>
          <w:p w14:paraId="23DA1918" w14:textId="20B0F327" w:rsidR="001A13FD" w:rsidRPr="00D177CF" w:rsidRDefault="001A13FD" w:rsidP="001A13FD">
            <w:pPr>
              <w:spacing w:line="276" w:lineRule="auto"/>
              <w:jc w:val="both"/>
              <w:rPr>
                <w:rFonts w:ascii="Century Gothic" w:hAnsi="Century Gothic"/>
                <w:sz w:val="24"/>
                <w:szCs w:val="24"/>
              </w:rPr>
            </w:pPr>
            <w:r w:rsidRPr="00D177CF">
              <w:rPr>
                <w:rFonts w:ascii="Century Gothic" w:hAnsi="Century Gothic"/>
                <w:sz w:val="24"/>
                <w:szCs w:val="24"/>
              </w:rPr>
              <w:br/>
              <w:t>Capítulo III BIS</w:t>
            </w:r>
            <w:r w:rsidRPr="00D177CF">
              <w:rPr>
                <w:rFonts w:ascii="Century Gothic" w:hAnsi="Century Gothic"/>
                <w:sz w:val="24"/>
                <w:szCs w:val="24"/>
              </w:rPr>
              <w:br/>
            </w:r>
            <w:r w:rsidRPr="00D177CF">
              <w:rPr>
                <w:rFonts w:ascii="Century Gothic" w:hAnsi="Century Gothic"/>
                <w:sz w:val="24"/>
                <w:szCs w:val="24"/>
              </w:rPr>
              <w:lastRenderedPageBreak/>
              <w:t>Actualmente, el capítulo regula únicamente el acoso sexual. No contempla la figura del acecho como delito autónomo.</w:t>
            </w:r>
          </w:p>
        </w:tc>
        <w:tc>
          <w:tcPr>
            <w:tcW w:w="3784" w:type="dxa"/>
            <w:tcBorders>
              <w:top w:val="single" w:sz="4" w:space="0" w:color="auto"/>
              <w:left w:val="single" w:sz="4" w:space="0" w:color="auto"/>
              <w:bottom w:val="single" w:sz="4" w:space="0" w:color="auto"/>
              <w:right w:val="single" w:sz="4" w:space="0" w:color="auto"/>
            </w:tcBorders>
            <w:hideMark/>
          </w:tcPr>
          <w:p w14:paraId="01017667" w14:textId="77777777" w:rsidR="001A13FD" w:rsidRPr="00D177CF" w:rsidRDefault="001A13FD" w:rsidP="001A13FD">
            <w:pPr>
              <w:spacing w:line="276" w:lineRule="auto"/>
              <w:jc w:val="both"/>
              <w:rPr>
                <w:rFonts w:ascii="Century Gothic" w:hAnsi="Century Gothic"/>
                <w:sz w:val="24"/>
                <w:szCs w:val="24"/>
              </w:rPr>
            </w:pPr>
            <w:r w:rsidRPr="00D177CF">
              <w:rPr>
                <w:rFonts w:ascii="Century Gothic" w:hAnsi="Century Gothic"/>
                <w:sz w:val="24"/>
                <w:szCs w:val="24"/>
              </w:rPr>
              <w:lastRenderedPageBreak/>
              <w:t xml:space="preserve">Se propone adicionar el artículo 176 </w:t>
            </w:r>
            <w:proofErr w:type="spellStart"/>
            <w:r w:rsidRPr="00D177CF">
              <w:rPr>
                <w:rFonts w:ascii="Century Gothic" w:hAnsi="Century Gothic"/>
                <w:sz w:val="24"/>
                <w:szCs w:val="24"/>
              </w:rPr>
              <w:t>Quáter</w:t>
            </w:r>
            <w:proofErr w:type="spellEnd"/>
            <w:r w:rsidRPr="00D177CF">
              <w:rPr>
                <w:rFonts w:ascii="Century Gothic" w:hAnsi="Century Gothic"/>
                <w:sz w:val="24"/>
                <w:szCs w:val="24"/>
              </w:rPr>
              <w:t xml:space="preserve"> para </w:t>
            </w:r>
            <w:r w:rsidRPr="00D177CF">
              <w:rPr>
                <w:rFonts w:ascii="Century Gothic" w:hAnsi="Century Gothic"/>
                <w:sz w:val="24"/>
                <w:szCs w:val="24"/>
              </w:rPr>
              <w:lastRenderedPageBreak/>
              <w:t>definir el delito de acecho como la conducta reiterada o sistemática, física o digital, que vulnere la libertad, privacidad o seguridad de una persona.</w:t>
            </w:r>
          </w:p>
        </w:tc>
        <w:tc>
          <w:tcPr>
            <w:tcW w:w="2879" w:type="dxa"/>
            <w:tcBorders>
              <w:top w:val="single" w:sz="4" w:space="0" w:color="auto"/>
              <w:left w:val="single" w:sz="4" w:space="0" w:color="auto"/>
              <w:bottom w:val="single" w:sz="4" w:space="0" w:color="auto"/>
              <w:right w:val="single" w:sz="4" w:space="0" w:color="auto"/>
            </w:tcBorders>
            <w:hideMark/>
          </w:tcPr>
          <w:p w14:paraId="3028083D" w14:textId="77777777" w:rsidR="001A13FD" w:rsidRPr="00D177CF" w:rsidRDefault="001A13FD" w:rsidP="001A13FD">
            <w:pPr>
              <w:spacing w:line="276" w:lineRule="auto"/>
              <w:jc w:val="both"/>
              <w:rPr>
                <w:rFonts w:ascii="Century Gothic" w:hAnsi="Century Gothic"/>
                <w:sz w:val="24"/>
                <w:szCs w:val="24"/>
              </w:rPr>
            </w:pPr>
            <w:r w:rsidRPr="00D177CF">
              <w:rPr>
                <w:rFonts w:ascii="Century Gothic" w:hAnsi="Century Gothic"/>
                <w:sz w:val="24"/>
                <w:szCs w:val="24"/>
              </w:rPr>
              <w:lastRenderedPageBreak/>
              <w:t xml:space="preserve">El acecho, como patrón de conducta </w:t>
            </w:r>
            <w:r w:rsidRPr="00D177CF">
              <w:rPr>
                <w:rFonts w:ascii="Century Gothic" w:hAnsi="Century Gothic"/>
                <w:sz w:val="24"/>
                <w:szCs w:val="24"/>
              </w:rPr>
              <w:lastRenderedPageBreak/>
              <w:t>invasivo y obsesivo, requiere su tipificación para permitir la actuación preventiva del Estado y garantizar la protección integral de las víctimas, en especial mujeres.</w:t>
            </w:r>
          </w:p>
        </w:tc>
      </w:tr>
      <w:tr w:rsidR="001A13FD" w:rsidRPr="00D177CF" w14:paraId="051AA901" w14:textId="77777777" w:rsidTr="00B86FA9">
        <w:tc>
          <w:tcPr>
            <w:tcW w:w="2830" w:type="dxa"/>
            <w:tcBorders>
              <w:top w:val="single" w:sz="4" w:space="0" w:color="auto"/>
              <w:left w:val="single" w:sz="4" w:space="0" w:color="auto"/>
              <w:bottom w:val="single" w:sz="4" w:space="0" w:color="auto"/>
              <w:right w:val="single" w:sz="4" w:space="0" w:color="auto"/>
            </w:tcBorders>
            <w:hideMark/>
          </w:tcPr>
          <w:p w14:paraId="08B5E677" w14:textId="77777777" w:rsidR="001A13FD" w:rsidRPr="00D177CF" w:rsidRDefault="001A13FD" w:rsidP="001A13FD">
            <w:pPr>
              <w:spacing w:line="276" w:lineRule="auto"/>
              <w:jc w:val="both"/>
              <w:rPr>
                <w:rFonts w:ascii="Century Gothic" w:hAnsi="Century Gothic"/>
                <w:sz w:val="24"/>
                <w:szCs w:val="24"/>
              </w:rPr>
            </w:pPr>
            <w:r w:rsidRPr="00D177CF">
              <w:rPr>
                <w:rFonts w:ascii="Century Gothic" w:hAnsi="Century Gothic"/>
                <w:sz w:val="24"/>
                <w:szCs w:val="24"/>
              </w:rPr>
              <w:lastRenderedPageBreak/>
              <w:t>Código Penal del Estado de Chihuahua</w:t>
            </w:r>
            <w:r w:rsidRPr="00D177CF">
              <w:rPr>
                <w:rFonts w:ascii="Century Gothic" w:hAnsi="Century Gothic"/>
                <w:sz w:val="24"/>
                <w:szCs w:val="24"/>
              </w:rPr>
              <w:br/>
              <w:t>No existe artículo con esta denominación.</w:t>
            </w:r>
          </w:p>
        </w:tc>
        <w:tc>
          <w:tcPr>
            <w:tcW w:w="3784" w:type="dxa"/>
            <w:tcBorders>
              <w:top w:val="single" w:sz="4" w:space="0" w:color="auto"/>
              <w:left w:val="single" w:sz="4" w:space="0" w:color="auto"/>
              <w:bottom w:val="single" w:sz="4" w:space="0" w:color="auto"/>
              <w:right w:val="single" w:sz="4" w:space="0" w:color="auto"/>
            </w:tcBorders>
            <w:hideMark/>
          </w:tcPr>
          <w:p w14:paraId="45571818" w14:textId="77777777" w:rsidR="001A13FD" w:rsidRPr="00D177CF" w:rsidRDefault="001A13FD" w:rsidP="001A13FD">
            <w:pPr>
              <w:spacing w:line="276" w:lineRule="auto"/>
              <w:jc w:val="both"/>
              <w:rPr>
                <w:rFonts w:ascii="Century Gothic" w:hAnsi="Century Gothic"/>
                <w:sz w:val="24"/>
                <w:szCs w:val="24"/>
              </w:rPr>
            </w:pPr>
            <w:r w:rsidRPr="00D177CF">
              <w:rPr>
                <w:rFonts w:ascii="Century Gothic" w:hAnsi="Century Gothic"/>
                <w:sz w:val="24"/>
                <w:szCs w:val="24"/>
              </w:rPr>
              <w:t>Se adiciona el artículo 176 Quinquies, estableciendo penas de uno a tres años de prisión, con agravantes si el agresor tiene una relación con la víctima, utiliza tecnología o afecta a menores.</w:t>
            </w:r>
          </w:p>
        </w:tc>
        <w:tc>
          <w:tcPr>
            <w:tcW w:w="2879" w:type="dxa"/>
            <w:tcBorders>
              <w:top w:val="single" w:sz="4" w:space="0" w:color="auto"/>
              <w:left w:val="single" w:sz="4" w:space="0" w:color="auto"/>
              <w:bottom w:val="single" w:sz="4" w:space="0" w:color="auto"/>
              <w:right w:val="single" w:sz="4" w:space="0" w:color="auto"/>
            </w:tcBorders>
            <w:hideMark/>
          </w:tcPr>
          <w:p w14:paraId="39441D09" w14:textId="77777777" w:rsidR="001A13FD" w:rsidRPr="00D177CF" w:rsidRDefault="001A13FD" w:rsidP="001A13FD">
            <w:pPr>
              <w:spacing w:line="276" w:lineRule="auto"/>
              <w:jc w:val="both"/>
              <w:rPr>
                <w:rFonts w:ascii="Century Gothic" w:hAnsi="Century Gothic"/>
                <w:sz w:val="24"/>
                <w:szCs w:val="24"/>
              </w:rPr>
            </w:pPr>
            <w:r w:rsidRPr="00D177CF">
              <w:rPr>
                <w:rFonts w:ascii="Century Gothic" w:hAnsi="Century Gothic"/>
                <w:sz w:val="24"/>
                <w:szCs w:val="24"/>
              </w:rPr>
              <w:t xml:space="preserve">Esta reforma da contenido sancionador a la conducta de acecho y reconoce sus diferentes formas, desde el seguimiento físico hasta el </w:t>
            </w:r>
            <w:proofErr w:type="spellStart"/>
            <w:r w:rsidRPr="00D177CF">
              <w:rPr>
                <w:rFonts w:ascii="Century Gothic" w:hAnsi="Century Gothic"/>
                <w:sz w:val="24"/>
                <w:szCs w:val="24"/>
              </w:rPr>
              <w:t>ciberacecho</w:t>
            </w:r>
            <w:proofErr w:type="spellEnd"/>
            <w:r w:rsidRPr="00D177CF">
              <w:rPr>
                <w:rFonts w:ascii="Century Gothic" w:hAnsi="Century Gothic"/>
                <w:sz w:val="24"/>
                <w:szCs w:val="24"/>
              </w:rPr>
              <w:t>, garantizando proporcionalidad en las penas.</w:t>
            </w:r>
          </w:p>
        </w:tc>
      </w:tr>
      <w:tr w:rsidR="00140446" w:rsidRPr="00D177CF" w14:paraId="30CFCAA2" w14:textId="77777777" w:rsidTr="000F6344">
        <w:tc>
          <w:tcPr>
            <w:tcW w:w="9493" w:type="dxa"/>
            <w:gridSpan w:val="3"/>
            <w:tcBorders>
              <w:top w:val="single" w:sz="4" w:space="0" w:color="auto"/>
              <w:left w:val="single" w:sz="4" w:space="0" w:color="auto"/>
              <w:bottom w:val="single" w:sz="4" w:space="0" w:color="auto"/>
              <w:right w:val="single" w:sz="4" w:space="0" w:color="auto"/>
            </w:tcBorders>
          </w:tcPr>
          <w:p w14:paraId="78E6296A" w14:textId="2959A2AF" w:rsidR="00140446" w:rsidRPr="00E74F33" w:rsidRDefault="00E74F33" w:rsidP="00E74F33">
            <w:pPr>
              <w:spacing w:line="276" w:lineRule="auto"/>
              <w:jc w:val="center"/>
              <w:rPr>
                <w:rFonts w:ascii="Century Gothic" w:hAnsi="Century Gothic"/>
                <w:b/>
                <w:bCs/>
                <w:sz w:val="24"/>
                <w:szCs w:val="24"/>
              </w:rPr>
            </w:pPr>
            <w:r w:rsidRPr="00E74F33">
              <w:rPr>
                <w:rFonts w:ascii="Century Gothic" w:hAnsi="Century Gothic"/>
                <w:b/>
                <w:bCs/>
                <w:sz w:val="24"/>
                <w:szCs w:val="24"/>
              </w:rPr>
              <w:t>Ley Estatal del Derecho de las Mujeres a una Vida Libre de Violencia</w:t>
            </w:r>
          </w:p>
        </w:tc>
      </w:tr>
      <w:tr w:rsidR="00140446" w:rsidRPr="00D177CF" w14:paraId="75EFC79D" w14:textId="77777777" w:rsidTr="00B86FA9">
        <w:tc>
          <w:tcPr>
            <w:tcW w:w="2830" w:type="dxa"/>
            <w:tcBorders>
              <w:top w:val="single" w:sz="4" w:space="0" w:color="auto"/>
              <w:left w:val="single" w:sz="4" w:space="0" w:color="auto"/>
              <w:bottom w:val="single" w:sz="4" w:space="0" w:color="auto"/>
              <w:right w:val="single" w:sz="4" w:space="0" w:color="auto"/>
            </w:tcBorders>
          </w:tcPr>
          <w:p w14:paraId="1A5F6338" w14:textId="7D6FFCB1" w:rsidR="00140446" w:rsidRPr="00140446" w:rsidRDefault="00140446" w:rsidP="001A13FD">
            <w:pPr>
              <w:spacing w:line="276" w:lineRule="auto"/>
              <w:jc w:val="both"/>
              <w:rPr>
                <w:rFonts w:ascii="Century Gothic" w:hAnsi="Century Gothic"/>
                <w:sz w:val="24"/>
                <w:szCs w:val="24"/>
              </w:rPr>
            </w:pPr>
            <w:r w:rsidRPr="00140446">
              <w:rPr>
                <w:rFonts w:ascii="Century Gothic" w:hAnsi="Century Gothic"/>
                <w:sz w:val="24"/>
                <w:szCs w:val="24"/>
              </w:rPr>
              <w:t>Artículo 6, Fracción III, Primer y Segundo Párrafo:</w:t>
            </w:r>
            <w:r w:rsidRPr="00140446">
              <w:rPr>
                <w:rFonts w:ascii="Century Gothic" w:hAnsi="Century Gothic"/>
                <w:sz w:val="24"/>
                <w:szCs w:val="24"/>
              </w:rPr>
              <w:br/>
              <w:t>No se menciona el acecho como modalidad de violencia, solo el acoso y hostigamiento.</w:t>
            </w:r>
          </w:p>
        </w:tc>
        <w:tc>
          <w:tcPr>
            <w:tcW w:w="3784" w:type="dxa"/>
            <w:tcBorders>
              <w:top w:val="single" w:sz="4" w:space="0" w:color="auto"/>
              <w:left w:val="single" w:sz="4" w:space="0" w:color="auto"/>
              <w:bottom w:val="single" w:sz="4" w:space="0" w:color="auto"/>
              <w:right w:val="single" w:sz="4" w:space="0" w:color="auto"/>
            </w:tcBorders>
          </w:tcPr>
          <w:p w14:paraId="586E2E70" w14:textId="2E96338B" w:rsidR="00140446" w:rsidRPr="00D177CF" w:rsidRDefault="00140446" w:rsidP="001A13FD">
            <w:pPr>
              <w:spacing w:line="276" w:lineRule="auto"/>
              <w:jc w:val="both"/>
              <w:rPr>
                <w:rFonts w:ascii="Century Gothic" w:hAnsi="Century Gothic"/>
                <w:sz w:val="24"/>
                <w:szCs w:val="24"/>
              </w:rPr>
            </w:pPr>
            <w:r w:rsidRPr="00140446">
              <w:rPr>
                <w:rFonts w:ascii="Century Gothic" w:hAnsi="Century Gothic"/>
                <w:sz w:val="24"/>
                <w:szCs w:val="24"/>
              </w:rPr>
              <w:t>Incluir expresamente el acecho como forma de violencia en los primeros dos párrafos. Se añade el inciso c) para definirlo como conducta reiterada o sistemática, ya sea física o digital.</w:t>
            </w:r>
          </w:p>
        </w:tc>
        <w:tc>
          <w:tcPr>
            <w:tcW w:w="2879" w:type="dxa"/>
            <w:tcBorders>
              <w:top w:val="single" w:sz="4" w:space="0" w:color="auto"/>
              <w:left w:val="single" w:sz="4" w:space="0" w:color="auto"/>
              <w:bottom w:val="single" w:sz="4" w:space="0" w:color="auto"/>
              <w:right w:val="single" w:sz="4" w:space="0" w:color="auto"/>
            </w:tcBorders>
          </w:tcPr>
          <w:p w14:paraId="15F86963" w14:textId="17AE84D5" w:rsidR="00E74F33" w:rsidRPr="00D177CF" w:rsidRDefault="00E74F33" w:rsidP="001A13FD">
            <w:pPr>
              <w:spacing w:line="276" w:lineRule="auto"/>
              <w:jc w:val="both"/>
              <w:rPr>
                <w:rFonts w:ascii="Century Gothic" w:hAnsi="Century Gothic"/>
                <w:sz w:val="24"/>
                <w:szCs w:val="24"/>
              </w:rPr>
            </w:pPr>
            <w:r w:rsidRPr="00E74F33">
              <w:rPr>
                <w:rFonts w:ascii="Century Gothic" w:hAnsi="Century Gothic"/>
                <w:sz w:val="24"/>
                <w:szCs w:val="24"/>
              </w:rPr>
              <w:t>El reconocimiento explícito del acecho visibiliza esta forma de violencia y permite su abordaje institucional desde un marco legal.</w:t>
            </w:r>
          </w:p>
        </w:tc>
      </w:tr>
      <w:tr w:rsidR="00140446" w:rsidRPr="00D177CF" w14:paraId="28D954AD" w14:textId="77777777" w:rsidTr="00B86FA9">
        <w:tc>
          <w:tcPr>
            <w:tcW w:w="2830" w:type="dxa"/>
            <w:tcBorders>
              <w:top w:val="single" w:sz="4" w:space="0" w:color="auto"/>
              <w:left w:val="single" w:sz="4" w:space="0" w:color="auto"/>
              <w:bottom w:val="single" w:sz="4" w:space="0" w:color="auto"/>
              <w:right w:val="single" w:sz="4" w:space="0" w:color="auto"/>
            </w:tcBorders>
          </w:tcPr>
          <w:p w14:paraId="52273E62" w14:textId="77777777" w:rsidR="00140446" w:rsidRPr="00140446" w:rsidRDefault="00140446" w:rsidP="00140446">
            <w:pPr>
              <w:spacing w:line="276" w:lineRule="auto"/>
              <w:jc w:val="both"/>
              <w:rPr>
                <w:rFonts w:ascii="Century Gothic" w:hAnsi="Century Gothic"/>
                <w:sz w:val="24"/>
                <w:szCs w:val="24"/>
              </w:rPr>
            </w:pPr>
            <w:r w:rsidRPr="00140446">
              <w:rPr>
                <w:rFonts w:ascii="Century Gothic" w:hAnsi="Century Gothic"/>
                <w:sz w:val="24"/>
                <w:szCs w:val="24"/>
              </w:rPr>
              <w:lastRenderedPageBreak/>
              <w:t>Artículo 27, Fracción VI:</w:t>
            </w:r>
          </w:p>
          <w:p w14:paraId="662C0B3D" w14:textId="4691113D" w:rsidR="00140446" w:rsidRPr="00140446" w:rsidRDefault="00140446" w:rsidP="00140446">
            <w:pPr>
              <w:spacing w:line="276" w:lineRule="auto"/>
              <w:jc w:val="both"/>
              <w:rPr>
                <w:rFonts w:ascii="Century Gothic" w:hAnsi="Century Gothic"/>
                <w:sz w:val="24"/>
                <w:szCs w:val="24"/>
              </w:rPr>
            </w:pPr>
            <w:r w:rsidRPr="00140446">
              <w:rPr>
                <w:rFonts w:ascii="Century Gothic" w:hAnsi="Century Gothic"/>
                <w:sz w:val="24"/>
                <w:szCs w:val="24"/>
              </w:rPr>
              <w:t>No se hace alusión específica al acecho en las campañas de sensibilización.</w:t>
            </w:r>
          </w:p>
        </w:tc>
        <w:tc>
          <w:tcPr>
            <w:tcW w:w="3784" w:type="dxa"/>
            <w:tcBorders>
              <w:top w:val="single" w:sz="4" w:space="0" w:color="auto"/>
              <w:left w:val="single" w:sz="4" w:space="0" w:color="auto"/>
              <w:bottom w:val="single" w:sz="4" w:space="0" w:color="auto"/>
              <w:right w:val="single" w:sz="4" w:space="0" w:color="auto"/>
            </w:tcBorders>
          </w:tcPr>
          <w:p w14:paraId="42B81EB8" w14:textId="6C6C3CDC" w:rsidR="00140446" w:rsidRPr="00D177CF" w:rsidRDefault="00140446" w:rsidP="001A13FD">
            <w:pPr>
              <w:spacing w:line="276" w:lineRule="auto"/>
              <w:jc w:val="both"/>
              <w:rPr>
                <w:rFonts w:ascii="Century Gothic" w:hAnsi="Century Gothic"/>
                <w:sz w:val="24"/>
                <w:szCs w:val="24"/>
              </w:rPr>
            </w:pPr>
            <w:r w:rsidRPr="00140446">
              <w:rPr>
                <w:rFonts w:ascii="Century Gothic" w:hAnsi="Century Gothic"/>
                <w:sz w:val="24"/>
                <w:szCs w:val="24"/>
              </w:rPr>
              <w:t>Se agrega el acecho como parte de las campañas de sensibilización para informar a la población sobre esta modalidad de violencia.</w:t>
            </w:r>
          </w:p>
        </w:tc>
        <w:tc>
          <w:tcPr>
            <w:tcW w:w="2879" w:type="dxa"/>
            <w:tcBorders>
              <w:top w:val="single" w:sz="4" w:space="0" w:color="auto"/>
              <w:left w:val="single" w:sz="4" w:space="0" w:color="auto"/>
              <w:bottom w:val="single" w:sz="4" w:space="0" w:color="auto"/>
              <w:right w:val="single" w:sz="4" w:space="0" w:color="auto"/>
            </w:tcBorders>
          </w:tcPr>
          <w:p w14:paraId="2C7F407A" w14:textId="4872F7B6" w:rsidR="00140446" w:rsidRPr="00D177CF" w:rsidRDefault="00E74F33" w:rsidP="001A13FD">
            <w:pPr>
              <w:spacing w:line="276" w:lineRule="auto"/>
              <w:jc w:val="both"/>
              <w:rPr>
                <w:rFonts w:ascii="Century Gothic" w:hAnsi="Century Gothic"/>
                <w:sz w:val="24"/>
                <w:szCs w:val="24"/>
              </w:rPr>
            </w:pPr>
            <w:r w:rsidRPr="00E74F33">
              <w:rPr>
                <w:rFonts w:ascii="Century Gothic" w:hAnsi="Century Gothic"/>
                <w:sz w:val="24"/>
                <w:szCs w:val="24"/>
              </w:rPr>
              <w:t>Las campañas son clave para prevenir y sensibilizar sobre nuevas formas de violencia como el acecho, aún poco comprendidas socialmente.</w:t>
            </w:r>
          </w:p>
        </w:tc>
      </w:tr>
      <w:tr w:rsidR="00140446" w:rsidRPr="00D177CF" w14:paraId="45C0A2D6" w14:textId="77777777" w:rsidTr="00B86FA9">
        <w:tc>
          <w:tcPr>
            <w:tcW w:w="2830" w:type="dxa"/>
            <w:tcBorders>
              <w:top w:val="single" w:sz="4" w:space="0" w:color="auto"/>
              <w:left w:val="single" w:sz="4" w:space="0" w:color="auto"/>
              <w:bottom w:val="single" w:sz="4" w:space="0" w:color="auto"/>
              <w:right w:val="single" w:sz="4" w:space="0" w:color="auto"/>
            </w:tcBorders>
          </w:tcPr>
          <w:p w14:paraId="656282D3" w14:textId="013FFF7C" w:rsidR="00140446" w:rsidRPr="00140446" w:rsidRDefault="00140446" w:rsidP="001A13FD">
            <w:pPr>
              <w:spacing w:line="276" w:lineRule="auto"/>
              <w:jc w:val="both"/>
              <w:rPr>
                <w:rFonts w:ascii="Century Gothic" w:hAnsi="Century Gothic"/>
                <w:sz w:val="24"/>
                <w:szCs w:val="24"/>
              </w:rPr>
            </w:pPr>
            <w:r w:rsidRPr="00140446">
              <w:rPr>
                <w:rFonts w:ascii="Century Gothic" w:hAnsi="Century Gothic"/>
                <w:sz w:val="24"/>
                <w:szCs w:val="24"/>
              </w:rPr>
              <w:t>Artículo 29, Fracción XXI:</w:t>
            </w:r>
            <w:r w:rsidRPr="00140446">
              <w:rPr>
                <w:rFonts w:ascii="Century Gothic" w:hAnsi="Century Gothic"/>
                <w:sz w:val="24"/>
                <w:szCs w:val="24"/>
              </w:rPr>
              <w:br/>
              <w:t>Canaliza a víctimas de violencia a instituciones de apoyo, sin mencionar el acecho.</w:t>
            </w:r>
          </w:p>
        </w:tc>
        <w:tc>
          <w:tcPr>
            <w:tcW w:w="3784" w:type="dxa"/>
            <w:tcBorders>
              <w:top w:val="single" w:sz="4" w:space="0" w:color="auto"/>
              <w:left w:val="single" w:sz="4" w:space="0" w:color="auto"/>
              <w:bottom w:val="single" w:sz="4" w:space="0" w:color="auto"/>
              <w:right w:val="single" w:sz="4" w:space="0" w:color="auto"/>
            </w:tcBorders>
          </w:tcPr>
          <w:p w14:paraId="0F41B8A4" w14:textId="6A7F07E6" w:rsidR="00140446" w:rsidRPr="00D177CF" w:rsidRDefault="00140446" w:rsidP="001A13FD">
            <w:pPr>
              <w:spacing w:line="276" w:lineRule="auto"/>
              <w:jc w:val="both"/>
              <w:rPr>
                <w:rFonts w:ascii="Century Gothic" w:hAnsi="Century Gothic"/>
                <w:sz w:val="24"/>
                <w:szCs w:val="24"/>
              </w:rPr>
            </w:pPr>
            <w:r w:rsidRPr="00140446">
              <w:rPr>
                <w:rFonts w:ascii="Century Gothic" w:hAnsi="Century Gothic"/>
                <w:sz w:val="24"/>
                <w:szCs w:val="24"/>
              </w:rPr>
              <w:t>Se incorpora el acecho como una de las conductas cuya víctima debe ser canalizada a servicios de asistencia y protección.</w:t>
            </w:r>
          </w:p>
        </w:tc>
        <w:tc>
          <w:tcPr>
            <w:tcW w:w="2879" w:type="dxa"/>
            <w:tcBorders>
              <w:top w:val="single" w:sz="4" w:space="0" w:color="auto"/>
              <w:left w:val="single" w:sz="4" w:space="0" w:color="auto"/>
              <w:bottom w:val="single" w:sz="4" w:space="0" w:color="auto"/>
              <w:right w:val="single" w:sz="4" w:space="0" w:color="auto"/>
            </w:tcBorders>
          </w:tcPr>
          <w:p w14:paraId="675512D7" w14:textId="48E50725" w:rsidR="00140446" w:rsidRPr="00D177CF" w:rsidRDefault="00E74F33" w:rsidP="001A13FD">
            <w:pPr>
              <w:spacing w:line="276" w:lineRule="auto"/>
              <w:jc w:val="both"/>
              <w:rPr>
                <w:rFonts w:ascii="Century Gothic" w:hAnsi="Century Gothic"/>
                <w:sz w:val="24"/>
                <w:szCs w:val="24"/>
              </w:rPr>
            </w:pPr>
            <w:r w:rsidRPr="00E74F33">
              <w:rPr>
                <w:rFonts w:ascii="Century Gothic" w:hAnsi="Century Gothic"/>
                <w:sz w:val="24"/>
                <w:szCs w:val="24"/>
              </w:rPr>
              <w:t>Brindar acceso a servicios adecuados requiere nombrar el acecho como una conducta que activa mecanismos de protección estatal.</w:t>
            </w:r>
          </w:p>
        </w:tc>
      </w:tr>
      <w:tr w:rsidR="00140446" w:rsidRPr="00D177CF" w14:paraId="1C9D54F7" w14:textId="77777777" w:rsidTr="00B86FA9">
        <w:tc>
          <w:tcPr>
            <w:tcW w:w="2830" w:type="dxa"/>
            <w:tcBorders>
              <w:top w:val="single" w:sz="4" w:space="0" w:color="auto"/>
              <w:left w:val="single" w:sz="4" w:space="0" w:color="auto"/>
              <w:bottom w:val="single" w:sz="4" w:space="0" w:color="auto"/>
              <w:right w:val="single" w:sz="4" w:space="0" w:color="auto"/>
            </w:tcBorders>
          </w:tcPr>
          <w:p w14:paraId="3C662137" w14:textId="5CEB2C32" w:rsidR="00140446" w:rsidRPr="00140446" w:rsidRDefault="00140446" w:rsidP="001A13FD">
            <w:pPr>
              <w:spacing w:line="276" w:lineRule="auto"/>
              <w:jc w:val="both"/>
              <w:rPr>
                <w:rFonts w:ascii="Century Gothic" w:hAnsi="Century Gothic"/>
                <w:sz w:val="24"/>
                <w:szCs w:val="24"/>
              </w:rPr>
            </w:pPr>
            <w:r w:rsidRPr="00140446">
              <w:rPr>
                <w:rFonts w:ascii="Century Gothic" w:hAnsi="Century Gothic"/>
                <w:sz w:val="24"/>
                <w:szCs w:val="24"/>
              </w:rPr>
              <w:t>Artículo 32, Fracción XV:</w:t>
            </w:r>
            <w:r w:rsidRPr="00140446">
              <w:rPr>
                <w:rFonts w:ascii="Century Gothic" w:hAnsi="Century Gothic"/>
                <w:sz w:val="24"/>
                <w:szCs w:val="24"/>
              </w:rPr>
              <w:br/>
              <w:t>Se enfoca en aprobar modelos de atención, sin considerar de forma específica el acecho.</w:t>
            </w:r>
          </w:p>
        </w:tc>
        <w:tc>
          <w:tcPr>
            <w:tcW w:w="3784" w:type="dxa"/>
            <w:tcBorders>
              <w:top w:val="single" w:sz="4" w:space="0" w:color="auto"/>
              <w:left w:val="single" w:sz="4" w:space="0" w:color="auto"/>
              <w:bottom w:val="single" w:sz="4" w:space="0" w:color="auto"/>
              <w:right w:val="single" w:sz="4" w:space="0" w:color="auto"/>
            </w:tcBorders>
          </w:tcPr>
          <w:p w14:paraId="35151D96" w14:textId="0C53C412" w:rsidR="00140446" w:rsidRPr="00D177CF" w:rsidRDefault="00140446" w:rsidP="001A13FD">
            <w:pPr>
              <w:spacing w:line="276" w:lineRule="auto"/>
              <w:jc w:val="both"/>
              <w:rPr>
                <w:rFonts w:ascii="Century Gothic" w:hAnsi="Century Gothic"/>
                <w:sz w:val="24"/>
                <w:szCs w:val="24"/>
              </w:rPr>
            </w:pPr>
            <w:r w:rsidRPr="00140446">
              <w:rPr>
                <w:rFonts w:ascii="Century Gothic" w:hAnsi="Century Gothic"/>
                <w:sz w:val="24"/>
                <w:szCs w:val="24"/>
              </w:rPr>
              <w:t>Se propone asegurar que los modelos homologados contemplen atención específica a víctimas de acecho en los módulos de atención.</w:t>
            </w:r>
          </w:p>
        </w:tc>
        <w:tc>
          <w:tcPr>
            <w:tcW w:w="2879" w:type="dxa"/>
            <w:tcBorders>
              <w:top w:val="single" w:sz="4" w:space="0" w:color="auto"/>
              <w:left w:val="single" w:sz="4" w:space="0" w:color="auto"/>
              <w:bottom w:val="single" w:sz="4" w:space="0" w:color="auto"/>
              <w:right w:val="single" w:sz="4" w:space="0" w:color="auto"/>
            </w:tcBorders>
          </w:tcPr>
          <w:p w14:paraId="061CDED5" w14:textId="107C6A01" w:rsidR="00140446" w:rsidRPr="00D177CF" w:rsidRDefault="00E74F33" w:rsidP="001A13FD">
            <w:pPr>
              <w:spacing w:line="276" w:lineRule="auto"/>
              <w:jc w:val="both"/>
              <w:rPr>
                <w:rFonts w:ascii="Century Gothic" w:hAnsi="Century Gothic"/>
                <w:sz w:val="24"/>
                <w:szCs w:val="24"/>
              </w:rPr>
            </w:pPr>
            <w:r w:rsidRPr="00E74F33">
              <w:rPr>
                <w:rFonts w:ascii="Century Gothic" w:hAnsi="Century Gothic"/>
                <w:sz w:val="24"/>
                <w:szCs w:val="24"/>
              </w:rPr>
              <w:t>Incluir el acecho en el modelo de atención permite establecer protocolos específicos y personal capacitado para estos casos.</w:t>
            </w:r>
          </w:p>
        </w:tc>
      </w:tr>
    </w:tbl>
    <w:p w14:paraId="2DAF5055" w14:textId="77777777" w:rsidR="00030115" w:rsidRPr="003240CC" w:rsidRDefault="00030115" w:rsidP="00B95E00">
      <w:pPr>
        <w:spacing w:before="100" w:beforeAutospacing="1" w:after="100" w:afterAutospacing="1" w:line="276" w:lineRule="auto"/>
        <w:jc w:val="both"/>
        <w:rPr>
          <w:rFonts w:ascii="Century Gothic" w:eastAsia="Times New Roman" w:hAnsi="Century Gothic" w:cs="Times New Roman"/>
          <w:sz w:val="24"/>
          <w:szCs w:val="24"/>
          <w:lang w:eastAsia="es-MX"/>
        </w:rPr>
      </w:pPr>
      <w:r w:rsidRPr="003240CC">
        <w:rPr>
          <w:rFonts w:ascii="Century Gothic" w:eastAsia="Times New Roman" w:hAnsi="Century Gothic" w:cs="Times New Roman"/>
          <w:sz w:val="24"/>
          <w:szCs w:val="24"/>
          <w:lang w:eastAsia="es-MX"/>
        </w:rPr>
        <w:t>Ello no solo cumple con los compromisos nacionales e internacionales en materia de derechos humanos y perspectiva de género, sino que también responde a la exigencia social de actuar preventivamente antes de que estas conductas escalen hacia formas más graves de agresión, como la violencia física, sexual o incluso el feminicidio.</w:t>
      </w:r>
    </w:p>
    <w:p w14:paraId="39A9A4FF" w14:textId="77777777" w:rsidR="00030115" w:rsidRPr="003240CC" w:rsidRDefault="00030115" w:rsidP="00B95E00">
      <w:pPr>
        <w:spacing w:before="100" w:beforeAutospacing="1" w:after="100" w:afterAutospacing="1" w:line="276" w:lineRule="auto"/>
        <w:jc w:val="both"/>
        <w:rPr>
          <w:rFonts w:ascii="Century Gothic" w:eastAsia="Times New Roman" w:hAnsi="Century Gothic" w:cs="Times New Roman"/>
          <w:sz w:val="24"/>
          <w:szCs w:val="24"/>
          <w:lang w:eastAsia="es-MX"/>
        </w:rPr>
      </w:pPr>
      <w:r w:rsidRPr="003240CC">
        <w:rPr>
          <w:rFonts w:ascii="Century Gothic" w:eastAsia="Times New Roman" w:hAnsi="Century Gothic" w:cs="Times New Roman"/>
          <w:sz w:val="24"/>
          <w:szCs w:val="24"/>
          <w:lang w:eastAsia="es-MX"/>
        </w:rPr>
        <w:lastRenderedPageBreak/>
        <w:t>Tipificar el acecho como delito autónomo y reconocerlo como modalidad de violencia en el marco de la legislación protectora de los derechos de las mujeres representa un paso necesario para construir una sociedad más segura, justa y sensible a las formas contemporáneas de violencia que muchas veces permanecen ocultas bajo la aparente normalidad del control cotidiano.</w:t>
      </w:r>
    </w:p>
    <w:p w14:paraId="3C2B957E" w14:textId="2317263B" w:rsidR="00030115" w:rsidRPr="00030115" w:rsidRDefault="00030115" w:rsidP="00B95E00">
      <w:pPr>
        <w:pStyle w:val="NormalWeb"/>
        <w:spacing w:line="276" w:lineRule="auto"/>
        <w:jc w:val="both"/>
        <w:rPr>
          <w:rFonts w:ascii="Century Gothic" w:hAnsi="Century Gothic"/>
        </w:rPr>
      </w:pPr>
      <w:r w:rsidRPr="003240CC">
        <w:rPr>
          <w:rFonts w:ascii="Century Gothic" w:hAnsi="Century Gothic"/>
        </w:rPr>
        <w:t>Por todo lo anterior, se reitera el llamado respetuoso a esta Honorable Asamblea para que valore, discuta y apruebe esta iniciativa, que tiene como propósito último proteger la vida, la dignidad y la libertad de las personas, en especial de aquellas que enfrentan situaciones de vulnerabilidad frente a actos persistentes de acecho</w:t>
      </w:r>
      <w:r w:rsidRPr="00030115">
        <w:rPr>
          <w:rFonts w:ascii="Century Gothic" w:hAnsi="Century Gothic"/>
        </w:rPr>
        <w:t>, es por ello que se presenta el siguiente</w:t>
      </w:r>
      <w:r w:rsidR="00E74F33">
        <w:rPr>
          <w:rFonts w:ascii="Century Gothic" w:hAnsi="Century Gothic"/>
        </w:rPr>
        <w:t>:</w:t>
      </w:r>
    </w:p>
    <w:p w14:paraId="6F12C7DB" w14:textId="77777777" w:rsidR="00030115" w:rsidRPr="00030115" w:rsidRDefault="00030115" w:rsidP="00D177CF">
      <w:pPr>
        <w:spacing w:line="276" w:lineRule="auto"/>
        <w:jc w:val="center"/>
        <w:rPr>
          <w:rFonts w:ascii="Century Gothic" w:hAnsi="Century Gothic"/>
          <w:sz w:val="24"/>
          <w:szCs w:val="24"/>
        </w:rPr>
      </w:pPr>
      <w:r w:rsidRPr="00030115">
        <w:rPr>
          <w:rStyle w:val="Textoennegrita"/>
          <w:rFonts w:ascii="Century Gothic" w:hAnsi="Century Gothic"/>
          <w:sz w:val="24"/>
          <w:szCs w:val="24"/>
        </w:rPr>
        <w:t>PROYECTO DE DECRETO</w:t>
      </w:r>
    </w:p>
    <w:p w14:paraId="2001C921" w14:textId="77777777" w:rsidR="00E74F33" w:rsidRPr="00E74F33" w:rsidRDefault="00E74F33" w:rsidP="00E74F33">
      <w:pPr>
        <w:spacing w:before="100" w:beforeAutospacing="1" w:after="100" w:afterAutospacing="1" w:line="276" w:lineRule="auto"/>
        <w:jc w:val="both"/>
        <w:rPr>
          <w:rFonts w:ascii="Century Gothic" w:eastAsia="Times New Roman" w:hAnsi="Century Gothic" w:cs="Times New Roman"/>
          <w:kern w:val="0"/>
          <w:sz w:val="24"/>
          <w:szCs w:val="24"/>
          <w:lang w:eastAsia="es-MX"/>
          <w14:ligatures w14:val="none"/>
        </w:rPr>
      </w:pPr>
      <w:r w:rsidRPr="00E74F33">
        <w:rPr>
          <w:rFonts w:ascii="Century Gothic" w:eastAsia="Times New Roman" w:hAnsi="Century Gothic" w:cs="Times New Roman"/>
          <w:kern w:val="0"/>
          <w:sz w:val="24"/>
          <w:szCs w:val="24"/>
          <w:lang w:eastAsia="es-MX"/>
          <w14:ligatures w14:val="none"/>
        </w:rPr>
        <w:t xml:space="preserve">• </w:t>
      </w:r>
      <w:r w:rsidRPr="00E74F33">
        <w:rPr>
          <w:rFonts w:ascii="Century Gothic" w:eastAsia="Times New Roman" w:hAnsi="Century Gothic" w:cs="Times New Roman"/>
          <w:b/>
          <w:bCs/>
          <w:kern w:val="0"/>
          <w:sz w:val="24"/>
          <w:szCs w:val="24"/>
          <w:lang w:eastAsia="es-MX"/>
          <w14:ligatures w14:val="none"/>
        </w:rPr>
        <w:t>Adicionar en el Capítulo III Bis del Código Penal del Estado de Chihuahua, que lleva por título “Acoso Sexual”, la figura del acecho,</w:t>
      </w:r>
      <w:r w:rsidRPr="00E74F33">
        <w:rPr>
          <w:rFonts w:ascii="Century Gothic" w:eastAsia="Times New Roman" w:hAnsi="Century Gothic" w:cs="Times New Roman"/>
          <w:kern w:val="0"/>
          <w:sz w:val="24"/>
          <w:szCs w:val="24"/>
          <w:lang w:eastAsia="es-MX"/>
          <w14:ligatures w14:val="none"/>
        </w:rPr>
        <w:t xml:space="preserve"> mediante la incorporación de los artículos </w:t>
      </w:r>
      <w:r w:rsidRPr="00E74F33">
        <w:rPr>
          <w:rFonts w:ascii="Century Gothic" w:eastAsia="Times New Roman" w:hAnsi="Century Gothic" w:cs="Times New Roman"/>
          <w:b/>
          <w:bCs/>
          <w:kern w:val="0"/>
          <w:sz w:val="24"/>
          <w:szCs w:val="24"/>
          <w:lang w:eastAsia="es-MX"/>
          <w14:ligatures w14:val="none"/>
        </w:rPr>
        <w:t xml:space="preserve">176 </w:t>
      </w:r>
      <w:proofErr w:type="spellStart"/>
      <w:r w:rsidRPr="00E74F33">
        <w:rPr>
          <w:rFonts w:ascii="Century Gothic" w:eastAsia="Times New Roman" w:hAnsi="Century Gothic" w:cs="Times New Roman"/>
          <w:b/>
          <w:bCs/>
          <w:kern w:val="0"/>
          <w:sz w:val="24"/>
          <w:szCs w:val="24"/>
          <w:lang w:eastAsia="es-MX"/>
          <w14:ligatures w14:val="none"/>
        </w:rPr>
        <w:t>Quáter</w:t>
      </w:r>
      <w:proofErr w:type="spellEnd"/>
      <w:r w:rsidRPr="00E74F33">
        <w:rPr>
          <w:rFonts w:ascii="Century Gothic" w:eastAsia="Times New Roman" w:hAnsi="Century Gothic" w:cs="Times New Roman"/>
          <w:kern w:val="0"/>
          <w:sz w:val="24"/>
          <w:szCs w:val="24"/>
          <w:lang w:eastAsia="es-MX"/>
          <w14:ligatures w14:val="none"/>
        </w:rPr>
        <w:t xml:space="preserve"> y </w:t>
      </w:r>
      <w:r w:rsidRPr="00E74F33">
        <w:rPr>
          <w:rFonts w:ascii="Century Gothic" w:eastAsia="Times New Roman" w:hAnsi="Century Gothic" w:cs="Times New Roman"/>
          <w:b/>
          <w:bCs/>
          <w:kern w:val="0"/>
          <w:sz w:val="24"/>
          <w:szCs w:val="24"/>
          <w:lang w:eastAsia="es-MX"/>
          <w14:ligatures w14:val="none"/>
        </w:rPr>
        <w:t>176 Quinquies</w:t>
      </w:r>
      <w:r w:rsidRPr="00E74F33">
        <w:rPr>
          <w:rFonts w:ascii="Century Gothic" w:eastAsia="Times New Roman" w:hAnsi="Century Gothic" w:cs="Times New Roman"/>
          <w:kern w:val="0"/>
          <w:sz w:val="24"/>
          <w:szCs w:val="24"/>
          <w:lang w:eastAsia="es-MX"/>
          <w14:ligatures w14:val="none"/>
        </w:rPr>
        <w:t xml:space="preserve">, con el objeto de </w:t>
      </w:r>
      <w:r w:rsidRPr="00E74F33">
        <w:rPr>
          <w:rFonts w:ascii="Century Gothic" w:eastAsia="Times New Roman" w:hAnsi="Century Gothic" w:cs="Times New Roman"/>
          <w:b/>
          <w:bCs/>
          <w:kern w:val="0"/>
          <w:sz w:val="24"/>
          <w:szCs w:val="24"/>
          <w:lang w:eastAsia="es-MX"/>
          <w14:ligatures w14:val="none"/>
        </w:rPr>
        <w:t>tipificar dicha conducta como un delito autónomo</w:t>
      </w:r>
      <w:r w:rsidRPr="00E74F33">
        <w:rPr>
          <w:rFonts w:ascii="Century Gothic" w:eastAsia="Times New Roman" w:hAnsi="Century Gothic" w:cs="Times New Roman"/>
          <w:kern w:val="0"/>
          <w:sz w:val="24"/>
          <w:szCs w:val="24"/>
          <w:lang w:eastAsia="es-MX"/>
          <w14:ligatures w14:val="none"/>
        </w:rPr>
        <w:t>, diferenciándola del acoso sexual y dotando al marco penal estatal de una herramienta específica para su prevención y sanción.</w:t>
      </w:r>
    </w:p>
    <w:p w14:paraId="7F8DCD14" w14:textId="77777777" w:rsidR="00E74F33" w:rsidRPr="00E74F33" w:rsidRDefault="00E74F33" w:rsidP="00E74F33">
      <w:pPr>
        <w:spacing w:before="100" w:beforeAutospacing="1" w:after="100" w:afterAutospacing="1" w:line="276" w:lineRule="auto"/>
        <w:jc w:val="both"/>
        <w:rPr>
          <w:rFonts w:ascii="Century Gothic" w:eastAsia="Times New Roman" w:hAnsi="Century Gothic" w:cs="Times New Roman"/>
          <w:kern w:val="0"/>
          <w:sz w:val="24"/>
          <w:szCs w:val="24"/>
          <w:lang w:eastAsia="es-MX"/>
          <w14:ligatures w14:val="none"/>
        </w:rPr>
      </w:pPr>
      <w:r w:rsidRPr="00E74F33">
        <w:rPr>
          <w:rFonts w:ascii="Century Gothic" w:eastAsia="Times New Roman" w:hAnsi="Century Gothic" w:cs="Times New Roman"/>
          <w:kern w:val="0"/>
          <w:sz w:val="24"/>
          <w:szCs w:val="24"/>
          <w:lang w:eastAsia="es-MX"/>
          <w14:ligatures w14:val="none"/>
        </w:rPr>
        <w:t xml:space="preserve">• En el mismo sentido, se propone </w:t>
      </w:r>
      <w:r w:rsidRPr="00E74F33">
        <w:rPr>
          <w:rFonts w:ascii="Century Gothic" w:eastAsia="Times New Roman" w:hAnsi="Century Gothic" w:cs="Times New Roman"/>
          <w:b/>
          <w:bCs/>
          <w:kern w:val="0"/>
          <w:sz w:val="24"/>
          <w:szCs w:val="24"/>
          <w:lang w:eastAsia="es-MX"/>
          <w14:ligatures w14:val="none"/>
        </w:rPr>
        <w:t>reformar y adicionar la Ley Estatal del Derecho de las Mujeres a una Vida Libre de Violencia</w:t>
      </w:r>
      <w:r w:rsidRPr="00E74F33">
        <w:rPr>
          <w:rFonts w:ascii="Century Gothic" w:eastAsia="Times New Roman" w:hAnsi="Century Gothic" w:cs="Times New Roman"/>
          <w:kern w:val="0"/>
          <w:sz w:val="24"/>
          <w:szCs w:val="24"/>
          <w:lang w:eastAsia="es-MX"/>
          <w14:ligatures w14:val="none"/>
        </w:rPr>
        <w:t>, en los siguientes términos:</w:t>
      </w:r>
    </w:p>
    <w:p w14:paraId="7E016D26" w14:textId="77777777" w:rsidR="00E74F33" w:rsidRPr="00E74F33" w:rsidRDefault="00E74F33" w:rsidP="00E74F33">
      <w:pPr>
        <w:numPr>
          <w:ilvl w:val="0"/>
          <w:numId w:val="9"/>
        </w:numPr>
        <w:spacing w:before="100" w:beforeAutospacing="1" w:after="100" w:afterAutospacing="1" w:line="276" w:lineRule="auto"/>
        <w:jc w:val="both"/>
        <w:rPr>
          <w:rFonts w:ascii="Century Gothic" w:eastAsia="Times New Roman" w:hAnsi="Century Gothic" w:cs="Times New Roman"/>
          <w:kern w:val="0"/>
          <w:sz w:val="24"/>
          <w:szCs w:val="24"/>
          <w:lang w:eastAsia="es-MX"/>
          <w14:ligatures w14:val="none"/>
        </w:rPr>
      </w:pPr>
      <w:r w:rsidRPr="00E74F33">
        <w:rPr>
          <w:rFonts w:ascii="Century Gothic" w:eastAsia="Times New Roman" w:hAnsi="Century Gothic" w:cs="Times New Roman"/>
          <w:b/>
          <w:bCs/>
          <w:kern w:val="0"/>
          <w:sz w:val="24"/>
          <w:szCs w:val="24"/>
          <w:lang w:eastAsia="es-MX"/>
          <w14:ligatures w14:val="none"/>
        </w:rPr>
        <w:t>Artículo 6, fracción III, primero y segundo párrafo:</w:t>
      </w:r>
      <w:r w:rsidRPr="00E74F33">
        <w:rPr>
          <w:rFonts w:ascii="Century Gothic" w:eastAsia="Times New Roman" w:hAnsi="Century Gothic" w:cs="Times New Roman"/>
          <w:kern w:val="0"/>
          <w:sz w:val="24"/>
          <w:szCs w:val="24"/>
          <w:lang w:eastAsia="es-MX"/>
          <w14:ligatures w14:val="none"/>
        </w:rPr>
        <w:t xml:space="preserve"> incluir expresamente el acecho en la redacción y adicionar un inciso que defina cómo se manifiesta esta conducta.</w:t>
      </w:r>
    </w:p>
    <w:p w14:paraId="17C558CC" w14:textId="77777777" w:rsidR="00E74F33" w:rsidRPr="00E74F33" w:rsidRDefault="00E74F33" w:rsidP="00E74F33">
      <w:pPr>
        <w:numPr>
          <w:ilvl w:val="0"/>
          <w:numId w:val="9"/>
        </w:numPr>
        <w:spacing w:before="100" w:beforeAutospacing="1" w:after="100" w:afterAutospacing="1" w:line="276" w:lineRule="auto"/>
        <w:jc w:val="both"/>
        <w:rPr>
          <w:rFonts w:ascii="Century Gothic" w:eastAsia="Times New Roman" w:hAnsi="Century Gothic" w:cs="Times New Roman"/>
          <w:kern w:val="0"/>
          <w:sz w:val="24"/>
          <w:szCs w:val="24"/>
          <w:lang w:eastAsia="es-MX"/>
          <w14:ligatures w14:val="none"/>
        </w:rPr>
      </w:pPr>
      <w:r w:rsidRPr="00E74F33">
        <w:rPr>
          <w:rFonts w:ascii="Century Gothic" w:eastAsia="Times New Roman" w:hAnsi="Century Gothic" w:cs="Times New Roman"/>
          <w:b/>
          <w:bCs/>
          <w:kern w:val="0"/>
          <w:sz w:val="24"/>
          <w:szCs w:val="24"/>
          <w:lang w:eastAsia="es-MX"/>
          <w14:ligatures w14:val="none"/>
        </w:rPr>
        <w:t>Artículo 27, fracción VI:</w:t>
      </w:r>
      <w:r w:rsidRPr="00E74F33">
        <w:rPr>
          <w:rFonts w:ascii="Century Gothic" w:eastAsia="Times New Roman" w:hAnsi="Century Gothic" w:cs="Times New Roman"/>
          <w:kern w:val="0"/>
          <w:sz w:val="24"/>
          <w:szCs w:val="24"/>
          <w:lang w:eastAsia="es-MX"/>
          <w14:ligatures w14:val="none"/>
        </w:rPr>
        <w:t xml:space="preserve"> incorporar el término acecho en las campañas de sensibilización previstas.</w:t>
      </w:r>
    </w:p>
    <w:p w14:paraId="08EC45AE" w14:textId="77777777" w:rsidR="00E74F33" w:rsidRPr="00E74F33" w:rsidRDefault="00E74F33" w:rsidP="00E74F33">
      <w:pPr>
        <w:numPr>
          <w:ilvl w:val="0"/>
          <w:numId w:val="9"/>
        </w:numPr>
        <w:spacing w:before="100" w:beforeAutospacing="1" w:after="100" w:afterAutospacing="1" w:line="276" w:lineRule="auto"/>
        <w:jc w:val="both"/>
        <w:rPr>
          <w:rFonts w:ascii="Century Gothic" w:eastAsia="Times New Roman" w:hAnsi="Century Gothic" w:cs="Times New Roman"/>
          <w:kern w:val="0"/>
          <w:sz w:val="24"/>
          <w:szCs w:val="24"/>
          <w:lang w:eastAsia="es-MX"/>
          <w14:ligatures w14:val="none"/>
        </w:rPr>
      </w:pPr>
      <w:r w:rsidRPr="00E74F33">
        <w:rPr>
          <w:rFonts w:ascii="Century Gothic" w:eastAsia="Times New Roman" w:hAnsi="Century Gothic" w:cs="Times New Roman"/>
          <w:b/>
          <w:bCs/>
          <w:kern w:val="0"/>
          <w:sz w:val="24"/>
          <w:szCs w:val="24"/>
          <w:lang w:eastAsia="es-MX"/>
          <w14:ligatures w14:val="none"/>
        </w:rPr>
        <w:t>Artículo 29, fracción XXI:</w:t>
      </w:r>
      <w:r w:rsidRPr="00E74F33">
        <w:rPr>
          <w:rFonts w:ascii="Century Gothic" w:eastAsia="Times New Roman" w:hAnsi="Century Gothic" w:cs="Times New Roman"/>
          <w:kern w:val="0"/>
          <w:sz w:val="24"/>
          <w:szCs w:val="24"/>
          <w:lang w:eastAsia="es-MX"/>
          <w14:ligatures w14:val="none"/>
        </w:rPr>
        <w:t xml:space="preserve"> incluir el acecho entre las conductas que deben ser canalizadas a instituciones de atención.</w:t>
      </w:r>
    </w:p>
    <w:p w14:paraId="6B39E732" w14:textId="77777777" w:rsidR="00E74F33" w:rsidRPr="00E74F33" w:rsidRDefault="00E74F33" w:rsidP="00E74F33">
      <w:pPr>
        <w:numPr>
          <w:ilvl w:val="0"/>
          <w:numId w:val="9"/>
        </w:numPr>
        <w:spacing w:before="100" w:beforeAutospacing="1" w:after="100" w:afterAutospacing="1" w:line="276" w:lineRule="auto"/>
        <w:jc w:val="both"/>
        <w:rPr>
          <w:rFonts w:ascii="Century Gothic" w:eastAsia="Times New Roman" w:hAnsi="Century Gothic" w:cs="Times New Roman"/>
          <w:kern w:val="0"/>
          <w:sz w:val="24"/>
          <w:szCs w:val="24"/>
          <w:lang w:eastAsia="es-MX"/>
          <w14:ligatures w14:val="none"/>
        </w:rPr>
      </w:pPr>
      <w:r w:rsidRPr="00E74F33">
        <w:rPr>
          <w:rFonts w:ascii="Century Gothic" w:eastAsia="Times New Roman" w:hAnsi="Century Gothic" w:cs="Times New Roman"/>
          <w:b/>
          <w:bCs/>
          <w:kern w:val="0"/>
          <w:sz w:val="24"/>
          <w:szCs w:val="24"/>
          <w:lang w:eastAsia="es-MX"/>
          <w14:ligatures w14:val="none"/>
        </w:rPr>
        <w:lastRenderedPageBreak/>
        <w:t>Artículo 32, fracción XV:</w:t>
      </w:r>
      <w:r w:rsidRPr="00E74F33">
        <w:rPr>
          <w:rFonts w:ascii="Century Gothic" w:eastAsia="Times New Roman" w:hAnsi="Century Gothic" w:cs="Times New Roman"/>
          <w:kern w:val="0"/>
          <w:sz w:val="24"/>
          <w:szCs w:val="24"/>
          <w:lang w:eastAsia="es-MX"/>
          <w14:ligatures w14:val="none"/>
        </w:rPr>
        <w:t xml:space="preserve"> asegurar que los modelos de atención institucional contemplen la atención específica a víctimas de acecho.</w:t>
      </w:r>
    </w:p>
    <w:p w14:paraId="276751D7" w14:textId="77777777" w:rsidR="00E74F33" w:rsidRPr="00E74F33" w:rsidRDefault="00E74F33" w:rsidP="00E74F33">
      <w:pPr>
        <w:spacing w:before="100" w:beforeAutospacing="1" w:after="100" w:afterAutospacing="1" w:line="276" w:lineRule="auto"/>
        <w:jc w:val="both"/>
        <w:rPr>
          <w:rFonts w:ascii="Century Gothic" w:eastAsia="Times New Roman" w:hAnsi="Century Gothic" w:cs="Times New Roman"/>
          <w:kern w:val="0"/>
          <w:sz w:val="24"/>
          <w:szCs w:val="24"/>
          <w:lang w:eastAsia="es-MX"/>
          <w14:ligatures w14:val="none"/>
        </w:rPr>
      </w:pPr>
      <w:r w:rsidRPr="00E74F33">
        <w:rPr>
          <w:rFonts w:ascii="Century Gothic" w:eastAsia="Times New Roman" w:hAnsi="Century Gothic" w:cs="Times New Roman"/>
          <w:kern w:val="0"/>
          <w:sz w:val="24"/>
          <w:szCs w:val="24"/>
          <w:lang w:eastAsia="es-MX"/>
          <w14:ligatures w14:val="none"/>
        </w:rPr>
        <w:t xml:space="preserve">Todo lo anterior, </w:t>
      </w:r>
      <w:r w:rsidRPr="00E74F33">
        <w:rPr>
          <w:rFonts w:ascii="Century Gothic" w:eastAsia="Times New Roman" w:hAnsi="Century Gothic" w:cs="Times New Roman"/>
          <w:b/>
          <w:bCs/>
          <w:kern w:val="0"/>
          <w:sz w:val="24"/>
          <w:szCs w:val="24"/>
          <w:lang w:eastAsia="es-MX"/>
          <w14:ligatures w14:val="none"/>
        </w:rPr>
        <w:t>con el objetivo de reconocer expresamente el acecho como una forma de violencia contra las mujeres</w:t>
      </w:r>
      <w:r w:rsidRPr="00E74F33">
        <w:rPr>
          <w:rFonts w:ascii="Century Gothic" w:eastAsia="Times New Roman" w:hAnsi="Century Gothic" w:cs="Times New Roman"/>
          <w:kern w:val="0"/>
          <w:sz w:val="24"/>
          <w:szCs w:val="24"/>
          <w:lang w:eastAsia="es-MX"/>
          <w14:ligatures w14:val="none"/>
        </w:rPr>
        <w:t xml:space="preserve">, tanto en el ámbito penal como en el marco de atención y protección institucional, </w:t>
      </w:r>
      <w:r w:rsidRPr="00E74F33">
        <w:rPr>
          <w:rFonts w:ascii="Century Gothic" w:eastAsia="Times New Roman" w:hAnsi="Century Gothic" w:cs="Times New Roman"/>
          <w:b/>
          <w:bCs/>
          <w:kern w:val="0"/>
          <w:sz w:val="24"/>
          <w:szCs w:val="24"/>
          <w:lang w:eastAsia="es-MX"/>
          <w14:ligatures w14:val="none"/>
        </w:rPr>
        <w:t>así como establecer la pena correspondiente a quien incurra en dicha conducta</w:t>
      </w:r>
      <w:r w:rsidRPr="00E74F33">
        <w:rPr>
          <w:rFonts w:ascii="Century Gothic" w:eastAsia="Times New Roman" w:hAnsi="Century Gothic" w:cs="Times New Roman"/>
          <w:kern w:val="0"/>
          <w:sz w:val="24"/>
          <w:szCs w:val="24"/>
          <w:lang w:eastAsia="es-MX"/>
          <w14:ligatures w14:val="none"/>
        </w:rPr>
        <w:t>, bajo la siguiente redacción:</w:t>
      </w:r>
    </w:p>
    <w:tbl>
      <w:tblPr>
        <w:tblStyle w:val="Tablaconcuadrcula"/>
        <w:tblW w:w="0" w:type="auto"/>
        <w:tblLook w:val="04A0" w:firstRow="1" w:lastRow="0" w:firstColumn="1" w:lastColumn="0" w:noHBand="0" w:noVBand="1"/>
      </w:tblPr>
      <w:tblGrid>
        <w:gridCol w:w="4675"/>
        <w:gridCol w:w="4675"/>
      </w:tblGrid>
      <w:tr w:rsidR="00890707" w14:paraId="777F90E2" w14:textId="77777777" w:rsidTr="00890707">
        <w:tc>
          <w:tcPr>
            <w:tcW w:w="9350" w:type="dxa"/>
            <w:gridSpan w:val="2"/>
            <w:tcBorders>
              <w:top w:val="single" w:sz="4" w:space="0" w:color="auto"/>
              <w:left w:val="single" w:sz="4" w:space="0" w:color="auto"/>
              <w:bottom w:val="single" w:sz="4" w:space="0" w:color="auto"/>
              <w:right w:val="single" w:sz="4" w:space="0" w:color="auto"/>
            </w:tcBorders>
            <w:hideMark/>
          </w:tcPr>
          <w:p w14:paraId="4BB19A76" w14:textId="77777777" w:rsidR="00890707" w:rsidRPr="00C97867" w:rsidRDefault="00890707">
            <w:pPr>
              <w:pStyle w:val="NormalWeb"/>
              <w:spacing w:line="360" w:lineRule="auto"/>
              <w:jc w:val="center"/>
              <w:rPr>
                <w:rFonts w:ascii="Century Gothic" w:hAnsi="Century Gothic"/>
                <w:b/>
                <w:bCs/>
                <w:kern w:val="2"/>
                <w:lang w:eastAsia="en-US"/>
                <w14:ligatures w14:val="standardContextual"/>
              </w:rPr>
            </w:pPr>
            <w:r w:rsidRPr="00C97867">
              <w:rPr>
                <w:rFonts w:ascii="Century Gothic" w:hAnsi="Century Gothic"/>
                <w:b/>
                <w:bCs/>
                <w:kern w:val="2"/>
                <w:lang w:eastAsia="en-US"/>
                <w14:ligatures w14:val="standardContextual"/>
              </w:rPr>
              <w:t>CÓDIGO CIVIL DEL ESTADO DE CHIHUAHUA</w:t>
            </w:r>
          </w:p>
        </w:tc>
      </w:tr>
      <w:tr w:rsidR="00890707" w14:paraId="32F984F9" w14:textId="77777777" w:rsidTr="00890707">
        <w:tc>
          <w:tcPr>
            <w:tcW w:w="4675" w:type="dxa"/>
            <w:tcBorders>
              <w:top w:val="single" w:sz="4" w:space="0" w:color="auto"/>
              <w:left w:val="single" w:sz="4" w:space="0" w:color="auto"/>
              <w:bottom w:val="single" w:sz="4" w:space="0" w:color="auto"/>
              <w:right w:val="single" w:sz="4" w:space="0" w:color="auto"/>
            </w:tcBorders>
            <w:hideMark/>
          </w:tcPr>
          <w:p w14:paraId="73E61D24" w14:textId="77777777" w:rsidR="00890707" w:rsidRPr="00C97867" w:rsidRDefault="00890707">
            <w:pPr>
              <w:pStyle w:val="NormalWeb"/>
              <w:spacing w:line="360" w:lineRule="auto"/>
              <w:jc w:val="center"/>
              <w:rPr>
                <w:rFonts w:ascii="Century Gothic" w:hAnsi="Century Gothic"/>
                <w:b/>
                <w:bCs/>
                <w:kern w:val="2"/>
                <w:lang w:eastAsia="en-US"/>
                <w14:ligatures w14:val="standardContextual"/>
              </w:rPr>
            </w:pPr>
            <w:r w:rsidRPr="00C97867">
              <w:rPr>
                <w:rFonts w:ascii="Century Gothic" w:hAnsi="Century Gothic"/>
                <w:b/>
                <w:bCs/>
                <w:kern w:val="2"/>
                <w:lang w:eastAsia="en-US"/>
                <w14:ligatures w14:val="standardContextual"/>
              </w:rPr>
              <w:t>ARTICULO Y TEXTO VIGENTE</w:t>
            </w:r>
          </w:p>
        </w:tc>
        <w:tc>
          <w:tcPr>
            <w:tcW w:w="4675" w:type="dxa"/>
            <w:tcBorders>
              <w:top w:val="single" w:sz="4" w:space="0" w:color="auto"/>
              <w:left w:val="single" w:sz="4" w:space="0" w:color="auto"/>
              <w:bottom w:val="single" w:sz="4" w:space="0" w:color="auto"/>
              <w:right w:val="single" w:sz="4" w:space="0" w:color="auto"/>
            </w:tcBorders>
            <w:hideMark/>
          </w:tcPr>
          <w:p w14:paraId="5DF8F5C6" w14:textId="77777777" w:rsidR="00890707" w:rsidRPr="00C97867" w:rsidRDefault="00890707">
            <w:pPr>
              <w:pStyle w:val="NormalWeb"/>
              <w:spacing w:line="360" w:lineRule="auto"/>
              <w:jc w:val="both"/>
              <w:rPr>
                <w:rFonts w:ascii="Century Gothic" w:hAnsi="Century Gothic"/>
                <w:b/>
                <w:bCs/>
                <w:kern w:val="2"/>
                <w:lang w:eastAsia="en-US"/>
                <w14:ligatures w14:val="standardContextual"/>
              </w:rPr>
            </w:pPr>
            <w:r w:rsidRPr="00C97867">
              <w:rPr>
                <w:rFonts w:ascii="Century Gothic" w:hAnsi="Century Gothic"/>
                <w:b/>
                <w:bCs/>
                <w:kern w:val="2"/>
                <w:lang w:eastAsia="en-US"/>
                <w14:ligatures w14:val="standardContextual"/>
              </w:rPr>
              <w:t>PROPUESTA DE REFORMA</w:t>
            </w:r>
          </w:p>
        </w:tc>
      </w:tr>
      <w:tr w:rsidR="00890707" w14:paraId="7AB9A71D" w14:textId="77777777" w:rsidTr="00890707">
        <w:tc>
          <w:tcPr>
            <w:tcW w:w="4675" w:type="dxa"/>
            <w:tcBorders>
              <w:top w:val="single" w:sz="4" w:space="0" w:color="auto"/>
              <w:left w:val="single" w:sz="4" w:space="0" w:color="auto"/>
              <w:bottom w:val="single" w:sz="4" w:space="0" w:color="auto"/>
              <w:right w:val="single" w:sz="4" w:space="0" w:color="auto"/>
            </w:tcBorders>
          </w:tcPr>
          <w:p w14:paraId="6F06D069" w14:textId="3FF8DE75" w:rsidR="00890707" w:rsidRPr="00890707" w:rsidRDefault="00890707">
            <w:pPr>
              <w:pStyle w:val="NormalWeb"/>
              <w:tabs>
                <w:tab w:val="left" w:pos="1752"/>
              </w:tabs>
              <w:spacing w:line="360" w:lineRule="auto"/>
              <w:jc w:val="both"/>
              <w:rPr>
                <w:rFonts w:ascii="Century Gothic" w:hAnsi="Century Gothic"/>
                <w:b/>
                <w:kern w:val="2"/>
                <w:u w:val="single"/>
                <w:lang w:eastAsia="en-US"/>
                <w14:ligatures w14:val="standardContextual"/>
              </w:rPr>
            </w:pPr>
            <w:r w:rsidRPr="00890707">
              <w:rPr>
                <w:rFonts w:ascii="Century Gothic" w:hAnsi="Century Gothic"/>
              </w:rPr>
              <w:t>CAPÍTULO III BIS ACOSO SEXUAL</w:t>
            </w:r>
          </w:p>
        </w:tc>
        <w:tc>
          <w:tcPr>
            <w:tcW w:w="4675" w:type="dxa"/>
            <w:tcBorders>
              <w:top w:val="single" w:sz="4" w:space="0" w:color="auto"/>
              <w:left w:val="single" w:sz="4" w:space="0" w:color="auto"/>
              <w:bottom w:val="single" w:sz="4" w:space="0" w:color="auto"/>
              <w:right w:val="single" w:sz="4" w:space="0" w:color="auto"/>
            </w:tcBorders>
          </w:tcPr>
          <w:p w14:paraId="7A03B167" w14:textId="00671DB4" w:rsidR="00890707" w:rsidRPr="00890707" w:rsidRDefault="00890707">
            <w:pPr>
              <w:pStyle w:val="NormalWeb"/>
              <w:spacing w:line="360" w:lineRule="auto"/>
              <w:jc w:val="both"/>
              <w:rPr>
                <w:rFonts w:ascii="Century Gothic" w:hAnsi="Century Gothic"/>
                <w:b/>
                <w:kern w:val="2"/>
                <w:lang w:eastAsia="en-US"/>
                <w14:ligatures w14:val="standardContextual"/>
              </w:rPr>
            </w:pPr>
            <w:r w:rsidRPr="00890707">
              <w:rPr>
                <w:rFonts w:ascii="Century Gothic" w:hAnsi="Century Gothic"/>
              </w:rPr>
              <w:t>CAPÍTULO III BIS ACOSO SEXUAL</w:t>
            </w:r>
            <w:r w:rsidRPr="00890707">
              <w:rPr>
                <w:rFonts w:ascii="Century Gothic" w:hAnsi="Century Gothic"/>
              </w:rPr>
              <w:t xml:space="preserve"> </w:t>
            </w:r>
            <w:r w:rsidRPr="00890707">
              <w:rPr>
                <w:rFonts w:ascii="Century Gothic" w:hAnsi="Century Gothic"/>
                <w:highlight w:val="yellow"/>
              </w:rPr>
              <w:t>Y ACECHO</w:t>
            </w:r>
          </w:p>
        </w:tc>
      </w:tr>
      <w:tr w:rsidR="00890707" w14:paraId="24DAD608" w14:textId="77777777" w:rsidTr="00890707">
        <w:tc>
          <w:tcPr>
            <w:tcW w:w="4675" w:type="dxa"/>
            <w:tcBorders>
              <w:top w:val="single" w:sz="4" w:space="0" w:color="auto"/>
              <w:left w:val="single" w:sz="4" w:space="0" w:color="auto"/>
              <w:bottom w:val="single" w:sz="4" w:space="0" w:color="auto"/>
              <w:right w:val="single" w:sz="4" w:space="0" w:color="auto"/>
            </w:tcBorders>
          </w:tcPr>
          <w:p w14:paraId="30D5C5C5" w14:textId="77777777" w:rsidR="00890707" w:rsidRPr="00890707" w:rsidRDefault="00890707" w:rsidP="00890707">
            <w:pPr>
              <w:pStyle w:val="NormalWeb"/>
              <w:spacing w:line="360" w:lineRule="auto"/>
              <w:jc w:val="both"/>
              <w:rPr>
                <w:rFonts w:ascii="Century Gothic" w:hAnsi="Century Gothic"/>
                <w:b/>
                <w:bCs/>
              </w:rPr>
            </w:pPr>
            <w:r w:rsidRPr="00890707">
              <w:rPr>
                <w:rFonts w:ascii="Century Gothic" w:hAnsi="Century Gothic"/>
                <w:b/>
                <w:bCs/>
              </w:rPr>
              <w:t xml:space="preserve">Artículo 176 </w:t>
            </w:r>
            <w:proofErr w:type="spellStart"/>
            <w:r w:rsidRPr="00890707">
              <w:rPr>
                <w:rFonts w:ascii="Century Gothic" w:hAnsi="Century Gothic"/>
                <w:b/>
                <w:bCs/>
              </w:rPr>
              <w:t>Quáter</w:t>
            </w:r>
            <w:proofErr w:type="spellEnd"/>
            <w:r w:rsidRPr="00890707">
              <w:rPr>
                <w:rFonts w:ascii="Century Gothic" w:hAnsi="Century Gothic"/>
                <w:b/>
                <w:bCs/>
              </w:rPr>
              <w:t>.</w:t>
            </w:r>
          </w:p>
          <w:p w14:paraId="6D6CE506" w14:textId="0EDB59CF" w:rsidR="00890707" w:rsidRPr="00890707" w:rsidRDefault="00890707">
            <w:pPr>
              <w:pStyle w:val="NormalWeb"/>
              <w:tabs>
                <w:tab w:val="left" w:pos="1752"/>
              </w:tabs>
              <w:spacing w:line="360" w:lineRule="auto"/>
              <w:jc w:val="both"/>
              <w:rPr>
                <w:rFonts w:ascii="Century Gothic" w:hAnsi="Century Gothic"/>
              </w:rPr>
            </w:pPr>
            <w:r w:rsidRPr="00890707">
              <w:rPr>
                <w:rFonts w:ascii="Century Gothic" w:hAnsi="Century Gothic"/>
              </w:rPr>
              <w:t>(NO SE PREVÉ EN EL CÓDIGO)</w:t>
            </w:r>
          </w:p>
        </w:tc>
        <w:tc>
          <w:tcPr>
            <w:tcW w:w="4675" w:type="dxa"/>
            <w:tcBorders>
              <w:top w:val="single" w:sz="4" w:space="0" w:color="auto"/>
              <w:left w:val="single" w:sz="4" w:space="0" w:color="auto"/>
              <w:bottom w:val="single" w:sz="4" w:space="0" w:color="auto"/>
              <w:right w:val="single" w:sz="4" w:space="0" w:color="auto"/>
            </w:tcBorders>
          </w:tcPr>
          <w:p w14:paraId="16C457B1" w14:textId="77777777" w:rsidR="00890707" w:rsidRPr="00890707" w:rsidRDefault="00890707" w:rsidP="00890707">
            <w:pPr>
              <w:pStyle w:val="NormalWeb"/>
              <w:spacing w:line="360" w:lineRule="auto"/>
              <w:jc w:val="both"/>
              <w:rPr>
                <w:rFonts w:ascii="Century Gothic" w:hAnsi="Century Gothic"/>
                <w:b/>
                <w:bCs/>
              </w:rPr>
            </w:pPr>
            <w:r w:rsidRPr="00890707">
              <w:rPr>
                <w:rFonts w:ascii="Century Gothic" w:hAnsi="Century Gothic"/>
                <w:b/>
                <w:bCs/>
              </w:rPr>
              <w:t xml:space="preserve">Artículo 176 </w:t>
            </w:r>
            <w:proofErr w:type="spellStart"/>
            <w:r w:rsidRPr="00890707">
              <w:rPr>
                <w:rFonts w:ascii="Century Gothic" w:hAnsi="Century Gothic"/>
                <w:b/>
                <w:bCs/>
              </w:rPr>
              <w:t>Quáter</w:t>
            </w:r>
            <w:proofErr w:type="spellEnd"/>
            <w:r w:rsidRPr="00890707">
              <w:rPr>
                <w:rFonts w:ascii="Century Gothic" w:hAnsi="Century Gothic"/>
                <w:b/>
                <w:bCs/>
              </w:rPr>
              <w:t>.</w:t>
            </w:r>
          </w:p>
          <w:p w14:paraId="0C291B18" w14:textId="1011195E" w:rsidR="00890707" w:rsidRPr="00890707" w:rsidRDefault="00890707" w:rsidP="00890707">
            <w:pPr>
              <w:pStyle w:val="NormalWeb"/>
              <w:spacing w:line="360" w:lineRule="auto"/>
              <w:jc w:val="both"/>
              <w:rPr>
                <w:rFonts w:ascii="Century Gothic" w:hAnsi="Century Gothic"/>
              </w:rPr>
            </w:pPr>
            <w:r w:rsidRPr="00890707">
              <w:rPr>
                <w:rFonts w:ascii="Century Gothic" w:hAnsi="Century Gothic"/>
              </w:rPr>
              <w:t xml:space="preserve">Comete el delito de acecho quien, de manera reiterada o sistemática, lleve a cabo conductas dirigidas hacia una persona, tales como vigilarla, seguirla, aproximarse físicamente sin consentimiento, comunicarse insistentemente con ella por cualquier medio o interferir en su vida privada, laboral, educativa o personal, ya sea de manera presencial o a través de medios digitales, tecnológicas o de </w:t>
            </w:r>
            <w:r w:rsidRPr="00890707">
              <w:rPr>
                <w:rFonts w:ascii="Century Gothic" w:hAnsi="Century Gothic"/>
              </w:rPr>
              <w:lastRenderedPageBreak/>
              <w:t>comunicación, generando con ello un estado de perturbación emocional, temor fundado, o afectación a su privacidad, libertad o seguridad personal.</w:t>
            </w:r>
          </w:p>
          <w:p w14:paraId="059AF5F8" w14:textId="2001102F" w:rsidR="00890707" w:rsidRPr="00890707" w:rsidRDefault="00890707" w:rsidP="00890707">
            <w:pPr>
              <w:pStyle w:val="NormalWeb"/>
              <w:spacing w:line="360" w:lineRule="auto"/>
              <w:jc w:val="both"/>
              <w:rPr>
                <w:rFonts w:ascii="Century Gothic" w:hAnsi="Century Gothic"/>
              </w:rPr>
            </w:pPr>
            <w:r w:rsidRPr="00890707">
              <w:rPr>
                <w:rFonts w:ascii="Century Gothic" w:hAnsi="Century Gothic"/>
              </w:rPr>
              <w:t>Para la configuración del delito no será necesario que exista contacto físico entre el agresor y la víctima.</w:t>
            </w:r>
          </w:p>
        </w:tc>
      </w:tr>
      <w:tr w:rsidR="00890707" w14:paraId="085DD977" w14:textId="77777777" w:rsidTr="00890707">
        <w:tc>
          <w:tcPr>
            <w:tcW w:w="4675" w:type="dxa"/>
            <w:tcBorders>
              <w:top w:val="single" w:sz="4" w:space="0" w:color="auto"/>
              <w:left w:val="single" w:sz="4" w:space="0" w:color="auto"/>
              <w:bottom w:val="single" w:sz="4" w:space="0" w:color="auto"/>
              <w:right w:val="single" w:sz="4" w:space="0" w:color="auto"/>
            </w:tcBorders>
          </w:tcPr>
          <w:p w14:paraId="32C65933" w14:textId="77777777" w:rsidR="00890707" w:rsidRPr="00890707" w:rsidRDefault="00890707" w:rsidP="00890707">
            <w:pPr>
              <w:pStyle w:val="NormalWeb"/>
              <w:spacing w:line="360" w:lineRule="auto"/>
              <w:jc w:val="both"/>
              <w:rPr>
                <w:rFonts w:ascii="Century Gothic" w:hAnsi="Century Gothic"/>
                <w:b/>
                <w:bCs/>
              </w:rPr>
            </w:pPr>
            <w:r w:rsidRPr="00890707">
              <w:rPr>
                <w:rFonts w:ascii="Century Gothic" w:hAnsi="Century Gothic"/>
                <w:b/>
                <w:bCs/>
              </w:rPr>
              <w:lastRenderedPageBreak/>
              <w:t>Artículo 176 Quinquies.</w:t>
            </w:r>
          </w:p>
          <w:p w14:paraId="5D4987AF" w14:textId="33B71E5A" w:rsidR="00890707" w:rsidRPr="00890707" w:rsidRDefault="00890707" w:rsidP="00890707">
            <w:pPr>
              <w:pStyle w:val="NormalWeb"/>
              <w:spacing w:line="360" w:lineRule="auto"/>
              <w:jc w:val="both"/>
              <w:rPr>
                <w:b/>
                <w:bCs/>
              </w:rPr>
            </w:pPr>
            <w:r w:rsidRPr="00890707">
              <w:rPr>
                <w:rFonts w:ascii="Century Gothic" w:hAnsi="Century Gothic"/>
              </w:rPr>
              <w:t>(NO SE PREVÉ EN EL CÓDIGO)</w:t>
            </w:r>
          </w:p>
        </w:tc>
        <w:tc>
          <w:tcPr>
            <w:tcW w:w="4675" w:type="dxa"/>
            <w:tcBorders>
              <w:top w:val="single" w:sz="4" w:space="0" w:color="auto"/>
              <w:left w:val="single" w:sz="4" w:space="0" w:color="auto"/>
              <w:bottom w:val="single" w:sz="4" w:space="0" w:color="auto"/>
              <w:right w:val="single" w:sz="4" w:space="0" w:color="auto"/>
            </w:tcBorders>
          </w:tcPr>
          <w:p w14:paraId="53D988CF" w14:textId="77777777" w:rsidR="00890707" w:rsidRPr="00890707" w:rsidRDefault="00890707" w:rsidP="00890707">
            <w:pPr>
              <w:pStyle w:val="NormalWeb"/>
              <w:spacing w:line="360" w:lineRule="auto"/>
              <w:jc w:val="both"/>
              <w:rPr>
                <w:rFonts w:ascii="Century Gothic" w:hAnsi="Century Gothic"/>
                <w:b/>
                <w:bCs/>
              </w:rPr>
            </w:pPr>
            <w:r w:rsidRPr="00890707">
              <w:rPr>
                <w:rFonts w:ascii="Century Gothic" w:hAnsi="Century Gothic"/>
                <w:b/>
                <w:bCs/>
              </w:rPr>
              <w:t>Artículo 176 Quinquies.</w:t>
            </w:r>
          </w:p>
          <w:p w14:paraId="657FAE77" w14:textId="34F774CA" w:rsidR="00890707" w:rsidRPr="00890707" w:rsidRDefault="00890707" w:rsidP="00890707">
            <w:pPr>
              <w:pStyle w:val="NormalWeb"/>
              <w:spacing w:line="360" w:lineRule="auto"/>
              <w:jc w:val="both"/>
              <w:rPr>
                <w:rFonts w:ascii="Century Gothic" w:hAnsi="Century Gothic"/>
              </w:rPr>
            </w:pPr>
            <w:r w:rsidRPr="00890707">
              <w:rPr>
                <w:rFonts w:ascii="Century Gothic" w:hAnsi="Century Gothic"/>
              </w:rPr>
              <w:t>A quien incurra en el delito de acecho se le impondrá una pena de uno a tres años de prisión y de doscientas a quinientas unidades de medida y actualización de multa.</w:t>
            </w:r>
          </w:p>
          <w:p w14:paraId="4CBBF47E" w14:textId="431E3DCB" w:rsidR="00890707" w:rsidRPr="00890707" w:rsidRDefault="00890707" w:rsidP="00890707">
            <w:pPr>
              <w:pStyle w:val="NormalWeb"/>
              <w:spacing w:line="360" w:lineRule="auto"/>
              <w:jc w:val="both"/>
              <w:rPr>
                <w:rFonts w:ascii="Century Gothic" w:hAnsi="Century Gothic"/>
              </w:rPr>
            </w:pPr>
            <w:r w:rsidRPr="00890707">
              <w:rPr>
                <w:rFonts w:ascii="Century Gothic" w:hAnsi="Century Gothic"/>
              </w:rPr>
              <w:t>La pena se aumentará hasta en una mitad cuando:</w:t>
            </w:r>
          </w:p>
          <w:p w14:paraId="390FE81F" w14:textId="7A357A92" w:rsidR="00890707" w:rsidRPr="00890707" w:rsidRDefault="00890707" w:rsidP="00890707">
            <w:pPr>
              <w:pStyle w:val="NormalWeb"/>
              <w:spacing w:line="360" w:lineRule="auto"/>
              <w:jc w:val="both"/>
              <w:rPr>
                <w:rFonts w:ascii="Century Gothic" w:hAnsi="Century Gothic"/>
              </w:rPr>
            </w:pPr>
            <w:r w:rsidRPr="00890707">
              <w:rPr>
                <w:rFonts w:ascii="Century Gothic" w:hAnsi="Century Gothic"/>
              </w:rPr>
              <w:t>I. La víctima sea mujer, niña, niño o adolescente;</w:t>
            </w:r>
          </w:p>
          <w:p w14:paraId="2EC5AE34" w14:textId="70AC2D78" w:rsidR="00890707" w:rsidRPr="00890707" w:rsidRDefault="00890707" w:rsidP="00890707">
            <w:pPr>
              <w:pStyle w:val="NormalWeb"/>
              <w:spacing w:line="360" w:lineRule="auto"/>
              <w:jc w:val="both"/>
              <w:rPr>
                <w:rFonts w:ascii="Century Gothic" w:hAnsi="Century Gothic"/>
              </w:rPr>
            </w:pPr>
            <w:r w:rsidRPr="00890707">
              <w:rPr>
                <w:rFonts w:ascii="Century Gothic" w:hAnsi="Century Gothic"/>
              </w:rPr>
              <w:t xml:space="preserve">II. Entre la víctima y el agresor haya existido una relación de parentesco, </w:t>
            </w:r>
            <w:r w:rsidRPr="00890707">
              <w:rPr>
                <w:rFonts w:ascii="Century Gothic" w:hAnsi="Century Gothic"/>
              </w:rPr>
              <w:lastRenderedPageBreak/>
              <w:t>sentimental, afectiva, docente, laboral o cualquier otra que implique confianza o jerarquía;</w:t>
            </w:r>
          </w:p>
          <w:p w14:paraId="7B7BAE55" w14:textId="73462928" w:rsidR="00890707" w:rsidRPr="00890707" w:rsidRDefault="00890707" w:rsidP="00890707">
            <w:pPr>
              <w:pStyle w:val="NormalWeb"/>
              <w:spacing w:line="360" w:lineRule="auto"/>
              <w:jc w:val="both"/>
              <w:rPr>
                <w:rFonts w:ascii="Century Gothic" w:hAnsi="Century Gothic"/>
              </w:rPr>
            </w:pPr>
            <w:r w:rsidRPr="00890707">
              <w:rPr>
                <w:rFonts w:ascii="Century Gothic" w:hAnsi="Century Gothic"/>
              </w:rPr>
              <w:t>III. La conducta se cometa mediante el uso de tecnologías de la información, redes sociales, plataformas digitales, dispositivos de geolocalización o cualquier herramienta similar;</w:t>
            </w:r>
          </w:p>
          <w:p w14:paraId="58295F7B" w14:textId="18594D4E" w:rsidR="00890707" w:rsidRPr="00890707" w:rsidRDefault="00890707" w:rsidP="00890707">
            <w:pPr>
              <w:pStyle w:val="NormalWeb"/>
              <w:spacing w:line="360" w:lineRule="auto"/>
              <w:jc w:val="both"/>
              <w:rPr>
                <w:rFonts w:ascii="Century Gothic" w:hAnsi="Century Gothic"/>
              </w:rPr>
            </w:pPr>
            <w:r w:rsidRPr="00890707">
              <w:rPr>
                <w:rFonts w:ascii="Century Gothic" w:hAnsi="Century Gothic"/>
              </w:rPr>
              <w:t>IV. Exista reincidencia o incumplimiento de medidas de protección previamente impuestas.</w:t>
            </w:r>
          </w:p>
          <w:p w14:paraId="68E7315E" w14:textId="4640E539" w:rsidR="00890707" w:rsidRPr="00890707" w:rsidRDefault="00890707" w:rsidP="00890707">
            <w:pPr>
              <w:pStyle w:val="NormalWeb"/>
              <w:spacing w:line="360" w:lineRule="auto"/>
              <w:jc w:val="both"/>
              <w:rPr>
                <w:rFonts w:ascii="Century Gothic" w:hAnsi="Century Gothic"/>
                <w:b/>
                <w:bCs/>
              </w:rPr>
            </w:pPr>
            <w:r w:rsidRPr="00890707">
              <w:rPr>
                <w:rFonts w:ascii="Century Gothic" w:hAnsi="Century Gothic"/>
              </w:rPr>
              <w:t>Además de las penas señaladas, se podrán imponer medidas de protección inmediata y se garantizará el acceso a servicios de atención psicológica, legal y de resguardo a la víctima.</w:t>
            </w:r>
          </w:p>
        </w:tc>
      </w:tr>
    </w:tbl>
    <w:p w14:paraId="4B507190" w14:textId="77777777" w:rsidR="00890707" w:rsidRPr="00890707" w:rsidRDefault="00890707" w:rsidP="00890707">
      <w:pPr>
        <w:spacing w:line="276" w:lineRule="auto"/>
        <w:jc w:val="both"/>
        <w:rPr>
          <w:rFonts w:ascii="Century Gothic" w:hAnsi="Century Gothic"/>
          <w:b/>
          <w:bCs/>
          <w:sz w:val="24"/>
          <w:szCs w:val="24"/>
        </w:rPr>
      </w:pPr>
    </w:p>
    <w:p w14:paraId="3E8A0888" w14:textId="682B7970" w:rsidR="00030115" w:rsidRDefault="00030115" w:rsidP="00B95E00">
      <w:pPr>
        <w:spacing w:line="276" w:lineRule="auto"/>
        <w:jc w:val="both"/>
        <w:rPr>
          <w:rFonts w:ascii="Century Gothic" w:eastAsia="Times New Roman" w:hAnsi="Century Gothic" w:cs="Times New Roman"/>
          <w:sz w:val="24"/>
          <w:szCs w:val="24"/>
          <w:lang w:eastAsia="es-MX"/>
        </w:rPr>
      </w:pPr>
    </w:p>
    <w:p w14:paraId="66DE9C2C" w14:textId="77777777" w:rsidR="00C97867" w:rsidRPr="00D177CF" w:rsidRDefault="00C97867" w:rsidP="00B95E00">
      <w:pPr>
        <w:spacing w:line="276" w:lineRule="auto"/>
        <w:jc w:val="both"/>
        <w:rPr>
          <w:rFonts w:ascii="Century Gothic" w:eastAsia="Times New Roman" w:hAnsi="Century Gothic" w:cs="Times New Roman"/>
          <w:sz w:val="24"/>
          <w:szCs w:val="24"/>
          <w:lang w:eastAsia="es-MX"/>
        </w:rPr>
      </w:pPr>
    </w:p>
    <w:tbl>
      <w:tblPr>
        <w:tblStyle w:val="Tablaconcuadrcula"/>
        <w:tblW w:w="9350" w:type="dxa"/>
        <w:tblLook w:val="04A0" w:firstRow="1" w:lastRow="0" w:firstColumn="1" w:lastColumn="0" w:noHBand="0" w:noVBand="1"/>
      </w:tblPr>
      <w:tblGrid>
        <w:gridCol w:w="4675"/>
        <w:gridCol w:w="4675"/>
      </w:tblGrid>
      <w:tr w:rsidR="00890707" w:rsidRPr="00513167" w14:paraId="6CDED260" w14:textId="77777777" w:rsidTr="00896633">
        <w:tc>
          <w:tcPr>
            <w:tcW w:w="9350" w:type="dxa"/>
            <w:gridSpan w:val="2"/>
            <w:tcBorders>
              <w:top w:val="single" w:sz="4" w:space="0" w:color="auto"/>
              <w:left w:val="single" w:sz="4" w:space="0" w:color="auto"/>
              <w:bottom w:val="single" w:sz="4" w:space="0" w:color="auto"/>
              <w:right w:val="single" w:sz="4" w:space="0" w:color="auto"/>
            </w:tcBorders>
            <w:hideMark/>
          </w:tcPr>
          <w:p w14:paraId="3835392A" w14:textId="54B7F068" w:rsidR="00890707" w:rsidRPr="00C97867" w:rsidRDefault="00C62D9C" w:rsidP="00AF4459">
            <w:pPr>
              <w:pStyle w:val="NormalWeb"/>
              <w:spacing w:line="360" w:lineRule="auto"/>
              <w:jc w:val="center"/>
              <w:rPr>
                <w:rFonts w:ascii="Century Gothic" w:hAnsi="Century Gothic"/>
                <w:b/>
                <w:bCs/>
                <w:kern w:val="2"/>
                <w:lang w:eastAsia="en-US"/>
                <w14:ligatures w14:val="standardContextual"/>
              </w:rPr>
            </w:pPr>
            <w:bookmarkStart w:id="0" w:name="_Hlk196221513"/>
            <w:r w:rsidRPr="00C97867">
              <w:rPr>
                <w:rFonts w:ascii="Century Gothic" w:hAnsi="Century Gothic"/>
                <w:b/>
                <w:bCs/>
              </w:rPr>
              <w:lastRenderedPageBreak/>
              <w:t>LEY ESTATAL DEL DERECHO DE LAS MUJERES A UNA VIDA LIBRE DE VIOLENCIA</w:t>
            </w:r>
            <w:bookmarkEnd w:id="0"/>
          </w:p>
        </w:tc>
      </w:tr>
      <w:tr w:rsidR="00890707" w:rsidRPr="00513167" w14:paraId="2BD4A113" w14:textId="77777777" w:rsidTr="00896633">
        <w:tc>
          <w:tcPr>
            <w:tcW w:w="4675" w:type="dxa"/>
            <w:tcBorders>
              <w:top w:val="single" w:sz="4" w:space="0" w:color="auto"/>
              <w:left w:val="single" w:sz="4" w:space="0" w:color="auto"/>
              <w:bottom w:val="single" w:sz="4" w:space="0" w:color="auto"/>
              <w:right w:val="single" w:sz="4" w:space="0" w:color="auto"/>
            </w:tcBorders>
            <w:hideMark/>
          </w:tcPr>
          <w:p w14:paraId="3B39B013" w14:textId="77777777" w:rsidR="00890707" w:rsidRPr="00C97867" w:rsidRDefault="00890707" w:rsidP="00AF4459">
            <w:pPr>
              <w:pStyle w:val="NormalWeb"/>
              <w:spacing w:line="360" w:lineRule="auto"/>
              <w:jc w:val="center"/>
              <w:rPr>
                <w:rFonts w:ascii="Century Gothic" w:hAnsi="Century Gothic"/>
                <w:b/>
                <w:bCs/>
                <w:kern w:val="2"/>
                <w:lang w:eastAsia="en-US"/>
                <w14:ligatures w14:val="standardContextual"/>
              </w:rPr>
            </w:pPr>
            <w:r w:rsidRPr="00C97867">
              <w:rPr>
                <w:rFonts w:ascii="Century Gothic" w:hAnsi="Century Gothic"/>
                <w:b/>
                <w:bCs/>
                <w:kern w:val="2"/>
                <w:lang w:eastAsia="en-US"/>
                <w14:ligatures w14:val="standardContextual"/>
              </w:rPr>
              <w:t>ARTICULO Y TEXTO VIGENTE</w:t>
            </w:r>
          </w:p>
        </w:tc>
        <w:tc>
          <w:tcPr>
            <w:tcW w:w="4675" w:type="dxa"/>
            <w:tcBorders>
              <w:top w:val="single" w:sz="4" w:space="0" w:color="auto"/>
              <w:left w:val="single" w:sz="4" w:space="0" w:color="auto"/>
              <w:bottom w:val="single" w:sz="4" w:space="0" w:color="auto"/>
              <w:right w:val="single" w:sz="4" w:space="0" w:color="auto"/>
            </w:tcBorders>
            <w:hideMark/>
          </w:tcPr>
          <w:p w14:paraId="2F24A4D7" w14:textId="77777777" w:rsidR="00890707" w:rsidRPr="00C97867" w:rsidRDefault="00890707" w:rsidP="00AF4459">
            <w:pPr>
              <w:pStyle w:val="NormalWeb"/>
              <w:spacing w:line="360" w:lineRule="auto"/>
              <w:jc w:val="both"/>
              <w:rPr>
                <w:rFonts w:ascii="Century Gothic" w:hAnsi="Century Gothic"/>
                <w:b/>
                <w:bCs/>
                <w:kern w:val="2"/>
                <w:lang w:eastAsia="en-US"/>
                <w14:ligatures w14:val="standardContextual"/>
              </w:rPr>
            </w:pPr>
            <w:r w:rsidRPr="00C97867">
              <w:rPr>
                <w:rFonts w:ascii="Century Gothic" w:hAnsi="Century Gothic"/>
                <w:b/>
                <w:bCs/>
                <w:kern w:val="2"/>
                <w:lang w:eastAsia="en-US"/>
                <w14:ligatures w14:val="standardContextual"/>
              </w:rPr>
              <w:t>PROPUESTA DE REFORMA</w:t>
            </w:r>
          </w:p>
        </w:tc>
      </w:tr>
      <w:tr w:rsidR="00896633" w:rsidRPr="00513167" w14:paraId="1B0F2C26" w14:textId="7AAF2ED1" w:rsidTr="00896633">
        <w:tc>
          <w:tcPr>
            <w:tcW w:w="4675" w:type="dxa"/>
            <w:tcBorders>
              <w:top w:val="single" w:sz="4" w:space="0" w:color="auto"/>
              <w:left w:val="single" w:sz="4" w:space="0" w:color="auto"/>
              <w:bottom w:val="single" w:sz="4" w:space="0" w:color="auto"/>
              <w:right w:val="single" w:sz="4" w:space="0" w:color="auto"/>
            </w:tcBorders>
          </w:tcPr>
          <w:p w14:paraId="65789843" w14:textId="77777777" w:rsidR="00896633" w:rsidRPr="00513167" w:rsidRDefault="00896633" w:rsidP="00896633">
            <w:pPr>
              <w:pStyle w:val="NormalWeb"/>
              <w:tabs>
                <w:tab w:val="left" w:pos="1752"/>
              </w:tabs>
              <w:spacing w:line="360" w:lineRule="auto"/>
              <w:jc w:val="both"/>
              <w:rPr>
                <w:rFonts w:ascii="Century Gothic" w:hAnsi="Century Gothic"/>
              </w:rPr>
            </w:pPr>
            <w:r w:rsidRPr="00513167">
              <w:rPr>
                <w:rFonts w:ascii="Century Gothic" w:hAnsi="Century Gothic"/>
              </w:rPr>
              <w:t>ARTÍCULO 6. Las modalidades de violencia son:</w:t>
            </w:r>
          </w:p>
          <w:p w14:paraId="48D4B06A" w14:textId="77777777" w:rsidR="00896633" w:rsidRPr="00513167" w:rsidRDefault="00896633" w:rsidP="00896633">
            <w:pPr>
              <w:pStyle w:val="NormalWeb"/>
              <w:numPr>
                <w:ilvl w:val="0"/>
                <w:numId w:val="4"/>
              </w:numPr>
              <w:tabs>
                <w:tab w:val="left" w:pos="1752"/>
              </w:tabs>
              <w:spacing w:line="360" w:lineRule="auto"/>
              <w:jc w:val="both"/>
              <w:rPr>
                <w:rFonts w:ascii="Century Gothic" w:hAnsi="Century Gothic"/>
                <w:b/>
                <w:kern w:val="2"/>
                <w:u w:val="single"/>
                <w:lang w:eastAsia="en-US"/>
                <w14:ligatures w14:val="standardContextual"/>
              </w:rPr>
            </w:pPr>
            <w:r w:rsidRPr="00513167">
              <w:rPr>
                <w:rFonts w:ascii="Century Gothic" w:hAnsi="Century Gothic"/>
              </w:rPr>
              <w:t>[…]</w:t>
            </w:r>
            <w:r w:rsidRPr="00513167">
              <w:rPr>
                <w:rFonts w:ascii="Century Gothic" w:hAnsi="Century Gothic"/>
              </w:rPr>
              <w:t>.</w:t>
            </w:r>
          </w:p>
          <w:p w14:paraId="1D7A1C5D" w14:textId="77777777" w:rsidR="00896633" w:rsidRPr="00513167" w:rsidRDefault="00896633" w:rsidP="00896633">
            <w:pPr>
              <w:pStyle w:val="NormalWeb"/>
              <w:numPr>
                <w:ilvl w:val="0"/>
                <w:numId w:val="4"/>
              </w:numPr>
              <w:tabs>
                <w:tab w:val="left" w:pos="1752"/>
              </w:tabs>
              <w:spacing w:line="360" w:lineRule="auto"/>
              <w:jc w:val="both"/>
              <w:rPr>
                <w:rFonts w:ascii="Century Gothic" w:hAnsi="Century Gothic"/>
                <w:b/>
                <w:kern w:val="2"/>
                <w:u w:val="single"/>
                <w:lang w:eastAsia="en-US"/>
                <w14:ligatures w14:val="standardContextual"/>
              </w:rPr>
            </w:pPr>
            <w:r w:rsidRPr="00513167">
              <w:rPr>
                <w:rFonts w:ascii="Century Gothic" w:hAnsi="Century Gothic"/>
              </w:rPr>
              <w:t xml:space="preserve"> </w:t>
            </w:r>
            <w:r w:rsidRPr="00513167">
              <w:rPr>
                <w:rFonts w:ascii="Century Gothic" w:hAnsi="Century Gothic"/>
              </w:rPr>
              <w:t>[…]</w:t>
            </w:r>
            <w:r w:rsidRPr="00513167">
              <w:rPr>
                <w:rFonts w:ascii="Century Gothic" w:hAnsi="Century Gothic"/>
              </w:rPr>
              <w:t>.</w:t>
            </w:r>
          </w:p>
          <w:p w14:paraId="0FF64715" w14:textId="45BA7728" w:rsidR="00896633" w:rsidRPr="00513167" w:rsidRDefault="00896633" w:rsidP="00896633">
            <w:pPr>
              <w:pStyle w:val="NormalWeb"/>
              <w:numPr>
                <w:ilvl w:val="0"/>
                <w:numId w:val="4"/>
              </w:numPr>
              <w:tabs>
                <w:tab w:val="left" w:pos="1752"/>
              </w:tabs>
              <w:spacing w:line="360" w:lineRule="auto"/>
              <w:jc w:val="both"/>
              <w:rPr>
                <w:rFonts w:ascii="Century Gothic" w:hAnsi="Century Gothic"/>
                <w:b/>
                <w:kern w:val="2"/>
                <w:u w:val="single"/>
                <w:lang w:eastAsia="en-US"/>
                <w14:ligatures w14:val="standardContextual"/>
              </w:rPr>
            </w:pPr>
            <w:r w:rsidRPr="00513167">
              <w:rPr>
                <w:rFonts w:ascii="Century Gothic" w:hAnsi="Century Gothic"/>
              </w:rPr>
              <w:t>Es todo acto de acoso, hostigamiento u omisión ejercido por cualquier persona que tiene un vínculo laboral, docente o análogo con la víctima, a fin de dañar su dignidad, autoestima, salud, integridad, libertad y seguridad, tendiente a impedir su desarrollo y atentar contra la igualdad.</w:t>
            </w:r>
          </w:p>
          <w:p w14:paraId="4A8822B9" w14:textId="77777777" w:rsidR="00896633" w:rsidRPr="00513167" w:rsidRDefault="00896633" w:rsidP="00896633">
            <w:pPr>
              <w:pStyle w:val="NormalWeb"/>
              <w:tabs>
                <w:tab w:val="left" w:pos="1752"/>
              </w:tabs>
              <w:spacing w:line="360" w:lineRule="auto"/>
              <w:ind w:left="780"/>
              <w:jc w:val="both"/>
              <w:rPr>
                <w:rFonts w:ascii="Century Gothic" w:hAnsi="Century Gothic"/>
              </w:rPr>
            </w:pPr>
            <w:r w:rsidRPr="00513167">
              <w:rPr>
                <w:rFonts w:ascii="Century Gothic" w:hAnsi="Century Gothic"/>
              </w:rPr>
              <w:t xml:space="preserve">Puede consistir en un solo evento dañino o en una serie de eventos cuya suma produce el daño. También </w:t>
            </w:r>
            <w:r w:rsidRPr="00513167">
              <w:rPr>
                <w:rFonts w:ascii="Century Gothic" w:hAnsi="Century Gothic"/>
              </w:rPr>
              <w:lastRenderedPageBreak/>
              <w:t>incluye el acoso o el hostigamiento sexual.</w:t>
            </w:r>
          </w:p>
          <w:p w14:paraId="58F708B2" w14:textId="77777777" w:rsidR="00513167" w:rsidRPr="00513167" w:rsidRDefault="00513167" w:rsidP="00896633">
            <w:pPr>
              <w:pStyle w:val="NormalWeb"/>
              <w:tabs>
                <w:tab w:val="left" w:pos="1752"/>
              </w:tabs>
              <w:spacing w:line="360" w:lineRule="auto"/>
              <w:ind w:left="780"/>
              <w:jc w:val="both"/>
              <w:rPr>
                <w:rFonts w:ascii="Century Gothic" w:hAnsi="Century Gothic"/>
              </w:rPr>
            </w:pPr>
            <w:r w:rsidRPr="00513167">
              <w:rPr>
                <w:rFonts w:ascii="Century Gothic" w:hAnsi="Century Gothic"/>
              </w:rPr>
              <w:t xml:space="preserve">Para efectos de lo anterior, se entiende por: </w:t>
            </w:r>
          </w:p>
          <w:p w14:paraId="5F3FEA49" w14:textId="77777777" w:rsidR="00513167" w:rsidRPr="00513167" w:rsidRDefault="00513167" w:rsidP="00513167">
            <w:pPr>
              <w:pStyle w:val="NormalWeb"/>
              <w:numPr>
                <w:ilvl w:val="0"/>
                <w:numId w:val="7"/>
              </w:numPr>
              <w:tabs>
                <w:tab w:val="left" w:pos="1752"/>
              </w:tabs>
              <w:spacing w:line="360" w:lineRule="auto"/>
              <w:jc w:val="both"/>
              <w:rPr>
                <w:rFonts w:ascii="Century Gothic" w:hAnsi="Century Gothic"/>
              </w:rPr>
            </w:pPr>
            <w:r w:rsidRPr="00513167">
              <w:rPr>
                <w:rFonts w:ascii="Century Gothic" w:hAnsi="Century Gothic"/>
              </w:rPr>
              <w:t xml:space="preserve">Acoso: Forma de violencia que se presenta en una serie de eventos que tienen como objetivo intimidar, excluir, opacar, aplanar, amedrentar o consumir emocional o intelectualmente a la víctima, causando un daño físico, psicológico, económico y laboral-profesional. </w:t>
            </w:r>
          </w:p>
          <w:p w14:paraId="5A0ED514" w14:textId="06115229" w:rsidR="00513167" w:rsidRPr="00513167" w:rsidRDefault="00513167" w:rsidP="00513167">
            <w:pPr>
              <w:pStyle w:val="NormalWeb"/>
              <w:tabs>
                <w:tab w:val="left" w:pos="1752"/>
              </w:tabs>
              <w:spacing w:line="360" w:lineRule="auto"/>
              <w:ind w:left="1140"/>
              <w:jc w:val="both"/>
              <w:rPr>
                <w:rFonts w:ascii="Century Gothic" w:hAnsi="Century Gothic"/>
              </w:rPr>
            </w:pPr>
            <w:r w:rsidRPr="00513167">
              <w:rPr>
                <w:rFonts w:ascii="Century Gothic" w:hAnsi="Century Gothic"/>
              </w:rPr>
              <w:t xml:space="preserve">Esta se puede presentar en forma horizontal, vertical ascendente o vertical descendente, ya sea en el centro de trabajo o fuera de </w:t>
            </w:r>
            <w:r w:rsidRPr="00513167">
              <w:rPr>
                <w:rFonts w:ascii="Century Gothic" w:hAnsi="Century Gothic"/>
              </w:rPr>
              <w:lastRenderedPageBreak/>
              <w:t>este, siempre que esté vinculado a la relación laboral.</w:t>
            </w:r>
          </w:p>
          <w:p w14:paraId="21CFB652" w14:textId="77777777" w:rsidR="00513167" w:rsidRPr="00513167" w:rsidRDefault="00513167" w:rsidP="00513167">
            <w:pPr>
              <w:pStyle w:val="NormalWeb"/>
              <w:numPr>
                <w:ilvl w:val="0"/>
                <w:numId w:val="7"/>
              </w:numPr>
              <w:tabs>
                <w:tab w:val="left" w:pos="1752"/>
              </w:tabs>
              <w:spacing w:line="360" w:lineRule="auto"/>
              <w:jc w:val="both"/>
              <w:rPr>
                <w:rFonts w:ascii="Century Gothic" w:hAnsi="Century Gothic"/>
              </w:rPr>
            </w:pPr>
            <w:r w:rsidRPr="00513167">
              <w:rPr>
                <w:rFonts w:ascii="Century Gothic" w:hAnsi="Century Gothic"/>
              </w:rPr>
              <w:t>Hostigamiento: El ejercicio de poder en una relación de subordinación real de la víctima frente a la persona agresora en el ámbito laboral, que se expresa en conductas verbales, físicas o ambas</w:t>
            </w:r>
          </w:p>
          <w:p w14:paraId="17342EFF" w14:textId="5652F1D6" w:rsidR="00513167" w:rsidRPr="00513167" w:rsidRDefault="00513167" w:rsidP="00513167">
            <w:pPr>
              <w:pStyle w:val="NormalWeb"/>
              <w:numPr>
                <w:ilvl w:val="0"/>
                <w:numId w:val="7"/>
              </w:numPr>
              <w:tabs>
                <w:tab w:val="left" w:pos="1752"/>
              </w:tabs>
              <w:spacing w:line="360" w:lineRule="auto"/>
              <w:jc w:val="both"/>
              <w:rPr>
                <w:rFonts w:ascii="Century Gothic" w:hAnsi="Century Gothic"/>
                <w:b/>
                <w:bCs/>
              </w:rPr>
            </w:pPr>
            <w:r w:rsidRPr="00513167">
              <w:rPr>
                <w:rFonts w:ascii="Century Gothic" w:hAnsi="Century Gothic"/>
                <w:b/>
                <w:bCs/>
              </w:rPr>
              <w:t xml:space="preserve">(NO SE PREVÉ EN </w:t>
            </w:r>
            <w:r w:rsidRPr="00513167">
              <w:rPr>
                <w:rFonts w:ascii="Century Gothic" w:hAnsi="Century Gothic"/>
                <w:b/>
                <w:bCs/>
              </w:rPr>
              <w:t>LA LEY)</w:t>
            </w:r>
          </w:p>
        </w:tc>
        <w:tc>
          <w:tcPr>
            <w:tcW w:w="4675" w:type="dxa"/>
            <w:tcBorders>
              <w:top w:val="single" w:sz="4" w:space="0" w:color="auto"/>
              <w:left w:val="single" w:sz="4" w:space="0" w:color="auto"/>
              <w:bottom w:val="single" w:sz="4" w:space="0" w:color="auto"/>
              <w:right w:val="single" w:sz="4" w:space="0" w:color="auto"/>
            </w:tcBorders>
          </w:tcPr>
          <w:p w14:paraId="4739283D" w14:textId="77777777" w:rsidR="00896633" w:rsidRPr="00513167" w:rsidRDefault="00896633" w:rsidP="00896633">
            <w:pPr>
              <w:pStyle w:val="NormalWeb"/>
              <w:tabs>
                <w:tab w:val="left" w:pos="1752"/>
              </w:tabs>
              <w:spacing w:line="360" w:lineRule="auto"/>
              <w:jc w:val="both"/>
              <w:rPr>
                <w:rFonts w:ascii="Century Gothic" w:hAnsi="Century Gothic"/>
              </w:rPr>
            </w:pPr>
            <w:r w:rsidRPr="00513167">
              <w:rPr>
                <w:rFonts w:ascii="Century Gothic" w:hAnsi="Century Gothic"/>
              </w:rPr>
              <w:lastRenderedPageBreak/>
              <w:t>ARTÍCULO 6. Las modalidades de violencia son:</w:t>
            </w:r>
          </w:p>
          <w:p w14:paraId="76C97DAE" w14:textId="77777777" w:rsidR="00896633" w:rsidRPr="00513167" w:rsidRDefault="00896633" w:rsidP="00896633">
            <w:pPr>
              <w:pStyle w:val="NormalWeb"/>
              <w:numPr>
                <w:ilvl w:val="0"/>
                <w:numId w:val="6"/>
              </w:numPr>
              <w:tabs>
                <w:tab w:val="left" w:pos="1752"/>
              </w:tabs>
              <w:spacing w:line="360" w:lineRule="auto"/>
              <w:jc w:val="both"/>
              <w:rPr>
                <w:rFonts w:ascii="Century Gothic" w:hAnsi="Century Gothic"/>
                <w:b/>
                <w:kern w:val="2"/>
                <w:u w:val="single"/>
                <w:lang w:eastAsia="en-US"/>
                <w14:ligatures w14:val="standardContextual"/>
              </w:rPr>
            </w:pPr>
            <w:r w:rsidRPr="00513167">
              <w:rPr>
                <w:rFonts w:ascii="Century Gothic" w:hAnsi="Century Gothic"/>
              </w:rPr>
              <w:t>[…].</w:t>
            </w:r>
          </w:p>
          <w:p w14:paraId="2AE76E07" w14:textId="77777777" w:rsidR="00896633" w:rsidRPr="00513167" w:rsidRDefault="00896633" w:rsidP="00896633">
            <w:pPr>
              <w:pStyle w:val="NormalWeb"/>
              <w:numPr>
                <w:ilvl w:val="0"/>
                <w:numId w:val="6"/>
              </w:numPr>
              <w:tabs>
                <w:tab w:val="left" w:pos="1752"/>
              </w:tabs>
              <w:spacing w:line="360" w:lineRule="auto"/>
              <w:jc w:val="both"/>
              <w:rPr>
                <w:rFonts w:ascii="Century Gothic" w:hAnsi="Century Gothic"/>
                <w:b/>
                <w:kern w:val="2"/>
                <w:u w:val="single"/>
                <w:lang w:eastAsia="en-US"/>
                <w14:ligatures w14:val="standardContextual"/>
              </w:rPr>
            </w:pPr>
            <w:r w:rsidRPr="00513167">
              <w:rPr>
                <w:rFonts w:ascii="Century Gothic" w:hAnsi="Century Gothic"/>
              </w:rPr>
              <w:t xml:space="preserve"> […].</w:t>
            </w:r>
          </w:p>
          <w:p w14:paraId="0B74D917" w14:textId="741ED4C8" w:rsidR="00896633" w:rsidRPr="00513167" w:rsidRDefault="00896633" w:rsidP="00896633">
            <w:pPr>
              <w:pStyle w:val="NormalWeb"/>
              <w:numPr>
                <w:ilvl w:val="0"/>
                <w:numId w:val="6"/>
              </w:numPr>
              <w:tabs>
                <w:tab w:val="left" w:pos="1752"/>
              </w:tabs>
              <w:spacing w:line="360" w:lineRule="auto"/>
              <w:jc w:val="both"/>
              <w:rPr>
                <w:rFonts w:ascii="Century Gothic" w:hAnsi="Century Gothic"/>
                <w:b/>
                <w:kern w:val="2"/>
                <w:u w:val="single"/>
                <w:lang w:eastAsia="en-US"/>
                <w14:ligatures w14:val="standardContextual"/>
              </w:rPr>
            </w:pPr>
            <w:r w:rsidRPr="00513167">
              <w:rPr>
                <w:rFonts w:ascii="Century Gothic" w:hAnsi="Century Gothic"/>
              </w:rPr>
              <w:t>Es todo acto de acoso,</w:t>
            </w:r>
            <w:r w:rsidRPr="00513167">
              <w:rPr>
                <w:rFonts w:ascii="Century Gothic" w:hAnsi="Century Gothic"/>
              </w:rPr>
              <w:t xml:space="preserve"> </w:t>
            </w:r>
            <w:r w:rsidRPr="00513167">
              <w:rPr>
                <w:rFonts w:ascii="Century Gothic" w:hAnsi="Century Gothic"/>
                <w:b/>
                <w:bCs/>
                <w:highlight w:val="yellow"/>
              </w:rPr>
              <w:t>acecho,</w:t>
            </w:r>
            <w:r w:rsidRPr="00513167">
              <w:rPr>
                <w:rFonts w:ascii="Century Gothic" w:hAnsi="Century Gothic"/>
              </w:rPr>
              <w:t xml:space="preserve"> hostigamiento u omisión ejercido por cualquier persona que tiene un vínculo laboral, docente o análogo con la víctima, a fin de dañar su dignidad, autoestima, salud, integridad, libertad y seguridad, tendiente a impedir su desarrollo y atentar contra la igualdad.</w:t>
            </w:r>
          </w:p>
          <w:p w14:paraId="0BD64490" w14:textId="77777777" w:rsidR="00896633" w:rsidRDefault="00896633" w:rsidP="00896633">
            <w:pPr>
              <w:pStyle w:val="NormalWeb"/>
              <w:tabs>
                <w:tab w:val="left" w:pos="1752"/>
              </w:tabs>
              <w:spacing w:line="360" w:lineRule="auto"/>
              <w:ind w:left="780"/>
              <w:jc w:val="both"/>
              <w:rPr>
                <w:rFonts w:ascii="Century Gothic" w:hAnsi="Century Gothic"/>
              </w:rPr>
            </w:pPr>
            <w:r w:rsidRPr="00513167">
              <w:rPr>
                <w:rFonts w:ascii="Century Gothic" w:hAnsi="Century Gothic"/>
              </w:rPr>
              <w:t xml:space="preserve">Puede consistir en un solo evento dañino o en una serie de eventos cuya suma produce el daño. También </w:t>
            </w:r>
            <w:r w:rsidRPr="00513167">
              <w:rPr>
                <w:rFonts w:ascii="Century Gothic" w:hAnsi="Century Gothic"/>
              </w:rPr>
              <w:lastRenderedPageBreak/>
              <w:t>incluye el acoso</w:t>
            </w:r>
            <w:r w:rsidRPr="00513167">
              <w:rPr>
                <w:rFonts w:ascii="Century Gothic" w:hAnsi="Century Gothic"/>
              </w:rPr>
              <w:t xml:space="preserve">, </w:t>
            </w:r>
            <w:r w:rsidRPr="00513167">
              <w:rPr>
                <w:rFonts w:ascii="Century Gothic" w:hAnsi="Century Gothic"/>
                <w:highlight w:val="yellow"/>
              </w:rPr>
              <w:t>el acecho</w:t>
            </w:r>
            <w:r w:rsidRPr="00513167">
              <w:rPr>
                <w:rFonts w:ascii="Century Gothic" w:hAnsi="Century Gothic"/>
              </w:rPr>
              <w:t xml:space="preserve"> </w:t>
            </w:r>
            <w:r w:rsidRPr="00513167">
              <w:rPr>
                <w:rFonts w:ascii="Century Gothic" w:hAnsi="Century Gothic"/>
              </w:rPr>
              <w:t>o el hostigamiento sexual.</w:t>
            </w:r>
          </w:p>
          <w:p w14:paraId="361111E5" w14:textId="77777777" w:rsidR="00513167" w:rsidRPr="00513167" w:rsidRDefault="00513167" w:rsidP="00513167">
            <w:pPr>
              <w:pStyle w:val="NormalWeb"/>
              <w:tabs>
                <w:tab w:val="left" w:pos="1752"/>
              </w:tabs>
              <w:spacing w:line="360" w:lineRule="auto"/>
              <w:ind w:left="780"/>
              <w:jc w:val="both"/>
              <w:rPr>
                <w:rFonts w:ascii="Century Gothic" w:hAnsi="Century Gothic"/>
              </w:rPr>
            </w:pPr>
            <w:r w:rsidRPr="00513167">
              <w:rPr>
                <w:rFonts w:ascii="Century Gothic" w:hAnsi="Century Gothic"/>
              </w:rPr>
              <w:t xml:space="preserve">Para efectos de lo anterior, se entiende por: </w:t>
            </w:r>
          </w:p>
          <w:p w14:paraId="47E83FE7" w14:textId="77777777" w:rsidR="00513167" w:rsidRPr="00513167" w:rsidRDefault="00513167" w:rsidP="00513167">
            <w:pPr>
              <w:pStyle w:val="NormalWeb"/>
              <w:numPr>
                <w:ilvl w:val="0"/>
                <w:numId w:val="8"/>
              </w:numPr>
              <w:tabs>
                <w:tab w:val="left" w:pos="1752"/>
              </w:tabs>
              <w:spacing w:line="360" w:lineRule="auto"/>
              <w:jc w:val="both"/>
              <w:rPr>
                <w:rFonts w:ascii="Century Gothic" w:hAnsi="Century Gothic"/>
              </w:rPr>
            </w:pPr>
            <w:r w:rsidRPr="00513167">
              <w:rPr>
                <w:rFonts w:ascii="Century Gothic" w:hAnsi="Century Gothic"/>
              </w:rPr>
              <w:t xml:space="preserve">Acoso: Forma de violencia que se presenta en una serie de eventos que tienen como objetivo intimidar, excluir, opacar, aplanar, amedrentar o consumir emocional o intelectualmente a la víctima, causando un daño físico, psicológico, económico y laboral-profesional. </w:t>
            </w:r>
          </w:p>
          <w:p w14:paraId="33E86639" w14:textId="77777777" w:rsidR="00513167" w:rsidRPr="00513167" w:rsidRDefault="00513167" w:rsidP="00513167">
            <w:pPr>
              <w:pStyle w:val="NormalWeb"/>
              <w:tabs>
                <w:tab w:val="left" w:pos="1752"/>
              </w:tabs>
              <w:spacing w:line="360" w:lineRule="auto"/>
              <w:ind w:left="1140"/>
              <w:jc w:val="both"/>
              <w:rPr>
                <w:rFonts w:ascii="Century Gothic" w:hAnsi="Century Gothic"/>
              </w:rPr>
            </w:pPr>
            <w:r w:rsidRPr="00513167">
              <w:rPr>
                <w:rFonts w:ascii="Century Gothic" w:hAnsi="Century Gothic"/>
              </w:rPr>
              <w:t xml:space="preserve">Esta se puede presentar en forma horizontal, vertical ascendente o vertical descendente, ya sea en el centro de trabajo o fuera de </w:t>
            </w:r>
            <w:r w:rsidRPr="00513167">
              <w:rPr>
                <w:rFonts w:ascii="Century Gothic" w:hAnsi="Century Gothic"/>
              </w:rPr>
              <w:lastRenderedPageBreak/>
              <w:t>este, siempre que esté vinculado a la relación laboral.</w:t>
            </w:r>
          </w:p>
          <w:p w14:paraId="4320CE84" w14:textId="7E6A5AE2" w:rsidR="00513167" w:rsidRDefault="00513167" w:rsidP="00513167">
            <w:pPr>
              <w:pStyle w:val="NormalWeb"/>
              <w:numPr>
                <w:ilvl w:val="0"/>
                <w:numId w:val="8"/>
              </w:numPr>
              <w:tabs>
                <w:tab w:val="left" w:pos="1752"/>
              </w:tabs>
              <w:spacing w:line="360" w:lineRule="auto"/>
              <w:jc w:val="both"/>
              <w:rPr>
                <w:rFonts w:ascii="Century Gothic" w:hAnsi="Century Gothic"/>
              </w:rPr>
            </w:pPr>
            <w:r w:rsidRPr="009803C3">
              <w:rPr>
                <w:rFonts w:ascii="Century Gothic" w:hAnsi="Century Gothic"/>
                <w:highlight w:val="yellow"/>
              </w:rPr>
              <w:t>Acecho:</w:t>
            </w:r>
            <w:r w:rsidR="009803C3" w:rsidRPr="009803C3">
              <w:rPr>
                <w:rFonts w:ascii="Century Gothic" w:hAnsi="Century Gothic"/>
                <w:highlight w:val="yellow"/>
              </w:rPr>
              <w:t xml:space="preserve"> </w:t>
            </w:r>
            <w:r w:rsidR="009803C3" w:rsidRPr="009803C3">
              <w:rPr>
                <w:rFonts w:ascii="Century Gothic" w:hAnsi="Century Gothic"/>
                <w:highlight w:val="yellow"/>
              </w:rPr>
              <w:t>Conducta reiterada o sistemática que incluye seguimiento físico, vigilancia, contacto insistente o intromisión en la vida privada de la víctima, realizada por cualquier medio, ya sea presencial,</w:t>
            </w:r>
            <w:r w:rsidR="009803C3" w:rsidRPr="009803C3">
              <w:rPr>
                <w:rFonts w:ascii="Century Gothic" w:hAnsi="Century Gothic"/>
              </w:rPr>
              <w:t xml:space="preserve"> </w:t>
            </w:r>
            <w:r w:rsidR="009803C3" w:rsidRPr="009803C3">
              <w:rPr>
                <w:rFonts w:ascii="Century Gothic" w:hAnsi="Century Gothic"/>
                <w:highlight w:val="yellow"/>
              </w:rPr>
              <w:t>digital o a través de terceros, que genere un estado de temor fundado, perturbación emocional o vulneración de su privacidad, libertad o seguridad personal.</w:t>
            </w:r>
          </w:p>
          <w:p w14:paraId="47FB9EFD" w14:textId="4AE4E192" w:rsidR="00513167" w:rsidRPr="00373653" w:rsidRDefault="00513167" w:rsidP="00373653">
            <w:pPr>
              <w:pStyle w:val="NormalWeb"/>
              <w:numPr>
                <w:ilvl w:val="0"/>
                <w:numId w:val="8"/>
              </w:numPr>
              <w:tabs>
                <w:tab w:val="left" w:pos="1752"/>
              </w:tabs>
              <w:spacing w:line="360" w:lineRule="auto"/>
              <w:jc w:val="both"/>
              <w:rPr>
                <w:rFonts w:ascii="Century Gothic" w:hAnsi="Century Gothic"/>
              </w:rPr>
            </w:pPr>
            <w:r w:rsidRPr="009803C3">
              <w:rPr>
                <w:rFonts w:ascii="Century Gothic" w:hAnsi="Century Gothic"/>
              </w:rPr>
              <w:t>Hostigamiento</w:t>
            </w:r>
            <w:r w:rsidRPr="009803C3">
              <w:rPr>
                <w:rFonts w:ascii="Century Gothic" w:hAnsi="Century Gothic"/>
                <w:highlight w:val="yellow"/>
              </w:rPr>
              <w:t>:</w:t>
            </w:r>
            <w:r w:rsidRPr="00513167">
              <w:rPr>
                <w:rFonts w:ascii="Century Gothic" w:hAnsi="Century Gothic"/>
              </w:rPr>
              <w:t xml:space="preserve"> El ejercicio de poder en una relación de subordinación real de la víctima frente a la persona </w:t>
            </w:r>
            <w:r w:rsidRPr="00513167">
              <w:rPr>
                <w:rFonts w:ascii="Century Gothic" w:hAnsi="Century Gothic"/>
              </w:rPr>
              <w:lastRenderedPageBreak/>
              <w:t>agresora en el ámbito laboral, que se expresa en conductas verbales, físicas o ambas</w:t>
            </w:r>
          </w:p>
        </w:tc>
      </w:tr>
      <w:tr w:rsidR="009803C3" w:rsidRPr="00513167" w14:paraId="359220F0" w14:textId="77777777" w:rsidTr="00896633">
        <w:tc>
          <w:tcPr>
            <w:tcW w:w="4675" w:type="dxa"/>
            <w:tcBorders>
              <w:top w:val="single" w:sz="4" w:space="0" w:color="auto"/>
              <w:left w:val="single" w:sz="4" w:space="0" w:color="auto"/>
              <w:bottom w:val="single" w:sz="4" w:space="0" w:color="auto"/>
              <w:right w:val="single" w:sz="4" w:space="0" w:color="auto"/>
            </w:tcBorders>
          </w:tcPr>
          <w:p w14:paraId="5732F4D4" w14:textId="77777777" w:rsidR="009803C3" w:rsidRDefault="009803C3" w:rsidP="009803C3">
            <w:pPr>
              <w:pStyle w:val="NormalWeb"/>
              <w:tabs>
                <w:tab w:val="left" w:pos="1752"/>
              </w:tabs>
              <w:spacing w:line="360" w:lineRule="auto"/>
              <w:jc w:val="both"/>
              <w:rPr>
                <w:rFonts w:ascii="Century Gothic" w:hAnsi="Century Gothic"/>
              </w:rPr>
            </w:pPr>
            <w:r w:rsidRPr="009803C3">
              <w:rPr>
                <w:rFonts w:ascii="Century Gothic" w:hAnsi="Century Gothic"/>
              </w:rPr>
              <w:lastRenderedPageBreak/>
              <w:t>ARTÍCULO 27. Son atribuciones y obligaciones del Estado:</w:t>
            </w:r>
          </w:p>
          <w:p w14:paraId="3136F590" w14:textId="77777777" w:rsidR="009803C3" w:rsidRDefault="009803C3" w:rsidP="009803C3">
            <w:pPr>
              <w:pStyle w:val="NormalWeb"/>
              <w:tabs>
                <w:tab w:val="left" w:pos="1752"/>
              </w:tabs>
              <w:spacing w:line="360" w:lineRule="auto"/>
              <w:jc w:val="both"/>
              <w:rPr>
                <w:rFonts w:ascii="Century Gothic" w:hAnsi="Century Gothic"/>
              </w:rPr>
            </w:pPr>
            <w:r>
              <w:rPr>
                <w:rFonts w:ascii="Century Gothic" w:hAnsi="Century Gothic"/>
              </w:rPr>
              <w:t>I a la V […]</w:t>
            </w:r>
          </w:p>
          <w:p w14:paraId="7FD40577" w14:textId="77777777" w:rsidR="009803C3" w:rsidRDefault="009803C3" w:rsidP="009803C3">
            <w:pPr>
              <w:pStyle w:val="NormalWeb"/>
              <w:tabs>
                <w:tab w:val="left" w:pos="1752"/>
              </w:tabs>
              <w:spacing w:line="360" w:lineRule="auto"/>
              <w:jc w:val="both"/>
              <w:rPr>
                <w:rFonts w:ascii="Century Gothic" w:hAnsi="Century Gothic"/>
              </w:rPr>
            </w:pPr>
            <w:r w:rsidRPr="009803C3">
              <w:rPr>
                <w:rFonts w:ascii="Century Gothic" w:hAnsi="Century Gothic"/>
              </w:rPr>
              <w:t>VI. Realizar, a través de los diversos medios de comunicación, campañas de sensibilización</w:t>
            </w:r>
            <w:r>
              <w:rPr>
                <w:rFonts w:ascii="Century Gothic" w:hAnsi="Century Gothic"/>
              </w:rPr>
              <w:t xml:space="preserve"> </w:t>
            </w:r>
            <w:r w:rsidRPr="009803C3">
              <w:rPr>
                <w:rFonts w:ascii="Century Gothic" w:hAnsi="Century Gothic"/>
              </w:rPr>
              <w:t>sobre la violencia contra las mujeres, con la finalidad de informar a la población, y en</w:t>
            </w:r>
            <w:r>
              <w:rPr>
                <w:rFonts w:ascii="Century Gothic" w:hAnsi="Century Gothic"/>
              </w:rPr>
              <w:t xml:space="preserve"> </w:t>
            </w:r>
            <w:r w:rsidRPr="009803C3">
              <w:rPr>
                <w:rFonts w:ascii="Century Gothic" w:hAnsi="Century Gothic"/>
              </w:rPr>
              <w:t>especial a las mujeres, sobre las leyes que las protegen, las medidas y programas que les</w:t>
            </w:r>
            <w:r>
              <w:rPr>
                <w:rFonts w:ascii="Century Gothic" w:hAnsi="Century Gothic"/>
              </w:rPr>
              <w:t xml:space="preserve"> </w:t>
            </w:r>
            <w:r w:rsidRPr="009803C3">
              <w:rPr>
                <w:rFonts w:ascii="Century Gothic" w:hAnsi="Century Gothic"/>
              </w:rPr>
              <w:t>asisten y los recursos disponibles, así como efectuar campañas dirigidas a incentivar las</w:t>
            </w:r>
            <w:r>
              <w:rPr>
                <w:rFonts w:ascii="Century Gothic" w:hAnsi="Century Gothic"/>
              </w:rPr>
              <w:t xml:space="preserve"> </w:t>
            </w:r>
            <w:r w:rsidRPr="009803C3">
              <w:rPr>
                <w:rFonts w:ascii="Century Gothic" w:hAnsi="Century Gothic"/>
              </w:rPr>
              <w:t xml:space="preserve">denuncias de cualquier tipo de violencia, agresión o acoso contra </w:t>
            </w:r>
            <w:r w:rsidRPr="009803C3">
              <w:rPr>
                <w:rFonts w:ascii="Century Gothic" w:hAnsi="Century Gothic"/>
              </w:rPr>
              <w:lastRenderedPageBreak/>
              <w:t>niñas y adolescentes y de</w:t>
            </w:r>
            <w:r>
              <w:rPr>
                <w:rFonts w:ascii="Century Gothic" w:hAnsi="Century Gothic"/>
              </w:rPr>
              <w:t xml:space="preserve"> </w:t>
            </w:r>
            <w:r w:rsidRPr="009803C3">
              <w:rPr>
                <w:rFonts w:ascii="Century Gothic" w:hAnsi="Century Gothic"/>
              </w:rPr>
              <w:t xml:space="preserve">prevención de la violencia en este grupo etario. </w:t>
            </w:r>
          </w:p>
          <w:p w14:paraId="759C511F" w14:textId="4AB09E50" w:rsidR="009803C3" w:rsidRPr="00513167" w:rsidRDefault="009803C3" w:rsidP="009803C3">
            <w:pPr>
              <w:pStyle w:val="NormalWeb"/>
              <w:tabs>
                <w:tab w:val="left" w:pos="1752"/>
              </w:tabs>
              <w:spacing w:line="360" w:lineRule="auto"/>
              <w:jc w:val="both"/>
              <w:rPr>
                <w:rFonts w:ascii="Century Gothic" w:hAnsi="Century Gothic"/>
              </w:rPr>
            </w:pPr>
            <w:r>
              <w:rPr>
                <w:rFonts w:ascii="Century Gothic" w:hAnsi="Century Gothic"/>
              </w:rPr>
              <w:t>[…]</w:t>
            </w:r>
          </w:p>
        </w:tc>
        <w:tc>
          <w:tcPr>
            <w:tcW w:w="4675" w:type="dxa"/>
            <w:tcBorders>
              <w:top w:val="single" w:sz="4" w:space="0" w:color="auto"/>
              <w:left w:val="single" w:sz="4" w:space="0" w:color="auto"/>
              <w:bottom w:val="single" w:sz="4" w:space="0" w:color="auto"/>
              <w:right w:val="single" w:sz="4" w:space="0" w:color="auto"/>
            </w:tcBorders>
          </w:tcPr>
          <w:p w14:paraId="4D446243" w14:textId="77777777" w:rsidR="009803C3" w:rsidRDefault="009803C3" w:rsidP="009803C3">
            <w:pPr>
              <w:pStyle w:val="NormalWeb"/>
              <w:tabs>
                <w:tab w:val="left" w:pos="1752"/>
              </w:tabs>
              <w:spacing w:line="360" w:lineRule="auto"/>
              <w:jc w:val="both"/>
              <w:rPr>
                <w:rFonts w:ascii="Century Gothic" w:hAnsi="Century Gothic"/>
              </w:rPr>
            </w:pPr>
            <w:r w:rsidRPr="009803C3">
              <w:rPr>
                <w:rFonts w:ascii="Century Gothic" w:hAnsi="Century Gothic"/>
              </w:rPr>
              <w:lastRenderedPageBreak/>
              <w:t>ARTÍCULO 27. Son atribuciones y obligaciones del Estado:</w:t>
            </w:r>
          </w:p>
          <w:p w14:paraId="537A93FB" w14:textId="77777777" w:rsidR="009803C3" w:rsidRDefault="009803C3" w:rsidP="009803C3">
            <w:pPr>
              <w:pStyle w:val="NormalWeb"/>
              <w:tabs>
                <w:tab w:val="left" w:pos="1752"/>
              </w:tabs>
              <w:spacing w:line="360" w:lineRule="auto"/>
              <w:jc w:val="both"/>
              <w:rPr>
                <w:rFonts w:ascii="Century Gothic" w:hAnsi="Century Gothic"/>
              </w:rPr>
            </w:pPr>
            <w:r>
              <w:rPr>
                <w:rFonts w:ascii="Century Gothic" w:hAnsi="Century Gothic"/>
              </w:rPr>
              <w:t>I a la V […]</w:t>
            </w:r>
          </w:p>
          <w:p w14:paraId="208BF6C0" w14:textId="16F0788C" w:rsidR="009803C3" w:rsidRDefault="009803C3" w:rsidP="009803C3">
            <w:pPr>
              <w:pStyle w:val="NormalWeb"/>
              <w:tabs>
                <w:tab w:val="left" w:pos="1752"/>
              </w:tabs>
              <w:spacing w:line="360" w:lineRule="auto"/>
              <w:jc w:val="both"/>
              <w:rPr>
                <w:rFonts w:ascii="Century Gothic" w:hAnsi="Century Gothic"/>
              </w:rPr>
            </w:pPr>
            <w:r w:rsidRPr="009803C3">
              <w:rPr>
                <w:rFonts w:ascii="Century Gothic" w:hAnsi="Century Gothic"/>
              </w:rPr>
              <w:t xml:space="preserve">VI. VI. Realizar, a través de los diversos medios de comunicación, campañas de sensibilización sobre la violencia contra las mujeres, </w:t>
            </w:r>
            <w:r w:rsidRPr="009803C3">
              <w:rPr>
                <w:rFonts w:ascii="Century Gothic" w:hAnsi="Century Gothic"/>
                <w:highlight w:val="yellow"/>
              </w:rPr>
              <w:t>incluyendo el acecho,</w:t>
            </w:r>
            <w:r w:rsidRPr="009803C3">
              <w:rPr>
                <w:rFonts w:ascii="Century Gothic" w:hAnsi="Century Gothic"/>
              </w:rPr>
              <w:t xml:space="preserve"> con la finalidad de informar a la población, y en especial a las mujeres, sobre las leyes que las protegen, las medidas y programas que les asisten y los recursos disponibles, así como efectuar campañas dirigidas a incentivar las denuncias de cualquier tipo de violencia, agresión o acoso contra </w:t>
            </w:r>
            <w:r w:rsidRPr="009803C3">
              <w:rPr>
                <w:rFonts w:ascii="Century Gothic" w:hAnsi="Century Gothic"/>
              </w:rPr>
              <w:lastRenderedPageBreak/>
              <w:t>niñas y adolescentes y de prevención de la violencia en este grupo etario.</w:t>
            </w:r>
          </w:p>
          <w:p w14:paraId="3A56F8C3" w14:textId="3485F32D" w:rsidR="009803C3" w:rsidRPr="00513167" w:rsidRDefault="009803C3" w:rsidP="009803C3">
            <w:pPr>
              <w:pStyle w:val="NormalWeb"/>
              <w:spacing w:line="360" w:lineRule="auto"/>
              <w:jc w:val="both"/>
              <w:rPr>
                <w:rFonts w:ascii="Century Gothic" w:hAnsi="Century Gothic"/>
              </w:rPr>
            </w:pPr>
            <w:r>
              <w:rPr>
                <w:rFonts w:ascii="Century Gothic" w:hAnsi="Century Gothic"/>
              </w:rPr>
              <w:t>[…]</w:t>
            </w:r>
          </w:p>
        </w:tc>
      </w:tr>
      <w:tr w:rsidR="00373653" w:rsidRPr="00513167" w14:paraId="772D4C6F" w14:textId="77777777" w:rsidTr="00896633">
        <w:tc>
          <w:tcPr>
            <w:tcW w:w="4675" w:type="dxa"/>
            <w:tcBorders>
              <w:top w:val="single" w:sz="4" w:space="0" w:color="auto"/>
              <w:left w:val="single" w:sz="4" w:space="0" w:color="auto"/>
              <w:bottom w:val="single" w:sz="4" w:space="0" w:color="auto"/>
              <w:right w:val="single" w:sz="4" w:space="0" w:color="auto"/>
            </w:tcBorders>
          </w:tcPr>
          <w:p w14:paraId="5010E689" w14:textId="77777777" w:rsidR="00373653" w:rsidRDefault="00373653" w:rsidP="00373653">
            <w:pPr>
              <w:pStyle w:val="NormalWeb"/>
              <w:tabs>
                <w:tab w:val="left" w:pos="1752"/>
              </w:tabs>
              <w:spacing w:line="360" w:lineRule="auto"/>
              <w:jc w:val="both"/>
              <w:rPr>
                <w:rFonts w:ascii="Century Gothic" w:hAnsi="Century Gothic"/>
              </w:rPr>
            </w:pPr>
            <w:r w:rsidRPr="009803C3">
              <w:rPr>
                <w:rFonts w:ascii="Century Gothic" w:hAnsi="Century Gothic"/>
              </w:rPr>
              <w:lastRenderedPageBreak/>
              <w:t>ARTÍCULO 29. Corresponde al Instituto Chihuahuense de las Mujeres.</w:t>
            </w:r>
          </w:p>
          <w:p w14:paraId="03B3039E" w14:textId="77777777" w:rsidR="00373653" w:rsidRDefault="00373653" w:rsidP="00373653">
            <w:pPr>
              <w:pStyle w:val="NormalWeb"/>
              <w:tabs>
                <w:tab w:val="left" w:pos="1752"/>
              </w:tabs>
              <w:spacing w:line="360" w:lineRule="auto"/>
              <w:jc w:val="both"/>
              <w:rPr>
                <w:rFonts w:ascii="Century Gothic" w:hAnsi="Century Gothic"/>
              </w:rPr>
            </w:pPr>
            <w:r>
              <w:rPr>
                <w:rFonts w:ascii="Century Gothic" w:hAnsi="Century Gothic"/>
              </w:rPr>
              <w:t xml:space="preserve">I a la XX […] </w:t>
            </w:r>
          </w:p>
          <w:p w14:paraId="567E2F0A" w14:textId="5BFD95EE" w:rsidR="00373653" w:rsidRDefault="00373653" w:rsidP="00373653">
            <w:pPr>
              <w:pStyle w:val="NormalWeb"/>
              <w:tabs>
                <w:tab w:val="left" w:pos="1752"/>
              </w:tabs>
              <w:spacing w:line="360" w:lineRule="auto"/>
              <w:jc w:val="both"/>
              <w:rPr>
                <w:rFonts w:ascii="Century Gothic" w:hAnsi="Century Gothic"/>
              </w:rPr>
            </w:pPr>
            <w:r w:rsidRPr="009803C3">
              <w:rPr>
                <w:rFonts w:ascii="Century Gothic" w:hAnsi="Century Gothic"/>
              </w:rPr>
              <w:t>XXI. Establecer mecanismos, en el ámbito de su competencia, que favorezcan la prevención,</w:t>
            </w:r>
            <w:r>
              <w:rPr>
                <w:rFonts w:ascii="Century Gothic" w:hAnsi="Century Gothic"/>
              </w:rPr>
              <w:t xml:space="preserve"> </w:t>
            </w:r>
            <w:r w:rsidRPr="009803C3">
              <w:rPr>
                <w:rFonts w:ascii="Century Gothic" w:hAnsi="Century Gothic"/>
              </w:rPr>
              <w:t>atención, sanción y erradicación del acoso y hostigamiento sexual en contra de las mujeres.</w:t>
            </w:r>
            <w:r>
              <w:rPr>
                <w:rFonts w:ascii="Century Gothic" w:hAnsi="Century Gothic"/>
              </w:rPr>
              <w:t xml:space="preserve"> </w:t>
            </w:r>
            <w:r w:rsidRPr="009803C3">
              <w:rPr>
                <w:rFonts w:ascii="Century Gothic" w:hAnsi="Century Gothic"/>
              </w:rPr>
              <w:t xml:space="preserve">Para lo cual podrá celebrar acuerdos y convenios con instituciones públicas o privadas. </w:t>
            </w:r>
          </w:p>
          <w:p w14:paraId="1163DE06" w14:textId="6B280827" w:rsidR="00373653" w:rsidRPr="009803C3" w:rsidRDefault="00373653" w:rsidP="00373653">
            <w:pPr>
              <w:pStyle w:val="NormalWeb"/>
              <w:tabs>
                <w:tab w:val="left" w:pos="1752"/>
              </w:tabs>
              <w:spacing w:line="360" w:lineRule="auto"/>
              <w:jc w:val="both"/>
              <w:rPr>
                <w:rFonts w:ascii="Century Gothic" w:hAnsi="Century Gothic"/>
              </w:rPr>
            </w:pPr>
            <w:r>
              <w:rPr>
                <w:rFonts w:ascii="Century Gothic" w:hAnsi="Century Gothic"/>
              </w:rPr>
              <w:t>[…]</w:t>
            </w:r>
          </w:p>
        </w:tc>
        <w:tc>
          <w:tcPr>
            <w:tcW w:w="4675" w:type="dxa"/>
            <w:tcBorders>
              <w:top w:val="single" w:sz="4" w:space="0" w:color="auto"/>
              <w:left w:val="single" w:sz="4" w:space="0" w:color="auto"/>
              <w:bottom w:val="single" w:sz="4" w:space="0" w:color="auto"/>
              <w:right w:val="single" w:sz="4" w:space="0" w:color="auto"/>
            </w:tcBorders>
          </w:tcPr>
          <w:p w14:paraId="7E10117D" w14:textId="77777777" w:rsidR="00373653" w:rsidRDefault="00373653" w:rsidP="00373653">
            <w:pPr>
              <w:pStyle w:val="NormalWeb"/>
              <w:tabs>
                <w:tab w:val="left" w:pos="1752"/>
              </w:tabs>
              <w:spacing w:line="360" w:lineRule="auto"/>
              <w:jc w:val="both"/>
              <w:rPr>
                <w:rFonts w:ascii="Century Gothic" w:hAnsi="Century Gothic"/>
              </w:rPr>
            </w:pPr>
            <w:r w:rsidRPr="009803C3">
              <w:rPr>
                <w:rFonts w:ascii="Century Gothic" w:hAnsi="Century Gothic"/>
              </w:rPr>
              <w:t>ARTÍCULO 29. Corresponde al Instituto Chihuahuense de las Mujeres.</w:t>
            </w:r>
          </w:p>
          <w:p w14:paraId="497BF307" w14:textId="77777777" w:rsidR="00373653" w:rsidRDefault="00373653" w:rsidP="00373653">
            <w:pPr>
              <w:pStyle w:val="NormalWeb"/>
              <w:tabs>
                <w:tab w:val="left" w:pos="1752"/>
              </w:tabs>
              <w:spacing w:line="360" w:lineRule="auto"/>
              <w:jc w:val="both"/>
              <w:rPr>
                <w:rFonts w:ascii="Century Gothic" w:hAnsi="Century Gothic"/>
              </w:rPr>
            </w:pPr>
            <w:r>
              <w:rPr>
                <w:rFonts w:ascii="Century Gothic" w:hAnsi="Century Gothic"/>
              </w:rPr>
              <w:t xml:space="preserve">I a la XX […] </w:t>
            </w:r>
          </w:p>
          <w:p w14:paraId="013E57B1" w14:textId="33B6D592" w:rsidR="00373653" w:rsidRDefault="00373653" w:rsidP="00373653">
            <w:pPr>
              <w:pStyle w:val="NormalWeb"/>
              <w:tabs>
                <w:tab w:val="left" w:pos="1752"/>
              </w:tabs>
              <w:spacing w:line="360" w:lineRule="auto"/>
              <w:jc w:val="both"/>
              <w:rPr>
                <w:rFonts w:ascii="Century Gothic" w:hAnsi="Century Gothic"/>
              </w:rPr>
            </w:pPr>
            <w:r w:rsidRPr="009803C3">
              <w:rPr>
                <w:rFonts w:ascii="Century Gothic" w:hAnsi="Century Gothic"/>
              </w:rPr>
              <w:t>XXI. Establecer mecanismos, en el ámbito de su competencia, que favorezcan la prevención,</w:t>
            </w:r>
            <w:r>
              <w:rPr>
                <w:rFonts w:ascii="Century Gothic" w:hAnsi="Century Gothic"/>
              </w:rPr>
              <w:t xml:space="preserve"> </w:t>
            </w:r>
            <w:r w:rsidRPr="009803C3">
              <w:rPr>
                <w:rFonts w:ascii="Century Gothic" w:hAnsi="Century Gothic"/>
              </w:rPr>
              <w:t>atención, sanción y erradicación del acoso</w:t>
            </w:r>
            <w:r>
              <w:rPr>
                <w:rFonts w:ascii="Century Gothic" w:hAnsi="Century Gothic"/>
              </w:rPr>
              <w:t xml:space="preserve">, </w:t>
            </w:r>
            <w:r w:rsidRPr="00373653">
              <w:rPr>
                <w:rFonts w:ascii="Century Gothic" w:hAnsi="Century Gothic"/>
                <w:b/>
                <w:bCs/>
                <w:highlight w:val="yellow"/>
              </w:rPr>
              <w:t>el acecho</w:t>
            </w:r>
            <w:r w:rsidRPr="009803C3">
              <w:rPr>
                <w:rFonts w:ascii="Century Gothic" w:hAnsi="Century Gothic"/>
              </w:rPr>
              <w:t xml:space="preserve"> y hostigamiento sexual en contra de las mujeres.</w:t>
            </w:r>
            <w:r>
              <w:rPr>
                <w:rFonts w:ascii="Century Gothic" w:hAnsi="Century Gothic"/>
              </w:rPr>
              <w:t xml:space="preserve"> </w:t>
            </w:r>
            <w:r w:rsidRPr="009803C3">
              <w:rPr>
                <w:rFonts w:ascii="Century Gothic" w:hAnsi="Century Gothic"/>
              </w:rPr>
              <w:t xml:space="preserve">Para lo cual podrá celebrar acuerdos y convenios con instituciones públicas o privadas. </w:t>
            </w:r>
          </w:p>
          <w:p w14:paraId="3F493970" w14:textId="4FB6CEA2" w:rsidR="00373653" w:rsidRPr="009803C3" w:rsidRDefault="00373653" w:rsidP="00373653">
            <w:pPr>
              <w:pStyle w:val="NormalWeb"/>
              <w:tabs>
                <w:tab w:val="left" w:pos="1752"/>
              </w:tabs>
              <w:spacing w:line="360" w:lineRule="auto"/>
              <w:jc w:val="both"/>
              <w:rPr>
                <w:rFonts w:ascii="Century Gothic" w:hAnsi="Century Gothic"/>
              </w:rPr>
            </w:pPr>
            <w:r>
              <w:rPr>
                <w:rFonts w:ascii="Century Gothic" w:hAnsi="Century Gothic"/>
              </w:rPr>
              <w:t>[…]</w:t>
            </w:r>
          </w:p>
        </w:tc>
      </w:tr>
      <w:tr w:rsidR="00373653" w:rsidRPr="00513167" w14:paraId="0976F17D" w14:textId="77777777" w:rsidTr="00896633">
        <w:tc>
          <w:tcPr>
            <w:tcW w:w="4675" w:type="dxa"/>
            <w:tcBorders>
              <w:top w:val="single" w:sz="4" w:space="0" w:color="auto"/>
              <w:left w:val="single" w:sz="4" w:space="0" w:color="auto"/>
              <w:bottom w:val="single" w:sz="4" w:space="0" w:color="auto"/>
              <w:right w:val="single" w:sz="4" w:space="0" w:color="auto"/>
            </w:tcBorders>
          </w:tcPr>
          <w:p w14:paraId="0B19F39A" w14:textId="77777777" w:rsidR="00373653" w:rsidRDefault="00373653" w:rsidP="00373653">
            <w:pPr>
              <w:pStyle w:val="NormalWeb"/>
              <w:tabs>
                <w:tab w:val="left" w:pos="1752"/>
              </w:tabs>
              <w:spacing w:line="360" w:lineRule="auto"/>
              <w:jc w:val="both"/>
              <w:rPr>
                <w:rFonts w:ascii="Century Gothic" w:hAnsi="Century Gothic"/>
              </w:rPr>
            </w:pPr>
            <w:r w:rsidRPr="00373653">
              <w:rPr>
                <w:rFonts w:ascii="Century Gothic" w:hAnsi="Century Gothic"/>
              </w:rPr>
              <w:t>ARTÍCULO 32. Corresponde a la Secretaría de Educación y Deporte:</w:t>
            </w:r>
          </w:p>
          <w:p w14:paraId="3A57CC12" w14:textId="77777777" w:rsidR="00373653" w:rsidRDefault="00373653" w:rsidP="00373653">
            <w:pPr>
              <w:pStyle w:val="NormalWeb"/>
              <w:tabs>
                <w:tab w:val="left" w:pos="1752"/>
              </w:tabs>
              <w:spacing w:line="360" w:lineRule="auto"/>
              <w:jc w:val="both"/>
              <w:rPr>
                <w:rFonts w:ascii="Century Gothic" w:hAnsi="Century Gothic"/>
              </w:rPr>
            </w:pPr>
            <w:r>
              <w:rPr>
                <w:rFonts w:ascii="Century Gothic" w:hAnsi="Century Gothic"/>
              </w:rPr>
              <w:t>I a la XIV […]</w:t>
            </w:r>
          </w:p>
          <w:p w14:paraId="45BBE727" w14:textId="1B2B5F6D" w:rsidR="00373653" w:rsidRPr="009803C3" w:rsidRDefault="00373653" w:rsidP="00373653">
            <w:pPr>
              <w:pStyle w:val="NormalWeb"/>
              <w:tabs>
                <w:tab w:val="left" w:pos="1752"/>
              </w:tabs>
              <w:spacing w:line="360" w:lineRule="auto"/>
              <w:jc w:val="both"/>
              <w:rPr>
                <w:rFonts w:ascii="Century Gothic" w:hAnsi="Century Gothic"/>
              </w:rPr>
            </w:pPr>
            <w:r>
              <w:rPr>
                <w:rFonts w:ascii="Century Gothic" w:hAnsi="Century Gothic"/>
              </w:rPr>
              <w:lastRenderedPageBreak/>
              <w:t xml:space="preserve">XV. </w:t>
            </w:r>
            <w:r w:rsidRPr="00373653">
              <w:rPr>
                <w:rFonts w:ascii="Century Gothic" w:hAnsi="Century Gothic"/>
              </w:rPr>
              <w:t>Elaborar y aplicar protocolos de actuación en casos de acoso, hostigamiento o violencia</w:t>
            </w:r>
            <w:r>
              <w:rPr>
                <w:rFonts w:ascii="Century Gothic" w:hAnsi="Century Gothic"/>
              </w:rPr>
              <w:t xml:space="preserve"> </w:t>
            </w:r>
            <w:r w:rsidRPr="00373653">
              <w:rPr>
                <w:rFonts w:ascii="Century Gothic" w:hAnsi="Century Gothic"/>
              </w:rPr>
              <w:t>sexual en todos los niveles educativos</w:t>
            </w:r>
          </w:p>
        </w:tc>
        <w:tc>
          <w:tcPr>
            <w:tcW w:w="4675" w:type="dxa"/>
            <w:tcBorders>
              <w:top w:val="single" w:sz="4" w:space="0" w:color="auto"/>
              <w:left w:val="single" w:sz="4" w:space="0" w:color="auto"/>
              <w:bottom w:val="single" w:sz="4" w:space="0" w:color="auto"/>
              <w:right w:val="single" w:sz="4" w:space="0" w:color="auto"/>
            </w:tcBorders>
          </w:tcPr>
          <w:p w14:paraId="5F962A52" w14:textId="77777777" w:rsidR="00373653" w:rsidRDefault="00373653" w:rsidP="00373653">
            <w:pPr>
              <w:pStyle w:val="NormalWeb"/>
              <w:tabs>
                <w:tab w:val="left" w:pos="1752"/>
              </w:tabs>
              <w:spacing w:line="360" w:lineRule="auto"/>
              <w:jc w:val="both"/>
              <w:rPr>
                <w:rFonts w:ascii="Century Gothic" w:hAnsi="Century Gothic"/>
              </w:rPr>
            </w:pPr>
            <w:r w:rsidRPr="00373653">
              <w:rPr>
                <w:rFonts w:ascii="Century Gothic" w:hAnsi="Century Gothic"/>
              </w:rPr>
              <w:lastRenderedPageBreak/>
              <w:t>ARTÍCULO 32. Corresponde a la Secretaría de Educación y Deporte:</w:t>
            </w:r>
          </w:p>
          <w:p w14:paraId="1EE26B2D" w14:textId="77777777" w:rsidR="00373653" w:rsidRDefault="00373653" w:rsidP="00373653">
            <w:pPr>
              <w:pStyle w:val="NormalWeb"/>
              <w:tabs>
                <w:tab w:val="left" w:pos="1752"/>
              </w:tabs>
              <w:spacing w:line="360" w:lineRule="auto"/>
              <w:jc w:val="both"/>
              <w:rPr>
                <w:rFonts w:ascii="Century Gothic" w:hAnsi="Century Gothic"/>
              </w:rPr>
            </w:pPr>
            <w:r>
              <w:rPr>
                <w:rFonts w:ascii="Century Gothic" w:hAnsi="Century Gothic"/>
              </w:rPr>
              <w:t>I a la XIV […]</w:t>
            </w:r>
          </w:p>
          <w:p w14:paraId="549F9729" w14:textId="7E3D5E1C" w:rsidR="00373653" w:rsidRPr="009803C3" w:rsidRDefault="00373653" w:rsidP="00373653">
            <w:pPr>
              <w:pStyle w:val="NormalWeb"/>
              <w:tabs>
                <w:tab w:val="left" w:pos="1752"/>
              </w:tabs>
              <w:spacing w:line="360" w:lineRule="auto"/>
              <w:jc w:val="both"/>
              <w:rPr>
                <w:rFonts w:ascii="Century Gothic" w:hAnsi="Century Gothic"/>
              </w:rPr>
            </w:pPr>
            <w:r>
              <w:rPr>
                <w:rFonts w:ascii="Century Gothic" w:hAnsi="Century Gothic"/>
              </w:rPr>
              <w:lastRenderedPageBreak/>
              <w:t xml:space="preserve">XV. </w:t>
            </w:r>
            <w:r w:rsidRPr="00373653">
              <w:rPr>
                <w:rFonts w:ascii="Century Gothic" w:hAnsi="Century Gothic"/>
              </w:rPr>
              <w:t>Elaborar y aplicar protocolos de actuación en casos de acoso</w:t>
            </w:r>
            <w:r>
              <w:rPr>
                <w:rFonts w:ascii="Century Gothic" w:hAnsi="Century Gothic"/>
              </w:rPr>
              <w:t xml:space="preserve">, </w:t>
            </w:r>
            <w:r w:rsidRPr="00373653">
              <w:rPr>
                <w:rFonts w:ascii="Century Gothic" w:hAnsi="Century Gothic"/>
                <w:b/>
                <w:bCs/>
                <w:highlight w:val="yellow"/>
              </w:rPr>
              <w:t>el acecho</w:t>
            </w:r>
            <w:r w:rsidRPr="00373653">
              <w:rPr>
                <w:rFonts w:ascii="Century Gothic" w:hAnsi="Century Gothic"/>
              </w:rPr>
              <w:t>, hostigamiento o violencia</w:t>
            </w:r>
            <w:r>
              <w:rPr>
                <w:rFonts w:ascii="Century Gothic" w:hAnsi="Century Gothic"/>
              </w:rPr>
              <w:t xml:space="preserve"> </w:t>
            </w:r>
            <w:r w:rsidRPr="00373653">
              <w:rPr>
                <w:rFonts w:ascii="Century Gothic" w:hAnsi="Century Gothic"/>
              </w:rPr>
              <w:t>sexual en todos los niveles educativos</w:t>
            </w:r>
          </w:p>
        </w:tc>
      </w:tr>
    </w:tbl>
    <w:p w14:paraId="616D8170" w14:textId="77777777" w:rsidR="00465EE5" w:rsidRPr="00A67A9D" w:rsidRDefault="00465EE5" w:rsidP="00890707">
      <w:pPr>
        <w:pStyle w:val="Ttulo2"/>
        <w:rPr>
          <w:rFonts w:ascii="Century Gothic" w:hAnsi="Century Gothic"/>
          <w:color w:val="auto"/>
          <w:sz w:val="24"/>
          <w:szCs w:val="24"/>
          <w:lang w:val="es-MX"/>
        </w:rPr>
      </w:pPr>
    </w:p>
    <w:p w14:paraId="6AA81029" w14:textId="75769636" w:rsidR="00030115" w:rsidRPr="00A67A9D" w:rsidRDefault="00030115" w:rsidP="00B95E00">
      <w:pPr>
        <w:pStyle w:val="Ttulo2"/>
        <w:jc w:val="center"/>
        <w:rPr>
          <w:rFonts w:ascii="Century Gothic" w:hAnsi="Century Gothic"/>
          <w:color w:val="auto"/>
          <w:sz w:val="24"/>
          <w:szCs w:val="24"/>
          <w:lang w:val="es-MX"/>
        </w:rPr>
      </w:pPr>
      <w:r w:rsidRPr="00A67A9D">
        <w:rPr>
          <w:rFonts w:ascii="Century Gothic" w:hAnsi="Century Gothic"/>
          <w:color w:val="auto"/>
          <w:sz w:val="24"/>
          <w:szCs w:val="24"/>
          <w:lang w:val="es-MX"/>
        </w:rPr>
        <w:t>TRANSITORIOS</w:t>
      </w:r>
    </w:p>
    <w:p w14:paraId="0C3A9479" w14:textId="77777777" w:rsidR="007247D2" w:rsidRDefault="007247D2" w:rsidP="00B95E00">
      <w:pPr>
        <w:spacing w:line="276" w:lineRule="auto"/>
        <w:jc w:val="both"/>
        <w:rPr>
          <w:rFonts w:ascii="Century Gothic" w:hAnsi="Century Gothic"/>
          <w:b/>
          <w:bCs/>
          <w:sz w:val="24"/>
          <w:szCs w:val="24"/>
        </w:rPr>
      </w:pPr>
    </w:p>
    <w:p w14:paraId="4C80E07E" w14:textId="1050F102" w:rsidR="00030115" w:rsidRPr="00030115" w:rsidRDefault="00030115" w:rsidP="00B95E00">
      <w:pPr>
        <w:spacing w:line="276" w:lineRule="auto"/>
        <w:jc w:val="both"/>
        <w:rPr>
          <w:rFonts w:ascii="Century Gothic" w:hAnsi="Century Gothic"/>
          <w:sz w:val="24"/>
          <w:szCs w:val="24"/>
        </w:rPr>
      </w:pPr>
      <w:r w:rsidRPr="00465EE5">
        <w:rPr>
          <w:rFonts w:ascii="Century Gothic" w:hAnsi="Century Gothic"/>
          <w:b/>
          <w:bCs/>
          <w:sz w:val="24"/>
          <w:szCs w:val="24"/>
        </w:rPr>
        <w:t>Primero</w:t>
      </w:r>
      <w:r w:rsidRPr="00030115">
        <w:rPr>
          <w:rFonts w:ascii="Century Gothic" w:hAnsi="Century Gothic"/>
          <w:sz w:val="24"/>
          <w:szCs w:val="24"/>
        </w:rPr>
        <w:t>. El presente Decreto entrará en vigor al día siguiente de su publicación en el Periódico Oficial del Estado.</w:t>
      </w:r>
    </w:p>
    <w:p w14:paraId="07311553" w14:textId="77777777" w:rsidR="00030115" w:rsidRPr="00030115" w:rsidRDefault="00030115" w:rsidP="00B95E00">
      <w:pPr>
        <w:spacing w:line="276" w:lineRule="auto"/>
        <w:jc w:val="both"/>
        <w:rPr>
          <w:rFonts w:ascii="Century Gothic" w:hAnsi="Century Gothic"/>
          <w:sz w:val="24"/>
          <w:szCs w:val="24"/>
        </w:rPr>
      </w:pPr>
      <w:r w:rsidRPr="00465EE5">
        <w:rPr>
          <w:rFonts w:ascii="Century Gothic" w:hAnsi="Century Gothic"/>
          <w:b/>
          <w:bCs/>
          <w:sz w:val="24"/>
          <w:szCs w:val="24"/>
        </w:rPr>
        <w:t>Segundo.</w:t>
      </w:r>
      <w:r w:rsidRPr="00030115">
        <w:rPr>
          <w:rFonts w:ascii="Century Gothic" w:hAnsi="Century Gothic"/>
          <w:sz w:val="24"/>
          <w:szCs w:val="24"/>
        </w:rPr>
        <w:t xml:space="preserve"> Se instruye a la Fiscalía General del Estado y al Instituto Chihuahuense de las Mujeres para que actualicen sus protocolos incluyendo el acecho.</w:t>
      </w:r>
    </w:p>
    <w:p w14:paraId="385968D3" w14:textId="410B8E36" w:rsidR="00030115" w:rsidRPr="00465EE5" w:rsidRDefault="00030115" w:rsidP="00B95E00">
      <w:pPr>
        <w:spacing w:line="276" w:lineRule="auto"/>
        <w:jc w:val="both"/>
        <w:rPr>
          <w:rStyle w:val="Textoennegrita"/>
          <w:rFonts w:ascii="Century Gothic" w:hAnsi="Century Gothic"/>
          <w:b w:val="0"/>
          <w:bCs w:val="0"/>
          <w:sz w:val="24"/>
          <w:szCs w:val="24"/>
        </w:rPr>
      </w:pPr>
      <w:r w:rsidRPr="00465EE5">
        <w:rPr>
          <w:rFonts w:ascii="Century Gothic" w:hAnsi="Century Gothic"/>
          <w:b/>
          <w:bCs/>
          <w:sz w:val="24"/>
          <w:szCs w:val="24"/>
        </w:rPr>
        <w:t>Tercero.</w:t>
      </w:r>
      <w:r w:rsidRPr="00030115">
        <w:rPr>
          <w:rFonts w:ascii="Century Gothic" w:hAnsi="Century Gothic"/>
          <w:sz w:val="24"/>
          <w:szCs w:val="24"/>
        </w:rPr>
        <w:t xml:space="preserve"> Se exhorta a las autoridades municipales y estatales a realizar campañas de sensibilización sobre el acecho.</w:t>
      </w:r>
    </w:p>
    <w:p w14:paraId="60B6D605" w14:textId="2A8B2285" w:rsidR="00030115" w:rsidRPr="00D37021" w:rsidRDefault="00030115" w:rsidP="00B95E00">
      <w:pPr>
        <w:spacing w:line="276" w:lineRule="auto"/>
        <w:jc w:val="both"/>
        <w:rPr>
          <w:rFonts w:ascii="Century Gothic" w:hAnsi="Century Gothic"/>
          <w:sz w:val="24"/>
          <w:szCs w:val="24"/>
        </w:rPr>
      </w:pPr>
      <w:r w:rsidRPr="00D37021">
        <w:rPr>
          <w:rFonts w:ascii="Century Gothic" w:hAnsi="Century Gothic"/>
          <w:sz w:val="24"/>
          <w:szCs w:val="24"/>
        </w:rPr>
        <w:t xml:space="preserve">Dado en el Recinto Oficial del Poder Legislativo, en la ciudad de </w:t>
      </w:r>
      <w:r>
        <w:rPr>
          <w:rFonts w:ascii="Century Gothic" w:hAnsi="Century Gothic"/>
          <w:sz w:val="24"/>
          <w:szCs w:val="24"/>
        </w:rPr>
        <w:t xml:space="preserve">Chihuahua, Chihuahua a los </w:t>
      </w:r>
      <w:r w:rsidR="00C97867">
        <w:rPr>
          <w:rFonts w:ascii="Century Gothic" w:hAnsi="Century Gothic"/>
          <w:sz w:val="24"/>
          <w:szCs w:val="24"/>
        </w:rPr>
        <w:t xml:space="preserve">veintidós </w:t>
      </w:r>
      <w:r>
        <w:rPr>
          <w:rFonts w:ascii="Century Gothic" w:hAnsi="Century Gothic"/>
          <w:sz w:val="24"/>
          <w:szCs w:val="24"/>
        </w:rPr>
        <w:t xml:space="preserve">días del mes de </w:t>
      </w:r>
      <w:r w:rsidR="00465EE5">
        <w:rPr>
          <w:rFonts w:ascii="Century Gothic" w:hAnsi="Century Gothic"/>
          <w:sz w:val="24"/>
          <w:szCs w:val="24"/>
        </w:rPr>
        <w:t>abril</w:t>
      </w:r>
      <w:r>
        <w:rPr>
          <w:rFonts w:ascii="Century Gothic" w:hAnsi="Century Gothic"/>
          <w:sz w:val="24"/>
          <w:szCs w:val="24"/>
        </w:rPr>
        <w:t xml:space="preserve"> de dos mil veinticinco</w:t>
      </w:r>
      <w:r w:rsidRPr="00D37021">
        <w:rPr>
          <w:rFonts w:ascii="Century Gothic" w:hAnsi="Century Gothic"/>
          <w:sz w:val="24"/>
          <w:szCs w:val="24"/>
        </w:rPr>
        <w:t xml:space="preserve">. </w:t>
      </w:r>
    </w:p>
    <w:p w14:paraId="613D5E9F" w14:textId="77777777" w:rsidR="00030115" w:rsidRPr="00D37021" w:rsidRDefault="00030115" w:rsidP="00B95E00">
      <w:pPr>
        <w:spacing w:line="276" w:lineRule="auto"/>
        <w:jc w:val="center"/>
        <w:rPr>
          <w:rFonts w:ascii="Century Gothic" w:hAnsi="Century Gothic"/>
          <w:b/>
          <w:bCs/>
          <w:sz w:val="24"/>
          <w:szCs w:val="24"/>
        </w:rPr>
      </w:pPr>
    </w:p>
    <w:p w14:paraId="231BB42C" w14:textId="25A1FDE4" w:rsidR="00030115" w:rsidRDefault="00030115" w:rsidP="00B95E00">
      <w:pPr>
        <w:spacing w:line="276" w:lineRule="auto"/>
        <w:jc w:val="center"/>
        <w:rPr>
          <w:rFonts w:ascii="Century Gothic" w:hAnsi="Century Gothic"/>
          <w:b/>
          <w:bCs/>
          <w:sz w:val="24"/>
          <w:szCs w:val="24"/>
        </w:rPr>
      </w:pPr>
      <w:r w:rsidRPr="00D37021">
        <w:rPr>
          <w:rFonts w:ascii="Century Gothic" w:hAnsi="Century Gothic"/>
          <w:b/>
          <w:bCs/>
          <w:sz w:val="24"/>
          <w:szCs w:val="24"/>
        </w:rPr>
        <w:t>ATENTAMENT</w:t>
      </w:r>
      <w:r w:rsidR="00465EE5">
        <w:rPr>
          <w:rFonts w:ascii="Century Gothic" w:hAnsi="Century Gothic"/>
          <w:b/>
          <w:bCs/>
          <w:sz w:val="24"/>
          <w:szCs w:val="24"/>
        </w:rPr>
        <w:t>E</w:t>
      </w:r>
    </w:p>
    <w:p w14:paraId="4B5A3812" w14:textId="77777777" w:rsidR="007247D2" w:rsidRDefault="007247D2" w:rsidP="00B95E00">
      <w:pPr>
        <w:spacing w:line="276" w:lineRule="auto"/>
        <w:jc w:val="center"/>
        <w:rPr>
          <w:rFonts w:ascii="Century Gothic" w:hAnsi="Century Gothic"/>
          <w:b/>
          <w:bCs/>
          <w:sz w:val="24"/>
          <w:szCs w:val="24"/>
        </w:rPr>
      </w:pPr>
    </w:p>
    <w:p w14:paraId="4B415436" w14:textId="77777777" w:rsidR="007247D2" w:rsidRDefault="007247D2" w:rsidP="00B95E00">
      <w:pPr>
        <w:spacing w:line="276" w:lineRule="auto"/>
        <w:jc w:val="center"/>
        <w:rPr>
          <w:rFonts w:ascii="Century Gothic" w:hAnsi="Century Gothic"/>
          <w:b/>
          <w:bCs/>
          <w:sz w:val="24"/>
          <w:szCs w:val="24"/>
        </w:rPr>
      </w:pPr>
    </w:p>
    <w:p w14:paraId="0D10A12F" w14:textId="77777777" w:rsidR="007247D2" w:rsidRPr="00D37021" w:rsidRDefault="007247D2" w:rsidP="00B95E00">
      <w:pPr>
        <w:spacing w:line="276" w:lineRule="auto"/>
        <w:jc w:val="center"/>
        <w:rPr>
          <w:rFonts w:ascii="Century Gothic" w:hAnsi="Century Gothic"/>
          <w:b/>
          <w:bCs/>
          <w:sz w:val="24"/>
          <w:szCs w:val="24"/>
        </w:rPr>
      </w:pPr>
    </w:p>
    <w:p w14:paraId="78DBC9D5" w14:textId="3AB750C2" w:rsidR="00030115" w:rsidRPr="00465EE5" w:rsidRDefault="00030115" w:rsidP="00B95E00">
      <w:pPr>
        <w:spacing w:line="276" w:lineRule="auto"/>
        <w:jc w:val="center"/>
        <w:rPr>
          <w:rFonts w:ascii="Century Gothic" w:hAnsi="Century Gothic"/>
          <w:b/>
          <w:bCs/>
          <w:sz w:val="24"/>
          <w:szCs w:val="24"/>
        </w:rPr>
      </w:pPr>
      <w:r w:rsidRPr="00465EE5">
        <w:rPr>
          <w:rFonts w:ascii="Century Gothic" w:hAnsi="Century Gothic"/>
          <w:b/>
          <w:bCs/>
          <w:sz w:val="24"/>
          <w:szCs w:val="24"/>
        </w:rPr>
        <w:t>________________________________________</w:t>
      </w:r>
    </w:p>
    <w:p w14:paraId="3029293F" w14:textId="741F1BC9" w:rsidR="009F6E49" w:rsidRPr="00465EE5" w:rsidRDefault="007247D2" w:rsidP="007247D2">
      <w:pPr>
        <w:spacing w:after="0" w:line="276" w:lineRule="auto"/>
        <w:jc w:val="center"/>
        <w:rPr>
          <w:rFonts w:ascii="Century Gothic" w:hAnsi="Century Gothic"/>
          <w:b/>
          <w:bCs/>
          <w:sz w:val="24"/>
          <w:szCs w:val="24"/>
        </w:rPr>
      </w:pPr>
      <w:r w:rsidRPr="00465EE5">
        <w:rPr>
          <w:rFonts w:ascii="Century Gothic" w:hAnsi="Century Gothic"/>
          <w:b/>
          <w:bCs/>
          <w:sz w:val="24"/>
          <w:szCs w:val="24"/>
        </w:rPr>
        <w:t>DIP. AMÉRICA VICTORIA AGUILAR GIL</w:t>
      </w:r>
    </w:p>
    <w:p w14:paraId="5A81252D" w14:textId="28DD10A5" w:rsidR="00465EE5" w:rsidRPr="00465EE5" w:rsidRDefault="007247D2" w:rsidP="007247D2">
      <w:pPr>
        <w:spacing w:after="0" w:line="276" w:lineRule="auto"/>
        <w:jc w:val="center"/>
        <w:rPr>
          <w:rFonts w:ascii="Century Gothic" w:hAnsi="Century Gothic"/>
          <w:b/>
          <w:bCs/>
        </w:rPr>
      </w:pPr>
      <w:r w:rsidRPr="00465EE5">
        <w:rPr>
          <w:rFonts w:ascii="Century Gothic" w:hAnsi="Century Gothic"/>
          <w:b/>
          <w:bCs/>
        </w:rPr>
        <w:t>REPRESENTANTE PARLAMENTARIA DEL PARTIDO DEL TRABAJO</w:t>
      </w:r>
    </w:p>
    <w:sectPr w:rsidR="00465EE5" w:rsidRPr="00465EE5" w:rsidSect="00744FA2">
      <w:headerReference w:type="default" r:id="rId7"/>
      <w:footerReference w:type="default" r:id="rId8"/>
      <w:pgSz w:w="12240" w:h="15840" w:code="1"/>
      <w:pgMar w:top="3686" w:right="1440" w:bottom="1843" w:left="1440" w:header="141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CABB4" w14:textId="77777777" w:rsidR="00744FA2" w:rsidRDefault="00744FA2">
      <w:pPr>
        <w:spacing w:after="0" w:line="240" w:lineRule="auto"/>
      </w:pPr>
      <w:r>
        <w:separator/>
      </w:r>
    </w:p>
  </w:endnote>
  <w:endnote w:type="continuationSeparator" w:id="0">
    <w:p w14:paraId="4AD79F9E" w14:textId="77777777" w:rsidR="00744FA2" w:rsidRDefault="00744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8C497" w14:textId="6C693E27" w:rsidR="00744FA2" w:rsidRDefault="00744FA2">
    <w:pPr>
      <w:pStyle w:val="Piedepgina"/>
    </w:pPr>
    <w:r>
      <w:rPr>
        <w:noProof/>
        <w:lang w:val="es-ES" w:eastAsia="es-ES"/>
      </w:rPr>
      <w:drawing>
        <wp:anchor distT="0" distB="0" distL="114300" distR="114300" simplePos="0" relativeHeight="251662336" behindDoc="1" locked="0" layoutInCell="1" allowOverlap="1" wp14:anchorId="1C8250D0" wp14:editId="6D91C953">
          <wp:simplePos x="0" y="0"/>
          <wp:positionH relativeFrom="column">
            <wp:posOffset>4511040</wp:posOffset>
          </wp:positionH>
          <wp:positionV relativeFrom="paragraph">
            <wp:posOffset>-990600</wp:posOffset>
          </wp:positionV>
          <wp:extent cx="2118360" cy="1059180"/>
          <wp:effectExtent l="0" t="0" r="0" b="7620"/>
          <wp:wrapNone/>
          <wp:docPr id="21632791" name="Imagen 3" descr="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26375" name="Imagen 3" descr="Nombre de la empresa&#10;&#10;El contenido generado por IA puede ser incorrecto."/>
                  <pic:cNvPicPr/>
                </pic:nvPicPr>
                <pic:blipFill>
                  <a:blip r:embed="rId1">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118360" cy="10591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9DA14" w14:textId="77777777" w:rsidR="00744FA2" w:rsidRDefault="00744FA2">
      <w:pPr>
        <w:spacing w:after="0" w:line="240" w:lineRule="auto"/>
      </w:pPr>
      <w:r>
        <w:separator/>
      </w:r>
    </w:p>
  </w:footnote>
  <w:footnote w:type="continuationSeparator" w:id="0">
    <w:p w14:paraId="0EEC2038" w14:textId="77777777" w:rsidR="00744FA2" w:rsidRDefault="00744F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0ACB8" w14:textId="7FB520D9" w:rsidR="00744FA2" w:rsidRDefault="00C97867">
    <w:pPr>
      <w:pStyle w:val="Encabezado"/>
    </w:pPr>
    <w:sdt>
      <w:sdtPr>
        <w:id w:val="-836999273"/>
        <w:docPartObj>
          <w:docPartGallery w:val="Page Numbers (Margins)"/>
          <w:docPartUnique/>
        </w:docPartObj>
      </w:sdtPr>
      <w:sdtEndPr/>
      <w:sdtContent>
        <w:r w:rsidR="00465EE5">
          <w:rPr>
            <w:rFonts w:asciiTheme="majorHAnsi" w:eastAsiaTheme="majorEastAsia" w:hAnsiTheme="majorHAnsi" w:cstheme="majorBidi"/>
            <w:noProof/>
            <w:sz w:val="28"/>
            <w:szCs w:val="28"/>
            <w:lang w:eastAsia="es-MX"/>
          </w:rPr>
          <mc:AlternateContent>
            <mc:Choice Requires="wps">
              <w:drawing>
                <wp:anchor distT="0" distB="0" distL="114300" distR="114300" simplePos="0" relativeHeight="251660288" behindDoc="0" locked="0" layoutInCell="0" allowOverlap="1" wp14:anchorId="79E7BF20" wp14:editId="4A9C234A">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0" t="0" r="0" b="0"/>
                  <wp:wrapNone/>
                  <wp:docPr id="208829760"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C00000"/>
                          </a:solidFill>
                          <a:ln>
                            <a:noFill/>
                          </a:ln>
                        </wps:spPr>
                        <wps:txbx>
                          <w:txbxContent>
                            <w:p w14:paraId="02C1E006" w14:textId="77777777" w:rsidR="00744FA2" w:rsidRPr="00744FA2" w:rsidRDefault="00465EE5" w:rsidP="005C4B6E">
                              <w:pPr>
                                <w:jc w:val="center"/>
                                <w:rPr>
                                  <w:rStyle w:val="Nmerodepgina"/>
                                  <w:rFonts w:ascii="Century Gothic" w:hAnsi="Century Gothic"/>
                                  <w:color w:val="FFFFFF" w:themeColor="background1"/>
                                  <w:szCs w:val="24"/>
                                </w:rPr>
                              </w:pPr>
                              <w:r w:rsidRPr="00744FA2">
                                <w:fldChar w:fldCharType="begin"/>
                              </w:r>
                              <w:r w:rsidRPr="00744FA2">
                                <w:rPr>
                                  <w:rFonts w:ascii="Century Gothic" w:hAnsi="Century Gothic"/>
                                </w:rPr>
                                <w:instrText>PAGE    \* MERGEFORMAT</w:instrText>
                              </w:r>
                              <w:r w:rsidRPr="00744FA2">
                                <w:fldChar w:fldCharType="separate"/>
                              </w:r>
                              <w:r w:rsidRPr="00744FA2">
                                <w:rPr>
                                  <w:rStyle w:val="Nmerodepgina"/>
                                  <w:rFonts w:ascii="Century Gothic" w:hAnsi="Century Gothic"/>
                                  <w:b/>
                                  <w:bCs/>
                                  <w:noProof/>
                                  <w:color w:val="FFFFFF" w:themeColor="background1"/>
                                  <w:sz w:val="24"/>
                                  <w:szCs w:val="24"/>
                                  <w:lang w:val="es-ES"/>
                                </w:rPr>
                                <w:t>6</w:t>
                              </w:r>
                              <w:r w:rsidRPr="00744FA2">
                                <w:rPr>
                                  <w:rStyle w:val="Nmerodepgina"/>
                                  <w:rFonts w:ascii="Century Gothic" w:hAnsi="Century Gothic"/>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E7BF20" id="Elipse 1" o:spid="_x0000_s1026" style="position:absolute;margin-left:0;margin-top:0;width:37.6pt;height:37.6pt;z-index:251660288;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" o:allowincell="f" fillcolor="#c00000" stroked="f">
                  <v:textbox inset="0,,0">
                    <w:txbxContent>
                      <w:p w14:paraId="02C1E006" w14:textId="77777777" w:rsidR="00744FA2" w:rsidRPr="00744FA2" w:rsidRDefault="00465EE5" w:rsidP="005C4B6E">
                        <w:pPr>
                          <w:jc w:val="center"/>
                          <w:rPr>
                            <w:rStyle w:val="Nmerodepgina"/>
                            <w:rFonts w:ascii="Century Gothic" w:hAnsi="Century Gothic"/>
                            <w:color w:val="FFFFFF" w:themeColor="background1"/>
                            <w:szCs w:val="24"/>
                          </w:rPr>
                        </w:pPr>
                        <w:r w:rsidRPr="00744FA2">
                          <w:fldChar w:fldCharType="begin"/>
                        </w:r>
                        <w:r w:rsidRPr="00744FA2">
                          <w:rPr>
                            <w:rFonts w:ascii="Century Gothic" w:hAnsi="Century Gothic"/>
                          </w:rPr>
                          <w:instrText>PAGE    \* MERGEFORMAT</w:instrText>
                        </w:r>
                        <w:r w:rsidRPr="00744FA2">
                          <w:fldChar w:fldCharType="separate"/>
                        </w:r>
                        <w:r w:rsidRPr="00744FA2">
                          <w:rPr>
                            <w:rStyle w:val="Nmerodepgina"/>
                            <w:rFonts w:ascii="Century Gothic" w:hAnsi="Century Gothic"/>
                            <w:b/>
                            <w:bCs/>
                            <w:noProof/>
                            <w:color w:val="FFFFFF" w:themeColor="background1"/>
                            <w:sz w:val="24"/>
                            <w:szCs w:val="24"/>
                            <w:lang w:val="es-ES"/>
                          </w:rPr>
                          <w:t>6</w:t>
                        </w:r>
                        <w:r w:rsidRPr="00744FA2">
                          <w:rPr>
                            <w:rStyle w:val="Nmerodepgina"/>
                            <w:rFonts w:ascii="Century Gothic" w:hAnsi="Century Gothic"/>
                            <w:b/>
                            <w:bCs/>
                            <w:color w:val="FFFFFF" w:themeColor="background1"/>
                            <w:sz w:val="24"/>
                            <w:szCs w:val="24"/>
                          </w:rPr>
                          <w:fldChar w:fldCharType="end"/>
                        </w:r>
                      </w:p>
                    </w:txbxContent>
                  </v:textbox>
                  <w10:wrap anchorx="margin" anchory="page"/>
                </v:oval>
              </w:pict>
            </mc:Fallback>
          </mc:AlternateContent>
        </w:r>
      </w:sdtContent>
    </w:sdt>
    <w:r w:rsidR="00465EE5">
      <w:rPr>
        <w:noProof/>
        <w:lang w:eastAsia="es-MX"/>
      </w:rPr>
      <w:drawing>
        <wp:anchor distT="0" distB="0" distL="114300" distR="114300" simplePos="0" relativeHeight="251659264" behindDoc="1" locked="0" layoutInCell="1" allowOverlap="1" wp14:anchorId="6302A0AD" wp14:editId="76DB0208">
          <wp:simplePos x="0" y="0"/>
          <wp:positionH relativeFrom="column">
            <wp:posOffset>-906780</wp:posOffset>
          </wp:positionH>
          <wp:positionV relativeFrom="paragraph">
            <wp:posOffset>-899795</wp:posOffset>
          </wp:positionV>
          <wp:extent cx="7772400" cy="10058400"/>
          <wp:effectExtent l="0" t="0" r="0" b="0"/>
          <wp:wrapNone/>
          <wp:docPr id="149858622" name="Imagen 149858622"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92484" name="Imagen 1790792484" descr="Imagen que contiene 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658C5"/>
    <w:multiLevelType w:val="hybridMultilevel"/>
    <w:tmpl w:val="D2D24E08"/>
    <w:lvl w:ilvl="0" w:tplc="B9823752">
      <w:start w:val="1"/>
      <w:numFmt w:val="upperRoman"/>
      <w:lvlText w:val="%1."/>
      <w:lvlJc w:val="left"/>
      <w:pPr>
        <w:ind w:left="780" w:hanging="720"/>
      </w:pPr>
      <w:rPr>
        <w:rFonts w:ascii="Times New Roman" w:hAnsi="Times New Roman" w:hint="default"/>
        <w:b w:val="0"/>
        <w:u w:val="none"/>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2AF6658A"/>
    <w:multiLevelType w:val="hybridMultilevel"/>
    <w:tmpl w:val="678A7BE0"/>
    <w:lvl w:ilvl="0" w:tplc="C0D66328">
      <w:start w:val="1"/>
      <w:numFmt w:val="low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2" w15:restartNumberingAfterBreak="0">
    <w:nsid w:val="40B34574"/>
    <w:multiLevelType w:val="hybridMultilevel"/>
    <w:tmpl w:val="678A7BE0"/>
    <w:lvl w:ilvl="0" w:tplc="C0D66328">
      <w:start w:val="1"/>
      <w:numFmt w:val="low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3" w15:restartNumberingAfterBreak="0">
    <w:nsid w:val="42045248"/>
    <w:multiLevelType w:val="multilevel"/>
    <w:tmpl w:val="C4EC2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6B0D77"/>
    <w:multiLevelType w:val="hybridMultilevel"/>
    <w:tmpl w:val="8F4026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4E23778"/>
    <w:multiLevelType w:val="hybridMultilevel"/>
    <w:tmpl w:val="D2D24E08"/>
    <w:lvl w:ilvl="0" w:tplc="B9823752">
      <w:start w:val="1"/>
      <w:numFmt w:val="upperRoman"/>
      <w:lvlText w:val="%1."/>
      <w:lvlJc w:val="left"/>
      <w:pPr>
        <w:ind w:left="780" w:hanging="720"/>
      </w:pPr>
      <w:rPr>
        <w:rFonts w:ascii="Times New Roman" w:hAnsi="Times New Roman" w:hint="default"/>
        <w:b w:val="0"/>
        <w:u w:val="none"/>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6" w15:restartNumberingAfterBreak="0">
    <w:nsid w:val="5964154A"/>
    <w:multiLevelType w:val="multilevel"/>
    <w:tmpl w:val="C936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407A46"/>
    <w:multiLevelType w:val="multilevel"/>
    <w:tmpl w:val="3AA05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A53FF6"/>
    <w:multiLevelType w:val="hybridMultilevel"/>
    <w:tmpl w:val="D2D24E08"/>
    <w:lvl w:ilvl="0" w:tplc="B9823752">
      <w:start w:val="1"/>
      <w:numFmt w:val="upperRoman"/>
      <w:lvlText w:val="%1."/>
      <w:lvlJc w:val="left"/>
      <w:pPr>
        <w:ind w:left="780" w:hanging="720"/>
      </w:pPr>
      <w:rPr>
        <w:rFonts w:ascii="Times New Roman" w:hAnsi="Times New Roman" w:hint="default"/>
        <w:b w:val="0"/>
        <w:u w:val="none"/>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num w:numId="1">
    <w:abstractNumId w:val="6"/>
  </w:num>
  <w:num w:numId="2">
    <w:abstractNumId w:val="7"/>
  </w:num>
  <w:num w:numId="3">
    <w:abstractNumId w:val="4"/>
  </w:num>
  <w:num w:numId="4">
    <w:abstractNumId w:val="8"/>
  </w:num>
  <w:num w:numId="5">
    <w:abstractNumId w:val="5"/>
  </w:num>
  <w:num w:numId="6">
    <w:abstractNumId w:val="0"/>
  </w:num>
  <w:num w:numId="7">
    <w:abstractNumId w:val="2"/>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115"/>
    <w:rsid w:val="00030115"/>
    <w:rsid w:val="00050933"/>
    <w:rsid w:val="0011100B"/>
    <w:rsid w:val="00140446"/>
    <w:rsid w:val="001A13FD"/>
    <w:rsid w:val="00363363"/>
    <w:rsid w:val="00373653"/>
    <w:rsid w:val="003E420C"/>
    <w:rsid w:val="00465EE5"/>
    <w:rsid w:val="00513167"/>
    <w:rsid w:val="005E57CC"/>
    <w:rsid w:val="005E5E3D"/>
    <w:rsid w:val="005F7D4E"/>
    <w:rsid w:val="007247D2"/>
    <w:rsid w:val="00744FA2"/>
    <w:rsid w:val="008567FF"/>
    <w:rsid w:val="00890707"/>
    <w:rsid w:val="00896633"/>
    <w:rsid w:val="008E7103"/>
    <w:rsid w:val="009145AC"/>
    <w:rsid w:val="009714D1"/>
    <w:rsid w:val="009803C3"/>
    <w:rsid w:val="009D1ABA"/>
    <w:rsid w:val="009F6E49"/>
    <w:rsid w:val="00A20822"/>
    <w:rsid w:val="00A271B0"/>
    <w:rsid w:val="00A67A9D"/>
    <w:rsid w:val="00AB7F3D"/>
    <w:rsid w:val="00B86FA9"/>
    <w:rsid w:val="00B95E00"/>
    <w:rsid w:val="00C05C93"/>
    <w:rsid w:val="00C62D9C"/>
    <w:rsid w:val="00C97867"/>
    <w:rsid w:val="00D177CF"/>
    <w:rsid w:val="00E123DC"/>
    <w:rsid w:val="00E16224"/>
    <w:rsid w:val="00E67B05"/>
    <w:rsid w:val="00E74F33"/>
    <w:rsid w:val="00FC05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77FF65"/>
  <w15:chartTrackingRefBased/>
  <w15:docId w15:val="{510CD5C5-A6A9-4F52-826C-2A0134905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F33"/>
    <w:rPr>
      <w:kern w:val="2"/>
      <w14:ligatures w14:val="standardContextual"/>
    </w:rPr>
  </w:style>
  <w:style w:type="paragraph" w:styleId="Ttulo2">
    <w:name w:val="heading 2"/>
    <w:basedOn w:val="Normal"/>
    <w:next w:val="Normal"/>
    <w:link w:val="Ttulo2Car"/>
    <w:uiPriority w:val="9"/>
    <w:unhideWhenUsed/>
    <w:qFormat/>
    <w:rsid w:val="00030115"/>
    <w:pPr>
      <w:keepNext/>
      <w:keepLines/>
      <w:spacing w:before="200" w:after="0" w:line="276" w:lineRule="auto"/>
      <w:outlineLvl w:val="1"/>
    </w:pPr>
    <w:rPr>
      <w:rFonts w:asciiTheme="majorHAnsi" w:eastAsiaTheme="majorEastAsia" w:hAnsiTheme="majorHAnsi" w:cstheme="majorBidi"/>
      <w:b/>
      <w:bCs/>
      <w:color w:val="4472C4" w:themeColor="accent1"/>
      <w:kern w:val="0"/>
      <w:sz w:val="26"/>
      <w:szCs w:val="26"/>
      <w:lang w:val="en-US"/>
      <w14:ligatures w14:val="none"/>
    </w:rPr>
  </w:style>
  <w:style w:type="paragraph" w:styleId="Ttulo3">
    <w:name w:val="heading 3"/>
    <w:basedOn w:val="Normal"/>
    <w:next w:val="Normal"/>
    <w:link w:val="Ttulo3Car"/>
    <w:uiPriority w:val="9"/>
    <w:semiHidden/>
    <w:unhideWhenUsed/>
    <w:qFormat/>
    <w:rsid w:val="0089070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3011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30115"/>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styleId="Textoennegrita">
    <w:name w:val="Strong"/>
    <w:basedOn w:val="Fuentedeprrafopredeter"/>
    <w:uiPriority w:val="22"/>
    <w:qFormat/>
    <w:rsid w:val="00030115"/>
    <w:rPr>
      <w:b/>
      <w:bCs/>
    </w:rPr>
  </w:style>
  <w:style w:type="paragraph" w:styleId="Encabezado">
    <w:name w:val="header"/>
    <w:basedOn w:val="Normal"/>
    <w:link w:val="EncabezadoCar"/>
    <w:uiPriority w:val="99"/>
    <w:unhideWhenUsed/>
    <w:rsid w:val="00030115"/>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030115"/>
    <w:rPr>
      <w:kern w:val="2"/>
      <w14:ligatures w14:val="standardContextual"/>
    </w:rPr>
  </w:style>
  <w:style w:type="character" w:styleId="Nmerodepgina">
    <w:name w:val="page number"/>
    <w:basedOn w:val="Fuentedeprrafopredeter"/>
    <w:uiPriority w:val="99"/>
    <w:unhideWhenUsed/>
    <w:rsid w:val="00030115"/>
  </w:style>
  <w:style w:type="character" w:customStyle="1" w:styleId="Ttulo2Car">
    <w:name w:val="Título 2 Car"/>
    <w:basedOn w:val="Fuentedeprrafopredeter"/>
    <w:link w:val="Ttulo2"/>
    <w:uiPriority w:val="9"/>
    <w:rsid w:val="00030115"/>
    <w:rPr>
      <w:rFonts w:asciiTheme="majorHAnsi" w:eastAsiaTheme="majorEastAsia" w:hAnsiTheme="majorHAnsi" w:cstheme="majorBidi"/>
      <w:b/>
      <w:bCs/>
      <w:color w:val="4472C4" w:themeColor="accent1"/>
      <w:sz w:val="26"/>
      <w:szCs w:val="26"/>
      <w:lang w:val="en-US"/>
    </w:rPr>
  </w:style>
  <w:style w:type="paragraph" w:styleId="Prrafodelista">
    <w:name w:val="List Paragraph"/>
    <w:basedOn w:val="Normal"/>
    <w:uiPriority w:val="34"/>
    <w:qFormat/>
    <w:rsid w:val="00050933"/>
    <w:pPr>
      <w:ind w:left="720"/>
      <w:contextualSpacing/>
    </w:pPr>
  </w:style>
  <w:style w:type="paragraph" w:styleId="Piedepgina">
    <w:name w:val="footer"/>
    <w:basedOn w:val="Normal"/>
    <w:link w:val="PiedepginaCar"/>
    <w:uiPriority w:val="99"/>
    <w:unhideWhenUsed/>
    <w:rsid w:val="00744FA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744FA2"/>
    <w:rPr>
      <w:kern w:val="2"/>
      <w14:ligatures w14:val="standardContextual"/>
    </w:rPr>
  </w:style>
  <w:style w:type="character" w:customStyle="1" w:styleId="Ttulo3Car">
    <w:name w:val="Título 3 Car"/>
    <w:basedOn w:val="Fuentedeprrafopredeter"/>
    <w:link w:val="Ttulo3"/>
    <w:uiPriority w:val="9"/>
    <w:semiHidden/>
    <w:rsid w:val="00890707"/>
    <w:rPr>
      <w:rFonts w:asciiTheme="majorHAnsi" w:eastAsiaTheme="majorEastAsia" w:hAnsiTheme="majorHAnsi" w:cstheme="majorBidi"/>
      <w:color w:val="1F3763" w:themeColor="accent1" w:themeShade="7F"/>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42069">
      <w:bodyDiv w:val="1"/>
      <w:marLeft w:val="0"/>
      <w:marRight w:val="0"/>
      <w:marTop w:val="0"/>
      <w:marBottom w:val="0"/>
      <w:divBdr>
        <w:top w:val="none" w:sz="0" w:space="0" w:color="auto"/>
        <w:left w:val="none" w:sz="0" w:space="0" w:color="auto"/>
        <w:bottom w:val="none" w:sz="0" w:space="0" w:color="auto"/>
        <w:right w:val="none" w:sz="0" w:space="0" w:color="auto"/>
      </w:divBdr>
    </w:div>
    <w:div w:id="169029912">
      <w:bodyDiv w:val="1"/>
      <w:marLeft w:val="0"/>
      <w:marRight w:val="0"/>
      <w:marTop w:val="0"/>
      <w:marBottom w:val="0"/>
      <w:divBdr>
        <w:top w:val="none" w:sz="0" w:space="0" w:color="auto"/>
        <w:left w:val="none" w:sz="0" w:space="0" w:color="auto"/>
        <w:bottom w:val="none" w:sz="0" w:space="0" w:color="auto"/>
        <w:right w:val="none" w:sz="0" w:space="0" w:color="auto"/>
      </w:divBdr>
    </w:div>
    <w:div w:id="669408289">
      <w:bodyDiv w:val="1"/>
      <w:marLeft w:val="0"/>
      <w:marRight w:val="0"/>
      <w:marTop w:val="0"/>
      <w:marBottom w:val="0"/>
      <w:divBdr>
        <w:top w:val="none" w:sz="0" w:space="0" w:color="auto"/>
        <w:left w:val="none" w:sz="0" w:space="0" w:color="auto"/>
        <w:bottom w:val="none" w:sz="0" w:space="0" w:color="auto"/>
        <w:right w:val="none" w:sz="0" w:space="0" w:color="auto"/>
      </w:divBdr>
    </w:div>
    <w:div w:id="727269335">
      <w:bodyDiv w:val="1"/>
      <w:marLeft w:val="0"/>
      <w:marRight w:val="0"/>
      <w:marTop w:val="0"/>
      <w:marBottom w:val="0"/>
      <w:divBdr>
        <w:top w:val="none" w:sz="0" w:space="0" w:color="auto"/>
        <w:left w:val="none" w:sz="0" w:space="0" w:color="auto"/>
        <w:bottom w:val="none" w:sz="0" w:space="0" w:color="auto"/>
        <w:right w:val="none" w:sz="0" w:space="0" w:color="auto"/>
      </w:divBdr>
    </w:div>
    <w:div w:id="751779780">
      <w:bodyDiv w:val="1"/>
      <w:marLeft w:val="0"/>
      <w:marRight w:val="0"/>
      <w:marTop w:val="0"/>
      <w:marBottom w:val="0"/>
      <w:divBdr>
        <w:top w:val="none" w:sz="0" w:space="0" w:color="auto"/>
        <w:left w:val="none" w:sz="0" w:space="0" w:color="auto"/>
        <w:bottom w:val="none" w:sz="0" w:space="0" w:color="auto"/>
        <w:right w:val="none" w:sz="0" w:space="0" w:color="auto"/>
      </w:divBdr>
    </w:div>
    <w:div w:id="1004548460">
      <w:bodyDiv w:val="1"/>
      <w:marLeft w:val="0"/>
      <w:marRight w:val="0"/>
      <w:marTop w:val="0"/>
      <w:marBottom w:val="0"/>
      <w:divBdr>
        <w:top w:val="none" w:sz="0" w:space="0" w:color="auto"/>
        <w:left w:val="none" w:sz="0" w:space="0" w:color="auto"/>
        <w:bottom w:val="none" w:sz="0" w:space="0" w:color="auto"/>
        <w:right w:val="none" w:sz="0" w:space="0" w:color="auto"/>
      </w:divBdr>
    </w:div>
    <w:div w:id="1087456669">
      <w:bodyDiv w:val="1"/>
      <w:marLeft w:val="0"/>
      <w:marRight w:val="0"/>
      <w:marTop w:val="0"/>
      <w:marBottom w:val="0"/>
      <w:divBdr>
        <w:top w:val="none" w:sz="0" w:space="0" w:color="auto"/>
        <w:left w:val="none" w:sz="0" w:space="0" w:color="auto"/>
        <w:bottom w:val="none" w:sz="0" w:space="0" w:color="auto"/>
        <w:right w:val="none" w:sz="0" w:space="0" w:color="auto"/>
      </w:divBdr>
    </w:div>
    <w:div w:id="1369990275">
      <w:bodyDiv w:val="1"/>
      <w:marLeft w:val="0"/>
      <w:marRight w:val="0"/>
      <w:marTop w:val="0"/>
      <w:marBottom w:val="0"/>
      <w:divBdr>
        <w:top w:val="none" w:sz="0" w:space="0" w:color="auto"/>
        <w:left w:val="none" w:sz="0" w:space="0" w:color="auto"/>
        <w:bottom w:val="none" w:sz="0" w:space="0" w:color="auto"/>
        <w:right w:val="none" w:sz="0" w:space="0" w:color="auto"/>
      </w:divBdr>
    </w:div>
    <w:div w:id="1432816725">
      <w:bodyDiv w:val="1"/>
      <w:marLeft w:val="0"/>
      <w:marRight w:val="0"/>
      <w:marTop w:val="0"/>
      <w:marBottom w:val="0"/>
      <w:divBdr>
        <w:top w:val="none" w:sz="0" w:space="0" w:color="auto"/>
        <w:left w:val="none" w:sz="0" w:space="0" w:color="auto"/>
        <w:bottom w:val="none" w:sz="0" w:space="0" w:color="auto"/>
        <w:right w:val="none" w:sz="0" w:space="0" w:color="auto"/>
      </w:divBdr>
    </w:div>
    <w:div w:id="1436247310">
      <w:bodyDiv w:val="1"/>
      <w:marLeft w:val="0"/>
      <w:marRight w:val="0"/>
      <w:marTop w:val="0"/>
      <w:marBottom w:val="0"/>
      <w:divBdr>
        <w:top w:val="none" w:sz="0" w:space="0" w:color="auto"/>
        <w:left w:val="none" w:sz="0" w:space="0" w:color="auto"/>
        <w:bottom w:val="none" w:sz="0" w:space="0" w:color="auto"/>
        <w:right w:val="none" w:sz="0" w:space="0" w:color="auto"/>
      </w:divBdr>
    </w:div>
    <w:div w:id="1588534836">
      <w:bodyDiv w:val="1"/>
      <w:marLeft w:val="0"/>
      <w:marRight w:val="0"/>
      <w:marTop w:val="0"/>
      <w:marBottom w:val="0"/>
      <w:divBdr>
        <w:top w:val="none" w:sz="0" w:space="0" w:color="auto"/>
        <w:left w:val="none" w:sz="0" w:space="0" w:color="auto"/>
        <w:bottom w:val="none" w:sz="0" w:space="0" w:color="auto"/>
        <w:right w:val="none" w:sz="0" w:space="0" w:color="auto"/>
      </w:divBdr>
    </w:div>
    <w:div w:id="1706445134">
      <w:bodyDiv w:val="1"/>
      <w:marLeft w:val="0"/>
      <w:marRight w:val="0"/>
      <w:marTop w:val="0"/>
      <w:marBottom w:val="0"/>
      <w:divBdr>
        <w:top w:val="none" w:sz="0" w:space="0" w:color="auto"/>
        <w:left w:val="none" w:sz="0" w:space="0" w:color="auto"/>
        <w:bottom w:val="none" w:sz="0" w:space="0" w:color="auto"/>
        <w:right w:val="none" w:sz="0" w:space="0" w:color="auto"/>
      </w:divBdr>
    </w:div>
    <w:div w:id="1793402521">
      <w:bodyDiv w:val="1"/>
      <w:marLeft w:val="0"/>
      <w:marRight w:val="0"/>
      <w:marTop w:val="0"/>
      <w:marBottom w:val="0"/>
      <w:divBdr>
        <w:top w:val="none" w:sz="0" w:space="0" w:color="auto"/>
        <w:left w:val="none" w:sz="0" w:space="0" w:color="auto"/>
        <w:bottom w:val="none" w:sz="0" w:space="0" w:color="auto"/>
        <w:right w:val="none" w:sz="0" w:space="0" w:color="auto"/>
      </w:divBdr>
    </w:div>
    <w:div w:id="1910529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3484</Words>
  <Characters>19165</Characters>
  <Application>Microsoft Office Word</Application>
  <DocSecurity>4</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edgardo motta</dc:creator>
  <cp:keywords/>
  <dc:description/>
  <cp:lastModifiedBy>edgardo motta</cp:lastModifiedBy>
  <cp:revision>2</cp:revision>
  <dcterms:created xsi:type="dcterms:W3CDTF">2025-04-22T19:56:00Z</dcterms:created>
  <dcterms:modified xsi:type="dcterms:W3CDTF">2025-04-22T19:56:00Z</dcterms:modified>
</cp:coreProperties>
</file>