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D636" w14:textId="77777777" w:rsidR="00D63E3D" w:rsidRPr="00FF5A6F" w:rsidRDefault="00D63E3D" w:rsidP="00D63E3D">
      <w:pPr>
        <w:spacing w:after="0" w:line="360" w:lineRule="auto"/>
        <w:jc w:val="both"/>
        <w:rPr>
          <w:rFonts w:ascii="Century Gothic" w:hAnsi="Century Gothic"/>
          <w:b/>
          <w:bCs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 xml:space="preserve">H. CONGRESO DEL ESTADO DE CHIHUAHUA. </w:t>
      </w:r>
    </w:p>
    <w:p w14:paraId="56A1CA6E" w14:textId="77777777" w:rsidR="00D63E3D" w:rsidRPr="00FF5A6F" w:rsidRDefault="00D63E3D" w:rsidP="00D63E3D">
      <w:pPr>
        <w:spacing w:after="0" w:line="360" w:lineRule="auto"/>
        <w:jc w:val="both"/>
        <w:rPr>
          <w:rFonts w:ascii="Century Gothic" w:hAnsi="Century Gothic"/>
          <w:b/>
          <w:bCs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 xml:space="preserve">P R E S E N T E.- </w:t>
      </w:r>
    </w:p>
    <w:p w14:paraId="17DFBEB2" w14:textId="77777777" w:rsidR="00D63E3D" w:rsidRPr="00FF5A6F" w:rsidRDefault="00D63E3D" w:rsidP="00D63E3D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2A9395AD" w14:textId="77777777" w:rsidR="00322DD8" w:rsidRDefault="00D63E3D" w:rsidP="00D63E3D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 xml:space="preserve">Los suscritos, </w:t>
      </w:r>
      <w:r w:rsidRPr="00FF5A6F">
        <w:rPr>
          <w:rFonts w:ascii="Century Gothic" w:hAnsi="Century Gothic"/>
          <w:sz w:val="32"/>
          <w:szCs w:val="32"/>
        </w:rPr>
        <w:t xml:space="preserve">en nuestro carácter de Diputadas y Diputados de la Sexagésima Octava Legislatura del H. Congreso del Estado de Chihuahua, e integrantes del Grupo Parlamentario del Partido MORENA </w:t>
      </w:r>
      <w:r w:rsidRPr="00FF5A6F">
        <w:rPr>
          <w:rFonts w:ascii="Century Gothic" w:eastAsia="Century Gothic" w:hAnsi="Century Gothic" w:cs="Century Gothic"/>
          <w:sz w:val="32"/>
          <w:szCs w:val="32"/>
        </w:rPr>
        <w:t xml:space="preserve">con fundamento en lo que disponen los artículos 41 fracción </w:t>
      </w:r>
      <w:r>
        <w:rPr>
          <w:rFonts w:ascii="Century Gothic" w:eastAsia="Century Gothic" w:hAnsi="Century Gothic" w:cs="Century Gothic"/>
          <w:sz w:val="32"/>
          <w:szCs w:val="32"/>
        </w:rPr>
        <w:t xml:space="preserve">SEXTA </w:t>
      </w:r>
      <w:r w:rsidRPr="00FF5A6F">
        <w:rPr>
          <w:rFonts w:ascii="Century Gothic" w:eastAsia="Century Gothic" w:hAnsi="Century Gothic" w:cs="Century Gothic"/>
          <w:sz w:val="32"/>
          <w:szCs w:val="32"/>
        </w:rPr>
        <w:t xml:space="preserve">y 169 de la Ley Orgánica del Poder Legislativo; artículo 2, fracción IX del Reglamento Interior y de Prácticas Parlamentarias del Poder Legislativo, comparezco ante esta Soberanía a fin de presentar </w:t>
      </w:r>
      <w:r w:rsidRPr="00FF5A6F">
        <w:rPr>
          <w:rFonts w:ascii="Century Gothic" w:eastAsia="Century Gothic" w:hAnsi="Century Gothic" w:cs="Century Gothic"/>
          <w:b/>
          <w:sz w:val="32"/>
          <w:szCs w:val="32"/>
        </w:rPr>
        <w:t xml:space="preserve">Proposición con carácter de </w:t>
      </w:r>
      <w:r w:rsidRPr="00FF5A6F">
        <w:rPr>
          <w:rFonts w:ascii="Century Gothic" w:hAnsi="Century Gothic"/>
          <w:b/>
          <w:sz w:val="32"/>
          <w:szCs w:val="32"/>
        </w:rPr>
        <w:t>Punto de Acuerdo</w:t>
      </w:r>
      <w:r w:rsidRPr="00FF5A6F">
        <w:rPr>
          <w:rFonts w:ascii="Century Gothic" w:hAnsi="Century Gothic"/>
          <w:sz w:val="32"/>
          <w:szCs w:val="32"/>
        </w:rPr>
        <w:t xml:space="preserve"> para </w:t>
      </w:r>
      <w:r w:rsidR="00322DD8">
        <w:rPr>
          <w:rFonts w:ascii="Century Gothic" w:hAnsi="Century Gothic"/>
          <w:sz w:val="32"/>
          <w:szCs w:val="32"/>
        </w:rPr>
        <w:t>crear una comisión especial para resolver el problema del</w:t>
      </w:r>
    </w:p>
    <w:p w14:paraId="7DA3793E" w14:textId="4349FDD9" w:rsidR="00D63E3D" w:rsidRPr="00FF5A6F" w:rsidRDefault="00322DD8" w:rsidP="00D63E3D">
      <w:pPr>
        <w:spacing w:after="0" w:line="360" w:lineRule="auto"/>
        <w:jc w:val="both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Relleno sanitario</w:t>
      </w:r>
      <w:r w:rsidR="00D63E3D" w:rsidRPr="00FF5A6F">
        <w:rPr>
          <w:rFonts w:ascii="Century Gothic" w:eastAsia="Century Gothic" w:hAnsi="Century Gothic" w:cs="Century Gothic"/>
          <w:b/>
          <w:sz w:val="32"/>
          <w:szCs w:val="32"/>
        </w:rPr>
        <w:t>,</w:t>
      </w:r>
      <w:r w:rsidR="00D63E3D" w:rsidRPr="00FF5A6F">
        <w:rPr>
          <w:rFonts w:ascii="Century Gothic" w:eastAsia="Century Gothic" w:hAnsi="Century Gothic" w:cs="Century Gothic"/>
          <w:sz w:val="32"/>
          <w:szCs w:val="32"/>
        </w:rPr>
        <w:t xml:space="preserve"> lo anterior con sustento en la siguiente:</w:t>
      </w:r>
    </w:p>
    <w:p w14:paraId="036F43C7" w14:textId="77777777" w:rsidR="00D63E3D" w:rsidRPr="00FF5A6F" w:rsidRDefault="00D63E3D" w:rsidP="00D63E3D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32"/>
          <w:szCs w:val="32"/>
        </w:rPr>
      </w:pPr>
    </w:p>
    <w:p w14:paraId="5E87CD55" w14:textId="77777777" w:rsidR="00D63E3D" w:rsidRPr="00FF5A6F" w:rsidRDefault="00D63E3D" w:rsidP="00D63E3D">
      <w:pPr>
        <w:spacing w:after="0" w:line="36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FF5A6F">
        <w:rPr>
          <w:rFonts w:ascii="Century Gothic" w:eastAsia="Century Gothic" w:hAnsi="Century Gothic" w:cs="Century Gothic"/>
          <w:b/>
          <w:sz w:val="32"/>
          <w:szCs w:val="32"/>
        </w:rPr>
        <w:t>EXPOSICIÓN DE MOTIVOS:</w:t>
      </w:r>
    </w:p>
    <w:p w14:paraId="1ADD1DE2" w14:textId="77777777" w:rsidR="00D63E3D" w:rsidRPr="00FF5A6F" w:rsidRDefault="00D63E3D" w:rsidP="00D63E3D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7DC9366A" w14:textId="77777777" w:rsidR="00322DD8" w:rsidRPr="00322DD8" w:rsidRDefault="00322DD8" w:rsidP="00322DD8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322DD8">
        <w:rPr>
          <w:rFonts w:ascii="Century Gothic" w:hAnsi="Century Gothic"/>
          <w:sz w:val="32"/>
          <w:szCs w:val="32"/>
        </w:rPr>
        <w:t xml:space="preserve">El Relleno Sanitario de la Ciudad de Chihuahua ha operado por más de dos décadas como el principal sitio de disposición final de residuos sólidos urbanos. Sin </w:t>
      </w:r>
      <w:r w:rsidRPr="00322DD8">
        <w:rPr>
          <w:rFonts w:ascii="Century Gothic" w:hAnsi="Century Gothic"/>
          <w:sz w:val="32"/>
          <w:szCs w:val="32"/>
        </w:rPr>
        <w:lastRenderedPageBreak/>
        <w:t>embargo, en los últimos años se ha documentado una serie de deficiencias que ponen en riesgo la salud pública, el medio ambiente y el derecho humano a un entorno sano.</w:t>
      </w:r>
    </w:p>
    <w:p w14:paraId="2B398C07" w14:textId="77777777" w:rsidR="00322DD8" w:rsidRPr="00322DD8" w:rsidRDefault="00322DD8" w:rsidP="00322DD8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59BDA442" w14:textId="77777777" w:rsidR="00322DD8" w:rsidRPr="00322DD8" w:rsidRDefault="00322DD8" w:rsidP="00322DD8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322DD8">
        <w:rPr>
          <w:rFonts w:ascii="Century Gothic" w:hAnsi="Century Gothic"/>
          <w:sz w:val="32"/>
          <w:szCs w:val="32"/>
        </w:rPr>
        <w:t>Diversos estudios y reportajes periodísticos han señalado que el relleno ha alcanzado su capacidad límite, y que su operación presenta problemas en el manejo de lixiviados, la generación de gases de efecto invernadero, la falta de separación de residuos y la ausencia de mecanismos efectivos para su clausura o reconversión.</w:t>
      </w:r>
    </w:p>
    <w:p w14:paraId="5B536F43" w14:textId="77777777" w:rsidR="00322DD8" w:rsidRPr="00322DD8" w:rsidRDefault="00322DD8" w:rsidP="00322DD8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2AE03DC6" w14:textId="77777777" w:rsidR="00322DD8" w:rsidRPr="00322DD8" w:rsidRDefault="00322DD8" w:rsidP="00322DD8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322DD8">
        <w:rPr>
          <w:rFonts w:ascii="Century Gothic" w:hAnsi="Century Gothic"/>
          <w:sz w:val="32"/>
          <w:szCs w:val="32"/>
        </w:rPr>
        <w:t>Además, organizaciones civiles, habitantes de colonias aledañas y trabajadores del sector han denunciado malos olores persistentes, fauna nociva, contaminación del subsuelo y afectaciones a la calidad del aire, lo cual evidencia una omisión sistemática por parte de las autoridades para implementar un plan integral de gestión de residuos y clausura técnica del sitio.</w:t>
      </w:r>
    </w:p>
    <w:p w14:paraId="77AEA600" w14:textId="77777777" w:rsidR="00322DD8" w:rsidRPr="00322DD8" w:rsidRDefault="00322DD8" w:rsidP="00322DD8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6BA1C598" w14:textId="35D933AC" w:rsidR="00322DD8" w:rsidRPr="00322DD8" w:rsidRDefault="00322DD8" w:rsidP="00322DD8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322DD8">
        <w:rPr>
          <w:rFonts w:ascii="Century Gothic" w:hAnsi="Century Gothic"/>
          <w:sz w:val="32"/>
          <w:szCs w:val="32"/>
        </w:rPr>
        <w:t xml:space="preserve">En este contexto, resulta necesario que </w:t>
      </w:r>
      <w:r>
        <w:rPr>
          <w:rFonts w:ascii="Century Gothic" w:hAnsi="Century Gothic"/>
          <w:sz w:val="32"/>
          <w:szCs w:val="32"/>
        </w:rPr>
        <w:t>como diputados asumamos</w:t>
      </w:r>
      <w:r w:rsidRPr="00322DD8">
        <w:rPr>
          <w:rFonts w:ascii="Century Gothic" w:hAnsi="Century Gothic"/>
          <w:sz w:val="32"/>
          <w:szCs w:val="32"/>
        </w:rPr>
        <w:t xml:space="preserve"> una posición activa para analizar el problema </w:t>
      </w:r>
      <w:r w:rsidRPr="00322DD8">
        <w:rPr>
          <w:rFonts w:ascii="Century Gothic" w:hAnsi="Century Gothic"/>
          <w:sz w:val="32"/>
          <w:szCs w:val="32"/>
        </w:rPr>
        <w:lastRenderedPageBreak/>
        <w:t>desde una perspectiva técnica, legal, ambiental y social, a fin de proponer soluciones estructurales y sostenibles.</w:t>
      </w:r>
    </w:p>
    <w:p w14:paraId="38265340" w14:textId="77777777" w:rsidR="00322DD8" w:rsidRPr="00322DD8" w:rsidRDefault="00322DD8" w:rsidP="00322DD8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4AB8F6F7" w14:textId="29A33016" w:rsidR="00322DD8" w:rsidRDefault="00322DD8" w:rsidP="00CC4835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322DD8">
        <w:rPr>
          <w:rFonts w:ascii="Century Gothic" w:hAnsi="Century Gothic"/>
          <w:sz w:val="32"/>
          <w:szCs w:val="32"/>
        </w:rPr>
        <w:t>La creación de una Comisión Especial permitirá un espacio plural y especializado desde el Poder Legislativo para</w:t>
      </w:r>
      <w:r w:rsidR="00CC4835">
        <w:rPr>
          <w:rFonts w:ascii="Century Gothic" w:hAnsi="Century Gothic"/>
          <w:sz w:val="32"/>
          <w:szCs w:val="32"/>
        </w:rPr>
        <w:t xml:space="preserve"> realizar los</w:t>
      </w:r>
      <w:r w:rsidRPr="00322DD8">
        <w:rPr>
          <w:rFonts w:ascii="Century Gothic" w:hAnsi="Century Gothic"/>
          <w:sz w:val="32"/>
          <w:szCs w:val="32"/>
        </w:rPr>
        <w:t xml:space="preserve"> diagnósticos técnicos con base en información oficial y testimonios ciudadanos.</w:t>
      </w:r>
    </w:p>
    <w:p w14:paraId="4E589DBC" w14:textId="77777777" w:rsidR="00CC4835" w:rsidRDefault="00CC4835" w:rsidP="00CC4835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15B5B4D4" w14:textId="2B006F42" w:rsidR="00D63E3D" w:rsidRPr="00322DD8" w:rsidRDefault="00D63E3D" w:rsidP="00D63E3D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sz w:val="32"/>
          <w:szCs w:val="32"/>
        </w:rPr>
        <w:t xml:space="preserve">Por lo anteriormente expuesto, y con fundamento en lo establecido en los artículos 41 fracción </w:t>
      </w:r>
      <w:r>
        <w:rPr>
          <w:rFonts w:ascii="Century Gothic" w:hAnsi="Century Gothic"/>
          <w:sz w:val="32"/>
          <w:szCs w:val="32"/>
        </w:rPr>
        <w:t>SEXTA</w:t>
      </w:r>
      <w:r w:rsidRPr="00FF5A6F">
        <w:rPr>
          <w:rFonts w:ascii="Century Gothic" w:hAnsi="Century Gothic"/>
          <w:sz w:val="32"/>
          <w:szCs w:val="32"/>
        </w:rPr>
        <w:t xml:space="preserve"> y 169 de la Ley Orgánica del Poder Legislativo del Estado de Chihuahua, me permito poner a consideración del Pleno, la siguiente </w:t>
      </w:r>
      <w:r w:rsidRPr="00FF5A6F">
        <w:rPr>
          <w:rFonts w:ascii="Century Gothic" w:eastAsia="Century Gothic" w:hAnsi="Century Gothic" w:cs="Century Gothic"/>
          <w:b/>
          <w:sz w:val="32"/>
          <w:szCs w:val="32"/>
        </w:rPr>
        <w:t>Proposición con carácter de:</w:t>
      </w:r>
    </w:p>
    <w:p w14:paraId="76E6DCA3" w14:textId="77777777" w:rsidR="00D63E3D" w:rsidRPr="00FF5A6F" w:rsidRDefault="00D63E3D" w:rsidP="00D63E3D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32"/>
          <w:szCs w:val="32"/>
        </w:rPr>
      </w:pPr>
    </w:p>
    <w:p w14:paraId="11AB5F31" w14:textId="77777777" w:rsidR="00D63E3D" w:rsidRPr="00FF5A6F" w:rsidRDefault="00D63E3D" w:rsidP="00D63E3D">
      <w:pPr>
        <w:spacing w:after="0"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>PUNTO DE ACUERDO</w:t>
      </w:r>
    </w:p>
    <w:p w14:paraId="766F8595" w14:textId="77777777" w:rsidR="00D63E3D" w:rsidRPr="00FF5A6F" w:rsidRDefault="00D63E3D" w:rsidP="00D63E3D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50872291" w14:textId="77777777" w:rsidR="00322DD8" w:rsidRPr="00322DD8" w:rsidRDefault="00D63E3D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>PRIMERO.</w:t>
      </w:r>
      <w:r w:rsidRPr="00FF5A6F">
        <w:rPr>
          <w:rFonts w:ascii="Century Gothic" w:hAnsi="Century Gothic"/>
          <w:sz w:val="32"/>
          <w:szCs w:val="32"/>
        </w:rPr>
        <w:t xml:space="preserve"> La Sexagésima Octava Legislatura del H. Congreso del Estado de Chihuahua, </w:t>
      </w:r>
      <w:r w:rsidR="00322DD8" w:rsidRPr="00322DD8">
        <w:rPr>
          <w:rFonts w:ascii="Century Gothic" w:hAnsi="Century Gothic"/>
          <w:sz w:val="32"/>
          <w:szCs w:val="32"/>
        </w:rPr>
        <w:t xml:space="preserve">ÚNICO. La Sexagésima Octava Legislatura del Honorable Congreso del Estado de Chihuahua acuerda la creación de una Comisión Especial para Analizar y Resolver el Problema del Relleno Sanitario de la Ciudad de Chihuahua, </w:t>
      </w:r>
      <w:r w:rsidR="00322DD8" w:rsidRPr="00322DD8">
        <w:rPr>
          <w:rFonts w:ascii="Century Gothic" w:hAnsi="Century Gothic"/>
          <w:sz w:val="32"/>
          <w:szCs w:val="32"/>
        </w:rPr>
        <w:lastRenderedPageBreak/>
        <w:t>integrada por diputadas y diputados representantes de los diferentes grupos y representaciones parlamentarias.</w:t>
      </w:r>
    </w:p>
    <w:p w14:paraId="6B45E96B" w14:textId="77777777" w:rsidR="00322DD8" w:rsidRPr="00322DD8" w:rsidRDefault="00322DD8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1C2172B1" w14:textId="77777777" w:rsidR="00322DD8" w:rsidRDefault="00322DD8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322DD8">
        <w:rPr>
          <w:rFonts w:ascii="Century Gothic" w:hAnsi="Century Gothic"/>
          <w:sz w:val="32"/>
          <w:szCs w:val="32"/>
        </w:rPr>
        <w:t>La Comisión Especial tendrá las siguientes atribuciones:</w:t>
      </w:r>
    </w:p>
    <w:p w14:paraId="226F0265" w14:textId="77777777" w:rsidR="00322DD8" w:rsidRDefault="00322DD8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6E9C25F2" w14:textId="72FB5FA3" w:rsidR="00322DD8" w:rsidRPr="00322DD8" w:rsidRDefault="00322DD8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I. </w:t>
      </w:r>
      <w:r w:rsidRPr="00322DD8">
        <w:rPr>
          <w:rFonts w:ascii="Century Gothic" w:hAnsi="Century Gothic"/>
          <w:sz w:val="32"/>
          <w:szCs w:val="32"/>
        </w:rPr>
        <w:t>Realizar un diagnóstico técnico, jurídico, ambiental y social sobre el estado actual del relleno sanitario.</w:t>
      </w:r>
    </w:p>
    <w:p w14:paraId="7768B676" w14:textId="5C11D0FD" w:rsidR="00322DD8" w:rsidRPr="00322DD8" w:rsidRDefault="00322DD8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II</w:t>
      </w:r>
      <w:r w:rsidRPr="00322DD8">
        <w:rPr>
          <w:rFonts w:ascii="Century Gothic" w:hAnsi="Century Gothic"/>
          <w:sz w:val="32"/>
          <w:szCs w:val="32"/>
        </w:rPr>
        <w:t>.</w:t>
      </w:r>
      <w:r w:rsidRPr="00322DD8">
        <w:rPr>
          <w:rFonts w:ascii="Century Gothic" w:hAnsi="Century Gothic"/>
          <w:sz w:val="32"/>
          <w:szCs w:val="32"/>
        </w:rPr>
        <w:tab/>
        <w:t>Convocar a comparecencias a funcionarios municipales, estatales, especialistas y ciudadanos afectados.</w:t>
      </w:r>
    </w:p>
    <w:p w14:paraId="072CCF52" w14:textId="5C9A49C4" w:rsidR="00322DD8" w:rsidRPr="00322DD8" w:rsidRDefault="00322DD8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III.</w:t>
      </w:r>
      <w:r w:rsidRPr="00322DD8">
        <w:rPr>
          <w:rFonts w:ascii="Century Gothic" w:hAnsi="Century Gothic"/>
          <w:sz w:val="32"/>
          <w:szCs w:val="32"/>
        </w:rPr>
        <w:tab/>
        <w:t>Proponer soluciones técnicas y legislativas para atender la crisis del sitio de disposición final.</w:t>
      </w:r>
    </w:p>
    <w:p w14:paraId="5D1A3968" w14:textId="19E1D6B7" w:rsidR="00322DD8" w:rsidRPr="00322DD8" w:rsidRDefault="00322DD8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IV. </w:t>
      </w:r>
      <w:r w:rsidRPr="00322DD8">
        <w:rPr>
          <w:rFonts w:ascii="Century Gothic" w:hAnsi="Century Gothic"/>
          <w:sz w:val="32"/>
          <w:szCs w:val="32"/>
        </w:rPr>
        <w:t>Emitir un informe final con recomendaciones que serán presentadas al Pleno del Congreso para su seguimiento legislativo.</w:t>
      </w:r>
    </w:p>
    <w:p w14:paraId="52192299" w14:textId="77777777" w:rsidR="00322DD8" w:rsidRPr="00322DD8" w:rsidRDefault="00322DD8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29511CED" w14:textId="77777777" w:rsidR="00322DD8" w:rsidRDefault="00322DD8" w:rsidP="003040A4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322DD8">
        <w:rPr>
          <w:rFonts w:ascii="Century Gothic" w:hAnsi="Century Gothic"/>
          <w:sz w:val="32"/>
          <w:szCs w:val="32"/>
        </w:rPr>
        <w:t>La Comisión Especial tendrá una duración de seis meses, con posibilidad de prórroga sujeta a votación del Pleno.</w:t>
      </w:r>
    </w:p>
    <w:p w14:paraId="0EA7C86A" w14:textId="77777777" w:rsidR="00322DD8" w:rsidRDefault="00322DD8" w:rsidP="00322DD8">
      <w:pPr>
        <w:spacing w:after="0" w:line="360" w:lineRule="auto"/>
        <w:jc w:val="both"/>
        <w:rPr>
          <w:rFonts w:ascii="Century Gothic" w:hAnsi="Century Gothic"/>
          <w:b/>
          <w:bCs/>
          <w:sz w:val="32"/>
          <w:szCs w:val="32"/>
        </w:rPr>
      </w:pPr>
    </w:p>
    <w:p w14:paraId="62A31FFE" w14:textId="3BCBA5E3" w:rsidR="00D63E3D" w:rsidRPr="00FF5A6F" w:rsidRDefault="00D63E3D" w:rsidP="00322DD8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>ECONÓMICO.</w:t>
      </w:r>
      <w:r w:rsidRPr="00FF5A6F">
        <w:rPr>
          <w:rFonts w:ascii="Century Gothic" w:hAnsi="Century Gothic"/>
          <w:sz w:val="32"/>
          <w:szCs w:val="32"/>
        </w:rPr>
        <w:t xml:space="preserve"> Aprobado que sea, túrnese a la Secretaría para que elabore la Minuta de Acuerdo correspondiente. </w:t>
      </w:r>
    </w:p>
    <w:p w14:paraId="270F3A01" w14:textId="77777777" w:rsidR="00D63E3D" w:rsidRPr="00FF5A6F" w:rsidRDefault="00D63E3D" w:rsidP="00D63E3D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0E30ECF7" w14:textId="6CF7985F" w:rsidR="00D63E3D" w:rsidRPr="00FF5A6F" w:rsidRDefault="00D63E3D" w:rsidP="00D63E3D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  <w:r w:rsidRPr="00FF5A6F">
        <w:rPr>
          <w:rFonts w:ascii="Century Gothic" w:hAnsi="Century Gothic"/>
          <w:b/>
          <w:bCs/>
          <w:sz w:val="32"/>
          <w:szCs w:val="32"/>
        </w:rPr>
        <w:t>D A D O</w:t>
      </w:r>
      <w:r w:rsidRPr="00FF5A6F">
        <w:rPr>
          <w:rFonts w:ascii="Century Gothic" w:hAnsi="Century Gothic"/>
          <w:sz w:val="32"/>
          <w:szCs w:val="32"/>
        </w:rPr>
        <w:t xml:space="preserve"> en el Salón de Sesiones del Poder Legislativo, en la ciudad de Chihuahua, Chih., a los </w:t>
      </w:r>
      <w:r w:rsidR="00C417F6">
        <w:rPr>
          <w:rFonts w:ascii="Century Gothic" w:hAnsi="Century Gothic"/>
          <w:sz w:val="32"/>
          <w:szCs w:val="32"/>
        </w:rPr>
        <w:t xml:space="preserve">veintidós </w:t>
      </w:r>
      <w:r w:rsidRPr="00FF5A6F">
        <w:rPr>
          <w:rFonts w:ascii="Century Gothic" w:hAnsi="Century Gothic"/>
          <w:sz w:val="32"/>
          <w:szCs w:val="32"/>
        </w:rPr>
        <w:t xml:space="preserve">días de </w:t>
      </w:r>
      <w:r w:rsidR="00C417F6">
        <w:rPr>
          <w:rFonts w:ascii="Century Gothic" w:hAnsi="Century Gothic"/>
          <w:sz w:val="32"/>
          <w:szCs w:val="32"/>
        </w:rPr>
        <w:t>abril</w:t>
      </w:r>
      <w:r w:rsidRPr="00FF5A6F">
        <w:rPr>
          <w:rFonts w:ascii="Century Gothic" w:hAnsi="Century Gothic"/>
          <w:sz w:val="32"/>
          <w:szCs w:val="32"/>
        </w:rPr>
        <w:t xml:space="preserve"> del año dos mil veinticinco.</w:t>
      </w:r>
    </w:p>
    <w:p w14:paraId="05FF86D7" w14:textId="77777777" w:rsidR="00D63E3D" w:rsidRPr="00FF5A6F" w:rsidRDefault="00D63E3D" w:rsidP="00D63E3D">
      <w:pPr>
        <w:spacing w:after="0" w:line="360" w:lineRule="auto"/>
        <w:jc w:val="both"/>
        <w:rPr>
          <w:rFonts w:ascii="Century Gothic" w:hAnsi="Century Gothic"/>
          <w:sz w:val="32"/>
          <w:szCs w:val="32"/>
        </w:rPr>
      </w:pPr>
    </w:p>
    <w:p w14:paraId="48027721" w14:textId="25CD1A4D" w:rsidR="007A5B95" w:rsidRPr="007A5B95" w:rsidRDefault="00D63E3D" w:rsidP="007A5B95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  <w:sz w:val="32"/>
          <w:szCs w:val="32"/>
        </w:rPr>
      </w:pPr>
      <w:r w:rsidRPr="00FF5A6F">
        <w:rPr>
          <w:rFonts w:ascii="Century Gothic" w:hAnsi="Century Gothic" w:cs="Times New Roman"/>
          <w:b/>
          <w:bCs/>
          <w:color w:val="000000"/>
          <w:sz w:val="32"/>
          <w:szCs w:val="32"/>
        </w:rPr>
        <w:t>ATENTAMENTE,</w:t>
      </w:r>
    </w:p>
    <w:p w14:paraId="21A0F931" w14:textId="77777777" w:rsidR="007A5B95" w:rsidRPr="00444EFB" w:rsidRDefault="007A5B95" w:rsidP="003040A4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</w:rPr>
      </w:pPr>
    </w:p>
    <w:p w14:paraId="37849C3A" w14:textId="77777777" w:rsidR="007A5B95" w:rsidRDefault="007A5B95" w:rsidP="003040A4">
      <w:pPr>
        <w:spacing w:after="0" w:line="360" w:lineRule="auto"/>
        <w:jc w:val="both"/>
        <w:rPr>
          <w:rFonts w:ascii="Century Gothic" w:hAnsi="Century Gothic"/>
          <w:lang w:val="es-ES"/>
        </w:rPr>
      </w:pPr>
    </w:p>
    <w:p w14:paraId="756A2539" w14:textId="77777777" w:rsidR="007A5B95" w:rsidRDefault="007A5B95" w:rsidP="003040A4">
      <w:pPr>
        <w:spacing w:after="0" w:line="360" w:lineRule="auto"/>
        <w:jc w:val="center"/>
        <w:rPr>
          <w:rFonts w:ascii="Century Gothic" w:hAnsi="Century Gothic"/>
          <w:lang w:val="es-E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7A5B95" w:rsidRPr="00C17393" w14:paraId="3FD7664C" w14:textId="77777777" w:rsidTr="003040A4">
        <w:tc>
          <w:tcPr>
            <w:tcW w:w="4253" w:type="dxa"/>
          </w:tcPr>
          <w:p w14:paraId="0422F8D7" w14:textId="77777777" w:rsidR="007A5B95" w:rsidRPr="00C17393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 xml:space="preserve">DIP. </w:t>
            </w:r>
            <w:r>
              <w:rPr>
                <w:rFonts w:ascii="Century Gothic" w:hAnsi="Century Gothic" w:cs="Times New Roman"/>
                <w:b/>
                <w:bCs/>
                <w:color w:val="000000"/>
              </w:rPr>
              <w:t>BRENDA FRANCISCA RÍOS PRIETO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14:paraId="4CB1109E" w14:textId="77777777" w:rsidR="007A5B95" w:rsidRPr="00C17393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EDIN CUAUHTÉMOC ESTRADA SOTELO.</w:t>
            </w:r>
          </w:p>
        </w:tc>
      </w:tr>
      <w:tr w:rsidR="007A5B95" w:rsidRPr="00315C3D" w14:paraId="1E39873A" w14:textId="77777777" w:rsidTr="003040A4">
        <w:tc>
          <w:tcPr>
            <w:tcW w:w="4253" w:type="dxa"/>
            <w:hideMark/>
          </w:tcPr>
          <w:p w14:paraId="457C56D6" w14:textId="77777777" w:rsidR="007A5B95" w:rsidRPr="00C17393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4E1C38CB" w14:textId="77777777" w:rsidR="007A5B95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2BBB908D" w14:textId="77777777" w:rsidR="007A5B95" w:rsidRPr="00C17393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55A52BAA" w14:textId="77777777" w:rsidR="007A5B95" w:rsidRPr="00C17393" w:rsidRDefault="007A5B95" w:rsidP="003040A4">
            <w:pPr>
              <w:spacing w:after="0" w:line="360" w:lineRule="auto"/>
              <w:jc w:val="center"/>
              <w:rPr>
                <w:rFonts w:ascii="Century Gothic" w:hAnsi="Century Gothic" w:cs="Times New Roman"/>
              </w:rPr>
            </w:pPr>
            <w:r w:rsidRPr="00315C3D">
              <w:rPr>
                <w:rFonts w:ascii="Century Gothic" w:hAnsi="Century Gothic" w:cs="Times New Roman"/>
                <w:b/>
                <w:bCs/>
                <w:color w:val="000000"/>
              </w:rPr>
              <w:t>DIP. EDITH PALMA ONTIVEROS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  <w:hideMark/>
          </w:tcPr>
          <w:p w14:paraId="3C890CAC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lang w:val="it-IT"/>
              </w:rPr>
            </w:pPr>
          </w:p>
          <w:p w14:paraId="70B7FC3F" w14:textId="77777777" w:rsidR="007A5B95" w:rsidRPr="005D3056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lang w:val="it-IT"/>
              </w:rPr>
            </w:pPr>
            <w:r w:rsidRPr="005D3056">
              <w:rPr>
                <w:rFonts w:ascii="Century Gothic" w:eastAsia="Times New Roman" w:hAnsi="Century Gothic" w:cs="Times New Roman"/>
                <w:lang w:val="it-IT"/>
              </w:rPr>
              <w:br/>
            </w:r>
          </w:p>
          <w:p w14:paraId="5D54EDF4" w14:textId="77777777" w:rsidR="007A5B95" w:rsidRPr="00315C3D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315C3D">
              <w:rPr>
                <w:rFonts w:ascii="Century Gothic" w:hAnsi="Century Gothic" w:cs="Times New Roman"/>
                <w:b/>
                <w:bCs/>
                <w:color w:val="000000"/>
              </w:rPr>
              <w:t>DIP. ELIZABETH GUZMÁN ARGUETA</w:t>
            </w:r>
          </w:p>
        </w:tc>
      </w:tr>
      <w:tr w:rsidR="007A5B95" w:rsidRPr="00C17393" w14:paraId="2DCAB1A7" w14:textId="77777777" w:rsidTr="003040A4">
        <w:tc>
          <w:tcPr>
            <w:tcW w:w="4253" w:type="dxa"/>
            <w:hideMark/>
          </w:tcPr>
          <w:p w14:paraId="200590E4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109445FC" w14:textId="77777777" w:rsidR="007A5B95" w:rsidRPr="00315C3D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315C3D">
              <w:rPr>
                <w:rFonts w:ascii="Century Gothic" w:eastAsia="Times New Roman" w:hAnsi="Century Gothic" w:cs="Times New Roman"/>
              </w:rPr>
              <w:br/>
            </w:r>
          </w:p>
          <w:p w14:paraId="234D8F25" w14:textId="77777777" w:rsidR="007A5B95" w:rsidRPr="00C17393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LETICIA ORTEGA MÁYNEZ.</w:t>
            </w:r>
          </w:p>
        </w:tc>
        <w:tc>
          <w:tcPr>
            <w:tcW w:w="4819" w:type="dxa"/>
            <w:hideMark/>
          </w:tcPr>
          <w:p w14:paraId="71793390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51BC1332" w14:textId="77777777" w:rsidR="007A5B95" w:rsidRPr="00C17393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373956FB" w14:textId="77777777" w:rsidR="007A5B95" w:rsidRPr="00C17393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 xml:space="preserve">DIP. </w:t>
            </w:r>
            <w:r w:rsidRPr="00D64E08">
              <w:rPr>
                <w:rFonts w:ascii="Century Gothic" w:hAnsi="Century Gothic" w:cs="Times New Roman"/>
                <w:b/>
                <w:bCs/>
                <w:color w:val="000000"/>
              </w:rPr>
              <w:t>HERMINIA GÓMEZ CARRASCO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</w:tr>
      <w:tr w:rsidR="007A5B95" w:rsidRPr="00C17393" w14:paraId="72B7A3D1" w14:textId="77777777" w:rsidTr="003040A4">
        <w:tc>
          <w:tcPr>
            <w:tcW w:w="4253" w:type="dxa"/>
          </w:tcPr>
          <w:p w14:paraId="540E1EAC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3CBB7F81" w14:textId="77777777" w:rsidR="007A5B95" w:rsidRPr="00C17393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00175B99" w14:textId="77777777" w:rsidR="007A5B95" w:rsidRPr="00C17393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ROSANA DÍAZ REYES.</w:t>
            </w:r>
          </w:p>
        </w:tc>
        <w:tc>
          <w:tcPr>
            <w:tcW w:w="4819" w:type="dxa"/>
          </w:tcPr>
          <w:p w14:paraId="1B21A6FE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751030C5" w14:textId="77777777" w:rsidR="007A5B95" w:rsidRPr="00C17393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092BDC86" w14:textId="77777777" w:rsidR="007A5B95" w:rsidRPr="00C17393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MARÍA ANTONIETA PÉREZ REYES.</w:t>
            </w:r>
          </w:p>
        </w:tc>
      </w:tr>
      <w:tr w:rsidR="007A5B95" w:rsidRPr="00C17393" w14:paraId="04410B88" w14:textId="77777777" w:rsidTr="003040A4">
        <w:tc>
          <w:tcPr>
            <w:tcW w:w="4253" w:type="dxa"/>
          </w:tcPr>
          <w:p w14:paraId="0A149066" w14:textId="77777777" w:rsidR="007A5B95" w:rsidRDefault="007A5B95" w:rsidP="003040A4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</w:p>
          <w:p w14:paraId="51F45C1D" w14:textId="77777777" w:rsidR="007A5B95" w:rsidRPr="00C17393" w:rsidRDefault="007A5B95" w:rsidP="003040A4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267EB42E" w14:textId="77777777" w:rsidR="007A5B95" w:rsidRPr="00C17393" w:rsidRDefault="007A5B95" w:rsidP="003040A4">
            <w:pPr>
              <w:spacing w:after="0" w:line="360" w:lineRule="auto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MAGDALENA RENTERÍA PÉREZ.</w:t>
            </w:r>
          </w:p>
        </w:tc>
        <w:tc>
          <w:tcPr>
            <w:tcW w:w="4819" w:type="dxa"/>
          </w:tcPr>
          <w:p w14:paraId="65D314E9" w14:textId="77777777" w:rsidR="007A5B95" w:rsidRDefault="007A5B95" w:rsidP="003040A4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</w:p>
          <w:p w14:paraId="6DD6246E" w14:textId="77777777" w:rsidR="007A5B95" w:rsidRPr="00C17393" w:rsidRDefault="007A5B95" w:rsidP="003040A4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4B407E7B" w14:textId="77777777" w:rsidR="007A5B95" w:rsidRPr="00C17393" w:rsidRDefault="007A5B95" w:rsidP="003040A4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F970D0">
              <w:rPr>
                <w:rFonts w:ascii="Century Gothic" w:hAnsi="Century Gothic" w:cs="Times New Roman"/>
                <w:b/>
                <w:bCs/>
                <w:color w:val="000000"/>
              </w:rPr>
              <w:t>DIP. PEDRO TORRES ESTRADA</w:t>
            </w:r>
          </w:p>
        </w:tc>
      </w:tr>
      <w:tr w:rsidR="007A5B95" w:rsidRPr="00E31807" w14:paraId="290CE076" w14:textId="77777777" w:rsidTr="003040A4">
        <w:tc>
          <w:tcPr>
            <w:tcW w:w="4253" w:type="dxa"/>
          </w:tcPr>
          <w:p w14:paraId="4E640186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6D9B5675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7B50AC1A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60E76D56" w14:textId="77777777" w:rsidR="007A5B95" w:rsidRPr="00E31807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  <w:r w:rsidRPr="00E31807">
              <w:rPr>
                <w:rFonts w:ascii="Century Gothic" w:eastAsia="Times New Roman" w:hAnsi="Century Gothic" w:cs="Times New Roman"/>
                <w:b/>
                <w:bCs/>
                <w:lang w:val="it-IT"/>
              </w:rPr>
              <w:t>DIP. ÓSCAR DANIEL AVITIA ARELLANES</w:t>
            </w:r>
          </w:p>
        </w:tc>
        <w:tc>
          <w:tcPr>
            <w:tcW w:w="4819" w:type="dxa"/>
          </w:tcPr>
          <w:p w14:paraId="295A5AE1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0A5D2D07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33951D5E" w14:textId="77777777" w:rsidR="007A5B95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7A945EFC" w14:textId="77777777" w:rsidR="007A5B95" w:rsidRPr="00E31807" w:rsidRDefault="007A5B95" w:rsidP="003040A4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  <w:r w:rsidRPr="00E31807">
              <w:rPr>
                <w:rFonts w:ascii="Century Gothic" w:eastAsia="Times New Roman" w:hAnsi="Century Gothic" w:cs="Times New Roman"/>
                <w:b/>
                <w:bCs/>
                <w:lang w:val="it-IT"/>
              </w:rPr>
              <w:t>DIP. JAEL ARGÜELLES DÍAZ</w:t>
            </w:r>
          </w:p>
        </w:tc>
      </w:tr>
    </w:tbl>
    <w:p w14:paraId="6E0BCC88" w14:textId="77777777" w:rsidR="007A5B95" w:rsidRDefault="007A5B95" w:rsidP="003040A4">
      <w:pPr>
        <w:spacing w:after="0" w:line="360" w:lineRule="auto"/>
        <w:jc w:val="center"/>
        <w:rPr>
          <w:rFonts w:ascii="Century Gothic" w:hAnsi="Century Gothic"/>
          <w:lang w:val="it-IT"/>
        </w:rPr>
      </w:pPr>
    </w:p>
    <w:p w14:paraId="55B26A0D" w14:textId="77777777" w:rsidR="007A5B95" w:rsidRDefault="007A5B95" w:rsidP="003040A4"/>
    <w:p w14:paraId="42A5A089" w14:textId="77777777" w:rsidR="00FF5A6F" w:rsidRPr="00D63E3D" w:rsidRDefault="00FF5A6F" w:rsidP="007A5B95">
      <w:pPr>
        <w:spacing w:after="0" w:line="360" w:lineRule="auto"/>
        <w:jc w:val="center"/>
      </w:pPr>
    </w:p>
    <w:sectPr w:rsidR="00FF5A6F" w:rsidRPr="00D63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F"/>
    <w:rsid w:val="00040132"/>
    <w:rsid w:val="002B1789"/>
    <w:rsid w:val="00322DD8"/>
    <w:rsid w:val="00372760"/>
    <w:rsid w:val="00425FE9"/>
    <w:rsid w:val="00426C06"/>
    <w:rsid w:val="004E0AAD"/>
    <w:rsid w:val="00540EC4"/>
    <w:rsid w:val="00565B2A"/>
    <w:rsid w:val="00640FA3"/>
    <w:rsid w:val="0070619B"/>
    <w:rsid w:val="007A5B95"/>
    <w:rsid w:val="0081016A"/>
    <w:rsid w:val="00863E0B"/>
    <w:rsid w:val="00884436"/>
    <w:rsid w:val="00944262"/>
    <w:rsid w:val="009763A7"/>
    <w:rsid w:val="009A59CF"/>
    <w:rsid w:val="00A01F29"/>
    <w:rsid w:val="00A409F0"/>
    <w:rsid w:val="00B3723E"/>
    <w:rsid w:val="00B54FCB"/>
    <w:rsid w:val="00BA65A0"/>
    <w:rsid w:val="00C417F6"/>
    <w:rsid w:val="00CC4835"/>
    <w:rsid w:val="00D63E3D"/>
    <w:rsid w:val="00D65A5B"/>
    <w:rsid w:val="00E2468D"/>
    <w:rsid w:val="00EF18A0"/>
    <w:rsid w:val="00F25E3B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F7A7"/>
  <w15:chartTrackingRefBased/>
  <w15:docId w15:val="{306BD0E6-BBE7-4154-8A94-BD927CE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3D"/>
  </w:style>
  <w:style w:type="paragraph" w:styleId="Ttulo1">
    <w:name w:val="heading 1"/>
    <w:basedOn w:val="Normal"/>
    <w:next w:val="Normal"/>
    <w:link w:val="Ttulo1Car"/>
    <w:uiPriority w:val="9"/>
    <w:qFormat/>
    <w:rsid w:val="00FF5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5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5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5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5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5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5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5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5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5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5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5A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5A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5A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5A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5A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5A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5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5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5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5A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5A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5A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5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5A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5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Ordonez Villegas</dc:creator>
  <cp:keywords/>
  <dc:description/>
  <cp:lastModifiedBy>congreso chihuahua</cp:lastModifiedBy>
  <cp:revision>2</cp:revision>
  <cp:lastPrinted>2025-02-19T16:04:00Z</cp:lastPrinted>
  <dcterms:created xsi:type="dcterms:W3CDTF">2025-04-21T20:44:00Z</dcterms:created>
  <dcterms:modified xsi:type="dcterms:W3CDTF">2025-04-21T20:44:00Z</dcterms:modified>
</cp:coreProperties>
</file>