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both"/>
        <w:spacing w:lineRule="auto" w:line="360"/>
        <w:ind w:right="3674" w:firstLine="0"/>
        <w:rPr>
          <w:b w:val="1"/>
          <w:shd w:val="clear"/>
          <w:rFonts w:ascii="Arial" w:hAnsi="Arial" w:cs="Arial"/>
          <w:lang w:val="es-nl"/>
        </w:rPr>
        <w:widowControl w:val="0"/>
        <w:autoSpaceDE w:val="0"/>
        <w:autoSpaceDN w:val="0"/>
      </w:pPr>
      <w:r>
        <w:rPr>
          <w:b w:val="1"/>
          <w:shd w:val="clear"/>
          <w:rFonts w:ascii="Arial" w:hAnsi="Arial" w:cs="Arial"/>
          <w:lang w:val="es-nl"/>
        </w:rPr>
        <w:t xml:space="preserve">H. CONGRE</w:t>
      </w:r>
      <w:r>
        <w:rPr>
          <w:spacing w:val="1"/>
          <w:b w:val="1"/>
          <w:shd w:val="clear"/>
          <w:rFonts w:ascii="Arial" w:hAnsi="Arial" w:cs="Arial"/>
          <w:lang w:val="es-nl"/>
        </w:rPr>
        <w:t>S</w:t>
      </w:r>
      <w:r>
        <w:rPr>
          <w:b w:val="1"/>
          <w:shd w:val="clear"/>
          <w:rFonts w:ascii="Arial" w:hAnsi="Arial" w:cs="Arial"/>
          <w:lang w:val="es-nl"/>
        </w:rPr>
        <w:t>O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DEL</w:t>
      </w:r>
      <w:r>
        <w:rPr>
          <w:spacing w:val="-2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ES</w:t>
      </w:r>
      <w:r>
        <w:rPr>
          <w:spacing w:val="2"/>
          <w:b w:val="1"/>
          <w:shd w:val="clear"/>
          <w:rFonts w:ascii="Arial" w:hAnsi="Arial" w:cs="Arial"/>
          <w:lang w:val="es-nl"/>
        </w:rPr>
        <w:t>T</w:t>
      </w:r>
      <w:r>
        <w:rPr>
          <w:spacing w:val="-5"/>
          <w:b w:val="1"/>
          <w:shd w:val="clear"/>
          <w:rFonts w:ascii="Arial" w:hAnsi="Arial" w:cs="Arial"/>
          <w:lang w:val="es-nl"/>
        </w:rPr>
        <w:t>A</w:t>
      </w:r>
      <w:r>
        <w:rPr>
          <w:b w:val="1"/>
          <w:shd w:val="clear"/>
          <w:rFonts w:ascii="Arial" w:hAnsi="Arial" w:cs="Arial"/>
          <w:lang w:val="es-nl"/>
        </w:rPr>
        <w:t xml:space="preserve">DO DE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CHIH</w:t>
      </w:r>
      <w:r>
        <w:rPr>
          <w:spacing w:val="4"/>
          <w:b w:val="1"/>
          <w:shd w:val="clear"/>
          <w:rFonts w:ascii="Arial" w:hAnsi="Arial" w:cs="Arial"/>
          <w:lang w:val="es-nl"/>
        </w:rPr>
        <w:t>U</w:t>
      </w:r>
      <w:r>
        <w:rPr>
          <w:spacing w:val="-3"/>
          <w:b w:val="1"/>
          <w:shd w:val="clear"/>
          <w:rFonts w:ascii="Arial" w:hAnsi="Arial" w:cs="Arial"/>
          <w:lang w:val="es-nl"/>
        </w:rPr>
        <w:t>A</w:t>
      </w:r>
      <w:r>
        <w:rPr>
          <w:b w:val="1"/>
          <w:shd w:val="clear"/>
          <w:rFonts w:ascii="Arial" w:hAnsi="Arial" w:cs="Arial"/>
          <w:lang w:val="es-nl"/>
        </w:rPr>
        <w:t>H</w:t>
      </w:r>
      <w:r>
        <w:rPr>
          <w:spacing w:val="4"/>
          <w:b w:val="1"/>
          <w:shd w:val="clear"/>
          <w:rFonts w:ascii="Arial" w:hAnsi="Arial" w:cs="Arial"/>
          <w:lang w:val="es-nl"/>
        </w:rPr>
        <w:t>U</w:t>
      </w:r>
      <w:r>
        <w:rPr>
          <w:b w:val="1"/>
          <w:shd w:val="clear"/>
          <w:rFonts w:ascii="Arial" w:hAnsi="Arial" w:cs="Arial"/>
          <w:lang w:val="es-nl"/>
        </w:rPr>
        <w:t xml:space="preserve">A </w:t>
      </w:r>
    </w:p>
    <w:p>
      <w:pPr>
        <w:jc w:val="both"/>
        <w:spacing w:lineRule="auto" w:line="360"/>
        <w:ind w:right="3674" w:firstLine="0"/>
        <w:rPr>
          <w:b w:val="1"/>
          <w:shd w:val="clear"/>
          <w:rFonts w:ascii="Arial" w:hAnsi="Arial" w:cs="Arial"/>
          <w:lang w:val="es-nl"/>
        </w:rPr>
        <w:widowControl w:val="0"/>
        <w:autoSpaceDE w:val="0"/>
        <w:autoSpaceDN w:val="0"/>
      </w:pPr>
      <w:r>
        <w:rPr>
          <w:b w:val="1"/>
          <w:shd w:val="clear"/>
          <w:rFonts w:ascii="Arial" w:hAnsi="Arial" w:cs="Arial"/>
          <w:lang w:val="es-nl"/>
        </w:rPr>
        <w:t>P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 xml:space="preserve">R E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S</w:t>
      </w:r>
      <w:r>
        <w:rPr>
          <w:spacing w:val="-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E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 xml:space="preserve">N T</w:t>
      </w:r>
      <w:r>
        <w:rPr>
          <w:spacing w:val="1"/>
          <w:b w:val="1"/>
          <w:shd w:val="clear"/>
          <w:rFonts w:ascii="Arial" w:hAnsi="Arial" w:cs="Arial"/>
          <w:lang w:val="es-nl"/>
        </w:rPr>
        <w:t xml:space="preserve"> </w:t>
      </w:r>
      <w:r>
        <w:rPr>
          <w:spacing w:val="-2"/>
          <w:b w:val="1"/>
          <w:shd w:val="clear"/>
          <w:rFonts w:ascii="Arial" w:hAnsi="Arial" w:cs="Arial"/>
          <w:lang w:val="es-nl"/>
        </w:rPr>
        <w:t>E</w:t>
      </w:r>
      <w:r>
        <w:rPr>
          <w:b w:val="1"/>
          <w:shd w:val="clear"/>
          <w:rFonts w:ascii="Arial" w:hAnsi="Arial" w:cs="Arial"/>
          <w:lang w:val="es-nl"/>
        </w:rPr>
        <w:t>.</w:t>
      </w:r>
      <w:r>
        <w:rPr>
          <w:spacing w:val="2"/>
          <w:b w:val="1"/>
          <w:shd w:val="clear"/>
          <w:rFonts w:ascii="Arial" w:hAnsi="Arial" w:cs="Arial"/>
          <w:lang w:val="es-nl"/>
        </w:rPr>
        <w:t xml:space="preserve"> </w:t>
      </w:r>
      <w:r>
        <w:rPr>
          <w:b w:val="1"/>
          <w:shd w:val="clear"/>
          <w:rFonts w:ascii="Arial" w:hAnsi="Arial" w:cs="Arial"/>
          <w:lang w:val="es-nl"/>
        </w:rPr>
        <w:t>-</w:t>
      </w:r>
    </w:p>
    <w:p>
      <w:pPr>
        <w:jc w:val="both"/>
        <w:spacing w:lineRule="auto" w:line="360"/>
        <w:rPr>
          <w:shd w:val="clear"/>
          <w:rFonts w:ascii="Arial" w:hAnsi="Arial" w:cs="Arial"/>
          <w:lang w:val="es-nl"/>
        </w:rPr>
        <w:widowControl w:val="0"/>
        <w:autoSpaceDE w:val="0"/>
        <w:autoSpaceDN w:val="0"/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La suscrita Diputada de la Sexagésima Octava Legislatura del Honorable Congreso 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del Estado </w:t>
      </w:r>
      <w:r>
        <w:rPr>
          <w:spacing w:val="1"/>
          <w:b w:val="1"/>
          <w:sz w:val="24"/>
          <w:szCs w:val="24"/>
          <w:shd w:val="clear"/>
          <w:rFonts w:ascii="Arial" w:hAnsi="Arial" w:cs="Arial"/>
          <w:lang w:val="es-nl"/>
        </w:rPr>
        <w:t xml:space="preserve">EDNA XÓCHITL CONTRERAS HERRERA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, miembro y en 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representación del Grupo Parlamentario del Partido Acción Nacional</w:t>
      </w:r>
      <w:r>
        <w:rPr>
          <w:spacing w:val="1"/>
          <w:sz w:val="24"/>
          <w:szCs w:val="24"/>
          <w:shd w:val="clear"/>
          <w:rFonts w:ascii="Arial" w:hAnsi="Arial" w:cs="Arial"/>
        </w:rPr>
        <w:t xml:space="preserve">, en uso de las </w:t>
      </w:r>
      <w:r>
        <w:rPr>
          <w:spacing w:val="1"/>
          <w:sz w:val="24"/>
          <w:szCs w:val="24"/>
          <w:shd w:val="clear"/>
          <w:rFonts w:ascii="Arial" w:hAnsi="Arial" w:cs="Arial"/>
        </w:rPr>
        <w:t xml:space="preserve">facultades que me confieren los arábigos 58 y 68 fracción I de la Constitución </w:t>
      </w:r>
      <w:r>
        <w:rPr>
          <w:spacing w:val="1"/>
          <w:sz w:val="24"/>
          <w:szCs w:val="24"/>
          <w:shd w:val="clear"/>
          <w:rFonts w:ascii="Arial" w:hAnsi="Arial" w:cs="Arial"/>
        </w:rPr>
        <w:t xml:space="preserve">Particular del Estado, así como el diverso 167 fracción I, 168, 168 BIS, y demás </w:t>
      </w:r>
      <w:r>
        <w:rPr>
          <w:spacing w:val="1"/>
          <w:sz w:val="24"/>
          <w:szCs w:val="24"/>
          <w:shd w:val="clear"/>
          <w:rFonts w:ascii="Arial" w:hAnsi="Arial" w:cs="Arial"/>
        </w:rPr>
        <w:t xml:space="preserve">relativos de la Ley Orgánica del Poder Legislativo del Estado de Chihuahua, 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los 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numerales 75 y 76 del Reglamento Interior y de Prácticas Parlamentarias del Poder </w:t>
      </w:r>
      <w:r>
        <w:rPr>
          <w:spacing w:val="1"/>
          <w:sz w:val="24"/>
          <w:szCs w:val="24"/>
          <w:shd w:val="clear"/>
          <w:rFonts w:ascii="Arial" w:hAnsi="Arial" w:cs="Arial"/>
          <w:lang w:val="es-nl"/>
        </w:rPr>
        <w:t xml:space="preserve">Legislativo, </w:t>
      </w:r>
      <w:r>
        <w:rPr>
          <w:spacing w:val="1"/>
          <w:sz w:val="24"/>
          <w:szCs w:val="24"/>
          <w:shd w:val="clear"/>
          <w:rFonts w:ascii="Arial" w:hAnsi="Arial" w:cs="Arial"/>
        </w:rPr>
        <w:t xml:space="preserve">acudo ante esta Honorable Asamblea</w:t>
      </w:r>
      <w:r>
        <w:rPr>
          <w:sz w:val="24"/>
          <w:szCs w:val="24"/>
          <w:shd w:val="clear"/>
          <w:rFonts w:ascii="Arial" w:hAnsi="Arial" w:cs="Arial"/>
        </w:rPr>
        <w:t xml:space="preserve">, a efecto de presentar iniciativa </w:t>
      </w:r>
      <w:r>
        <w:rPr>
          <w:sz w:val="24"/>
          <w:szCs w:val="24"/>
          <w:shd w:val="clear"/>
          <w:rFonts w:ascii="Arial" w:hAnsi="Arial" w:cs="Arial"/>
        </w:rPr>
        <w:t xml:space="preserve">con carácter de decreto con el propósito de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adicionar el artículo 190 Bis del Código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Penal del Estado de Chihuahua, para tipificar como delito específico, la presentación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ante los Tribunales Familiares, de información falsa por parte de empleadores,  en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relación a los ingresos de sus trabajadores, con la finalidad perjudicar a quien tiene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derecho de recibir una pensión alimenticia, </w:t>
      </w:r>
      <w:r>
        <w:rPr>
          <w:sz w:val="24"/>
          <w:szCs w:val="24"/>
          <w:shd w:val="clear"/>
          <w:rFonts w:ascii="Arial" w:hAnsi="Arial" w:cs="Arial"/>
        </w:rPr>
        <w:t xml:space="preserve">la que se presenta al tenor de la </w:t>
      </w:r>
      <w:r>
        <w:rPr>
          <w:sz w:val="24"/>
          <w:szCs w:val="24"/>
          <w:shd w:val="clear"/>
          <w:rFonts w:ascii="Arial" w:hAnsi="Arial" w:cs="Arial"/>
        </w:rPr>
        <w:t>siguiente: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center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  <w:r>
        <w:rPr>
          <w:b w:val="1"/>
          <w:sz w:val="24"/>
          <w:szCs w:val="24"/>
          <w:shd w:val="clear"/>
          <w:rFonts w:ascii="Arial" w:hAnsi="Arial" w:cs="Arial"/>
        </w:rPr>
        <w:t xml:space="preserve">EXPOSICIÓN DE MOTIVOS</w:t>
      </w:r>
    </w:p>
    <w:p>
      <w:pPr>
        <w:pStyle w:val="PO5"/>
        <w:jc w:val="center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El artículo tres de la Convención Sobre los Derechos del Niño, manifiesta que: “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en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todas las medidas concernientes a los niños que tomen las instituciones públicas o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privadas de bienestar social, los tribunales, las autoridades administrativas o los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órganos legislativos, una consideración primordial a que se atenderá será el interés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superior del niño</w:t>
      </w:r>
      <w:r>
        <w:rPr>
          <w:sz w:val="24"/>
          <w:szCs w:val="24"/>
          <w:shd w:val="clear"/>
          <w:rFonts w:ascii="Arial" w:hAnsi="Arial" w:cs="Arial"/>
        </w:rPr>
        <w:t>.”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En esa tesitura, consideramos oportuno, que este Honorable Cuerpo Colegiado, </w:t>
      </w:r>
      <w:r>
        <w:rPr>
          <w:sz w:val="24"/>
          <w:szCs w:val="24"/>
          <w:shd w:val="clear"/>
          <w:rFonts w:ascii="Arial" w:hAnsi="Arial" w:cs="Arial"/>
        </w:rPr>
        <w:t xml:space="preserve">realice todas las modificaciones necesarias a efecto de garantizar el interés superior </w:t>
      </w:r>
      <w:r>
        <w:rPr>
          <w:sz w:val="24"/>
          <w:szCs w:val="24"/>
          <w:shd w:val="clear"/>
          <w:rFonts w:ascii="Arial" w:hAnsi="Arial" w:cs="Arial"/>
        </w:rPr>
        <w:t xml:space="preserve">de las niñas, niños y adolescentes, protegiendo sus derechos, como lo es el derecho </w:t>
      </w:r>
      <w:r>
        <w:rPr>
          <w:sz w:val="24"/>
          <w:szCs w:val="24"/>
          <w:shd w:val="clear"/>
          <w:rFonts w:ascii="Arial" w:hAnsi="Arial" w:cs="Arial"/>
        </w:rPr>
        <w:t xml:space="preserve">a los alimentos o a una pensión alimenticia.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El numeral 285 del Código Civil del Estado de Chihuahua, manifiesta que los </w:t>
      </w:r>
      <w:r>
        <w:rPr>
          <w:sz w:val="24"/>
          <w:szCs w:val="24"/>
          <w:shd w:val="clear"/>
          <w:rFonts w:ascii="Arial" w:hAnsi="Arial" w:cs="Arial"/>
        </w:rPr>
        <w:t xml:space="preserve">alimentos comprenden: “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la comida, el vestido, la habitación y la asistencia en casos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de enfermedad, embarazo y parto. Respecto de las personas menores de edad, los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alimentos comprenden, además, los gastos necesarios para la educación preescolar,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primaria y secundaria o su equivalente y para proporcionarle algún oficio, arte o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profesión lícitos y adecuados a sus circunstancias personales. Tratándose de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personas con discapacidad o declarados en estado de interdicción, en los términos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de la Ley de la materia, lo indispensable para lograr en lo posible su rehabilitación,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tratamiento y desarrollo</w:t>
      </w:r>
      <w:r>
        <w:rPr>
          <w:sz w:val="24"/>
          <w:szCs w:val="24"/>
          <w:shd w:val="clear"/>
          <w:rFonts w:ascii="Arial" w:hAnsi="Arial" w:cs="Arial"/>
        </w:rPr>
        <w:t>.”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En ese sentido, la Primera Sala de la Suprema Corte de Justicia de la Nación, en la </w:t>
      </w:r>
      <w:r>
        <w:rPr>
          <w:sz w:val="24"/>
          <w:szCs w:val="24"/>
          <w:shd w:val="clear"/>
          <w:rFonts w:ascii="Arial" w:hAnsi="Arial" w:cs="Arial"/>
        </w:rPr>
        <w:t xml:space="preserve">Tesis 49/2021, con registro digital 2023835, ha manifestado sobre el tema que: “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la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obligación de los padres de proporcionar alimentos a sus hijos e hijas y el correlativo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derecho de éstos a percibirlos es una expresión de solidaridad que deriva de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diversos derechos y principios constitucionales orientados a la protección y tutela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integral de los niños, niñas y adolescentes. Entre otros principios constitucionales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que se encuentran inmersos en esta figura se encuentran: la prevención y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conservación de la integridad física y moral de los hijos e hijas; el derecho de los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niños y niñas a acceder a un nivel de vida digna y adecuada; el respeto a su interés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superior y la necesidad de brindarles medidas especiales de protección. Esto último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conlleva además la obligación constitucional de todas las autoridades del Estado de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adoptar en el ámbito de sus competencias todas aquellas medidas que resulten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idóneas y necesarias para garantizar que los niños, niñas y adolescentes vean </w:t>
      </w:r>
      <w:r>
        <w:rPr>
          <w:i w:val="1"/>
          <w:sz w:val="24"/>
          <w:szCs w:val="24"/>
          <w:shd w:val="clear"/>
          <w:rFonts w:ascii="Arial" w:hAnsi="Arial" w:cs="Arial"/>
        </w:rPr>
        <w:t xml:space="preserve">satisfechas sus necesidades de manera integral, completa y adecuada.”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Ahora bien, en el Estado de Chihuahua se ha legislado a efecto de garantizar el </w:t>
      </w:r>
      <w:r>
        <w:rPr>
          <w:sz w:val="24"/>
          <w:szCs w:val="24"/>
          <w:shd w:val="clear"/>
          <w:rFonts w:ascii="Arial" w:hAnsi="Arial" w:cs="Arial"/>
        </w:rPr>
        <w:t xml:space="preserve">derecho de recibir alimentos o pensión alimenticia a nuestras niñas, niños y </w:t>
      </w:r>
      <w:r>
        <w:rPr>
          <w:sz w:val="24"/>
          <w:szCs w:val="24"/>
          <w:shd w:val="clear"/>
          <w:rFonts w:ascii="Arial" w:hAnsi="Arial" w:cs="Arial"/>
        </w:rPr>
        <w:t xml:space="preserve">adolescentes, tanto en el ámbito del derecho privado o civil, como en el ámbito penal, </w:t>
      </w:r>
      <w:r>
        <w:rPr>
          <w:sz w:val="24"/>
          <w:szCs w:val="24"/>
          <w:shd w:val="clear"/>
          <w:rFonts w:ascii="Arial" w:hAnsi="Arial" w:cs="Arial"/>
        </w:rPr>
        <w:t xml:space="preserve">tipificando inclusive el delito de incumplimiento de la obligación alimentaria.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De igual manera, nuestra legislación penal considera como conducta delictuosa, que </w:t>
      </w:r>
      <w:r>
        <w:rPr>
          <w:sz w:val="24"/>
          <w:szCs w:val="24"/>
          <w:shd w:val="clear"/>
          <w:rFonts w:ascii="Arial" w:hAnsi="Arial" w:cs="Arial"/>
        </w:rPr>
        <w:t xml:space="preserve">las personas obligadas a informar acerca de los ingresos de quienes sean deudores </w:t>
      </w:r>
      <w:r>
        <w:rPr>
          <w:sz w:val="24"/>
          <w:szCs w:val="24"/>
          <w:shd w:val="clear"/>
          <w:rFonts w:ascii="Arial" w:hAnsi="Arial" w:cs="Arial"/>
        </w:rPr>
        <w:t xml:space="preserve">alimenticios, incumplan con la orden judicial de hacerlo o haciéndolo no lo hagan </w:t>
      </w:r>
      <w:r>
        <w:rPr>
          <w:sz w:val="24"/>
          <w:szCs w:val="24"/>
          <w:shd w:val="clear"/>
          <w:rFonts w:ascii="Arial" w:hAnsi="Arial" w:cs="Arial"/>
        </w:rPr>
        <w:t xml:space="preserve">dentro del término ordenado por la autoridad judicial u omitan realizar de inmediato </w:t>
      </w:r>
      <w:r>
        <w:rPr>
          <w:sz w:val="24"/>
          <w:szCs w:val="24"/>
          <w:shd w:val="clear"/>
          <w:rFonts w:ascii="Arial" w:hAnsi="Arial" w:cs="Arial"/>
        </w:rPr>
        <w:t xml:space="preserve">el descuento ordenado.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Precisamente con el afán de seguir fortaleciendo este derecho humano a los </w:t>
      </w:r>
      <w:r>
        <w:rPr>
          <w:sz w:val="24"/>
          <w:szCs w:val="24"/>
          <w:shd w:val="clear"/>
          <w:rFonts w:ascii="Arial" w:hAnsi="Arial" w:cs="Arial"/>
        </w:rPr>
        <w:t xml:space="preserve">alimentos, es que nace esta iniciativa, ya que algunos empleadores al momento de </w:t>
      </w:r>
      <w:r>
        <w:rPr>
          <w:sz w:val="24"/>
          <w:szCs w:val="24"/>
          <w:shd w:val="clear"/>
          <w:rFonts w:ascii="Arial" w:hAnsi="Arial" w:cs="Arial"/>
        </w:rPr>
        <w:t xml:space="preserve">otorgar al órgano jurisdiccional estos informes de ingresos de sus empleados, lo </w:t>
      </w:r>
      <w:r>
        <w:rPr>
          <w:sz w:val="24"/>
          <w:szCs w:val="24"/>
          <w:shd w:val="clear"/>
          <w:rFonts w:ascii="Arial" w:hAnsi="Arial" w:cs="Arial"/>
        </w:rPr>
        <w:t xml:space="preserve">hacen falseando información, disminuyendo el salario real de su empleado a efecto </w:t>
      </w:r>
      <w:r>
        <w:rPr>
          <w:sz w:val="24"/>
          <w:szCs w:val="24"/>
          <w:shd w:val="clear"/>
          <w:rFonts w:ascii="Arial" w:hAnsi="Arial" w:cs="Arial"/>
        </w:rPr>
        <w:t xml:space="preserve">de que el deudor alimentario sea beneficiado, ya que dependiendo su salario es que </w:t>
      </w:r>
      <w:r>
        <w:rPr>
          <w:sz w:val="24"/>
          <w:szCs w:val="24"/>
          <w:shd w:val="clear"/>
          <w:rFonts w:ascii="Arial" w:hAnsi="Arial" w:cs="Arial"/>
        </w:rPr>
        <w:t xml:space="preserve">será el monto al que lo obligarían a proporcionar a sus hijos por el concepto de </w:t>
      </w:r>
      <w:r>
        <w:rPr>
          <w:sz w:val="24"/>
          <w:szCs w:val="24"/>
          <w:shd w:val="clear"/>
          <w:rFonts w:ascii="Arial" w:hAnsi="Arial" w:cs="Arial"/>
        </w:rPr>
        <w:t xml:space="preserve">pensión alimenticia, y por consecuencia, las niñas, niños y adolescentes reciben </w:t>
      </w:r>
      <w:r>
        <w:rPr>
          <w:sz w:val="24"/>
          <w:szCs w:val="24"/>
          <w:shd w:val="clear"/>
          <w:rFonts w:ascii="Arial" w:hAnsi="Arial" w:cs="Arial"/>
        </w:rPr>
        <w:t xml:space="preserve">menos cantidad económica de la que realmente les corresponde.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De un análisis del artículo 190 del Código Punitivo Estatal, se desprende que la </w:t>
      </w:r>
      <w:r>
        <w:rPr>
          <w:sz w:val="24"/>
          <w:szCs w:val="24"/>
          <w:shd w:val="clear"/>
          <w:rFonts w:ascii="Arial" w:hAnsi="Arial" w:cs="Arial"/>
        </w:rPr>
        <w:t xml:space="preserve">conducta que se castiga es únicamente el no emitir el informe correspondiente o en </w:t>
      </w:r>
      <w:r>
        <w:rPr>
          <w:sz w:val="24"/>
          <w:szCs w:val="24"/>
          <w:shd w:val="clear"/>
          <w:rFonts w:ascii="Arial" w:hAnsi="Arial" w:cs="Arial"/>
        </w:rPr>
        <w:t xml:space="preserve">su caso, no emitirlo dentro del plazo establecido por el órgano jurisdiccional, o bien, </w:t>
      </w:r>
      <w:r>
        <w:rPr>
          <w:sz w:val="24"/>
          <w:szCs w:val="24"/>
          <w:shd w:val="clear"/>
          <w:rFonts w:ascii="Arial" w:hAnsi="Arial" w:cs="Arial"/>
        </w:rPr>
        <w:t xml:space="preserve">no realizar oportunamente el descuento de pensión alimenticia de la nómina del </w:t>
      </w:r>
      <w:r>
        <w:rPr>
          <w:sz w:val="24"/>
          <w:szCs w:val="24"/>
          <w:shd w:val="clear"/>
          <w:rFonts w:ascii="Arial" w:hAnsi="Arial" w:cs="Arial"/>
        </w:rPr>
        <w:t xml:space="preserve">empleado, por lo que no se encuentra tipificado, que los empleadores otorguen al </w:t>
      </w:r>
      <w:r>
        <w:rPr>
          <w:sz w:val="24"/>
          <w:szCs w:val="24"/>
          <w:shd w:val="clear"/>
          <w:rFonts w:ascii="Arial" w:hAnsi="Arial" w:cs="Arial"/>
        </w:rPr>
        <w:t xml:space="preserve">Tribunal Familiar información falsa en relación a la nómina de su empleado.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Atendiendo al tercer párrafo del artículo 14 de la Constitución General de la </w:t>
      </w:r>
      <w:r>
        <w:rPr>
          <w:sz w:val="24"/>
          <w:szCs w:val="24"/>
          <w:shd w:val="clear"/>
          <w:rFonts w:ascii="Arial" w:hAnsi="Arial" w:cs="Arial"/>
        </w:rPr>
        <w:t xml:space="preserve">República, no se le pudiera imputar a una persona la comisión del delito </w:t>
      </w:r>
      <w:r>
        <w:rPr>
          <w:sz w:val="24"/>
          <w:szCs w:val="24"/>
          <w:shd w:val="clear"/>
          <w:rFonts w:ascii="Arial" w:hAnsi="Arial" w:cs="Arial"/>
        </w:rPr>
        <w:t xml:space="preserve">contemplado en el artículo 190 de nuestro código penal, ya que la conducta exigida </w:t>
      </w:r>
      <w:r>
        <w:rPr>
          <w:sz w:val="24"/>
          <w:szCs w:val="24"/>
          <w:shd w:val="clear"/>
          <w:rFonts w:ascii="Arial" w:hAnsi="Arial" w:cs="Arial"/>
        </w:rPr>
        <w:t xml:space="preserve">no contempla el falsear u omitir información.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En ese mismo orden de ideas, pudiéramos manifestar que tal vez nos </w:t>
      </w:r>
      <w:r>
        <w:rPr>
          <w:sz w:val="24"/>
          <w:szCs w:val="24"/>
          <w:shd w:val="clear"/>
          <w:rFonts w:ascii="Arial" w:hAnsi="Arial" w:cs="Arial"/>
        </w:rPr>
        <w:t xml:space="preserve">encontraríamos ante un delito de simulación de pruebas, fraude procesal o falsedad </w:t>
      </w:r>
      <w:r>
        <w:rPr>
          <w:sz w:val="24"/>
          <w:szCs w:val="24"/>
          <w:shd w:val="clear"/>
          <w:rFonts w:ascii="Arial" w:hAnsi="Arial" w:cs="Arial"/>
        </w:rPr>
        <w:t xml:space="preserve">de declaración, sin embargo, creemos oportuno tipificar esta conducta y encausarla </w:t>
      </w:r>
      <w:r>
        <w:rPr>
          <w:sz w:val="24"/>
          <w:szCs w:val="24"/>
          <w:shd w:val="clear"/>
          <w:rFonts w:ascii="Arial" w:hAnsi="Arial" w:cs="Arial"/>
        </w:rPr>
        <w:t xml:space="preserve">como un delito autónomo.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La redacción del tipo penal considera como sujeto específico a todas aquellas </w:t>
      </w:r>
      <w:r>
        <w:rPr>
          <w:sz w:val="24"/>
          <w:szCs w:val="24"/>
          <w:shd w:val="clear"/>
          <w:rFonts w:ascii="Arial" w:hAnsi="Arial" w:cs="Arial"/>
        </w:rPr>
        <w:t xml:space="preserve">personas que tengan la obligación de informar al órgano jurisdiccional el salario de </w:t>
      </w:r>
      <w:r>
        <w:rPr>
          <w:sz w:val="24"/>
          <w:szCs w:val="24"/>
          <w:shd w:val="clear"/>
          <w:rFonts w:ascii="Arial" w:hAnsi="Arial" w:cs="Arial"/>
        </w:rPr>
        <w:t xml:space="preserve">una persona, y como conducta exigida se considera la falsificación u omisión de </w:t>
      </w:r>
      <w:r>
        <w:rPr>
          <w:sz w:val="24"/>
          <w:szCs w:val="24"/>
          <w:shd w:val="clear"/>
          <w:rFonts w:ascii="Arial" w:hAnsi="Arial" w:cs="Arial"/>
        </w:rPr>
        <w:t xml:space="preserve">información en relación al salario ordinario y extraordinario, bonos, comisiones, y en </w:t>
      </w:r>
      <w:r>
        <w:rPr>
          <w:sz w:val="24"/>
          <w:szCs w:val="24"/>
          <w:shd w:val="clear"/>
          <w:rFonts w:ascii="Arial" w:hAnsi="Arial" w:cs="Arial"/>
        </w:rPr>
        <w:t xml:space="preserve">general toda percepción de un trabajador.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sz w:val="24"/>
          <w:szCs w:val="24"/>
          <w:shd w:val="clear"/>
          <w:rFonts w:ascii="Arial" w:hAnsi="Arial" w:cs="Arial"/>
        </w:rPr>
        <w:t xml:space="preserve">Por política criminal y atendiendo al interés superior de nuestras niñas, niños y </w:t>
      </w:r>
      <w:r>
        <w:rPr>
          <w:sz w:val="24"/>
          <w:szCs w:val="24"/>
          <w:shd w:val="clear"/>
          <w:rFonts w:ascii="Arial" w:hAnsi="Arial" w:cs="Arial"/>
        </w:rPr>
        <w:t xml:space="preserve">adolescentes, es necesario que se envíe un mensaje fuerte y claro, que, en </w:t>
      </w:r>
      <w:r>
        <w:rPr>
          <w:sz w:val="24"/>
          <w:szCs w:val="24"/>
          <w:shd w:val="clear"/>
          <w:rFonts w:ascii="Arial" w:hAnsi="Arial" w:cs="Arial"/>
        </w:rPr>
        <w:t xml:space="preserve">Chihuahua, no toleraremos ninguna forma de evasión del cumplimiento de la </w:t>
      </w:r>
      <w:r>
        <w:rPr>
          <w:sz w:val="24"/>
          <w:szCs w:val="24"/>
          <w:shd w:val="clear"/>
          <w:rFonts w:ascii="Arial" w:hAnsi="Arial" w:cs="Arial"/>
        </w:rPr>
        <w:t xml:space="preserve">obligación alimentaria.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b w:val="1"/>
          <w:shd w:val="clear"/>
          <w:rFonts w:ascii="Arial" w:hAnsi="Arial" w:cs="Arial"/>
        </w:rPr>
      </w:pPr>
      <w:r>
        <w:rPr>
          <w:b w:val="1"/>
          <w:shd w:val="clear"/>
          <w:rFonts w:ascii="Arial" w:hAnsi="Arial" w:cs="Arial"/>
        </w:rPr>
        <w:t xml:space="preserve">Por lo que con fundamento en lo que disponen los numerales 68 fracción I de la Constitución </w:t>
      </w:r>
      <w:r>
        <w:rPr>
          <w:b w:val="1"/>
          <w:shd w:val="clear"/>
          <w:rFonts w:ascii="Arial" w:hAnsi="Arial" w:cs="Arial"/>
        </w:rPr>
        <w:t xml:space="preserve">Política del Estado de Chihuahua, 167 fracción I, 168 y 169 de la Ley Orgánica del Poder </w:t>
      </w:r>
      <w:r>
        <w:rPr>
          <w:b w:val="1"/>
          <w:shd w:val="clear"/>
          <w:rFonts w:ascii="Arial" w:hAnsi="Arial" w:cs="Arial"/>
        </w:rPr>
        <w:t xml:space="preserve">Legislativo y 75, 76 y 77 del Reglamento Interior de Prácticas Parlamentarias del Poder </w:t>
      </w:r>
      <w:r>
        <w:rPr>
          <w:b w:val="1"/>
          <w:shd w:val="clear"/>
          <w:rFonts w:ascii="Arial" w:hAnsi="Arial" w:cs="Arial"/>
        </w:rPr>
        <w:t xml:space="preserve">Legislativo, someto a consideración de esta Representación Popular, el siguiente proyecto </w:t>
      </w:r>
      <w:r>
        <w:rPr>
          <w:b w:val="1"/>
          <w:shd w:val="clear"/>
          <w:rFonts w:ascii="Arial" w:hAnsi="Arial" w:cs="Arial"/>
        </w:rPr>
        <w:t xml:space="preserve">de decreto: 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center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  <w:r>
        <w:rPr>
          <w:b w:val="1"/>
          <w:sz w:val="24"/>
          <w:szCs w:val="24"/>
          <w:shd w:val="clear"/>
          <w:rFonts w:ascii="Arial" w:hAnsi="Arial" w:cs="Arial"/>
        </w:rPr>
        <w:t>DECRETO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  <w:r>
        <w:rPr>
          <w:b w:val="1"/>
          <w:sz w:val="24"/>
          <w:szCs w:val="24"/>
          <w:shd w:val="clear"/>
          <w:rFonts w:ascii="Arial" w:hAnsi="Arial" w:cs="Arial"/>
        </w:rPr>
        <w:t xml:space="preserve">ARTÍCULO ÚNICO: Se adiciona el artículo 190 Bis del Código Penal del Estado de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Chihuahua, para quedar al tenor del siguiente:</w:t>
      </w:r>
    </w:p>
    <w:p>
      <w:pPr>
        <w:pStyle w:val="PO5"/>
        <w:jc w:val="both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  <w:r>
        <w:rPr>
          <w:b w:val="1"/>
          <w:shd w:val="clear"/>
          <w:rFonts w:ascii="Arial" w:hAnsi="Arial" w:cs="Arial"/>
        </w:rPr>
        <w:t xml:space="preserve">Artículo 190 Bis. Se impondrá pena de seis meses a cuatro años de prisión a aquellas </w:t>
      </w:r>
      <w:r>
        <w:rPr>
          <w:b w:val="1"/>
          <w:shd w:val="clear"/>
          <w:rFonts w:ascii="Arial" w:hAnsi="Arial" w:cs="Arial"/>
        </w:rPr>
        <w:t xml:space="preserve">personas que por orden judicial estén obligadas a informar acerca de los ingresos de </w:t>
      </w:r>
      <w:r>
        <w:rPr>
          <w:b w:val="1"/>
          <w:shd w:val="clear"/>
          <w:rFonts w:ascii="Arial" w:hAnsi="Arial" w:cs="Arial"/>
        </w:rPr>
        <w:t xml:space="preserve">quienes deban cumplir con todas las obligaciones señaladas en el presente capítulo, </w:t>
      </w:r>
      <w:r>
        <w:rPr>
          <w:b w:val="1"/>
          <w:shd w:val="clear"/>
          <w:rFonts w:ascii="Arial" w:hAnsi="Arial" w:cs="Arial"/>
        </w:rPr>
        <w:t xml:space="preserve">otorguen información falsa u omitan manifestar ingresos extraordinarios.</w:t>
      </w:r>
    </w:p>
    <w:p>
      <w:pPr>
        <w:jc w:val="both"/>
        <w:spacing w:lineRule="auto" w:line="360"/>
        <w:rPr>
          <w:b w:val="1"/>
          <w:shd w:val="clear"/>
          <w:rFonts w:ascii="Arial" w:hAnsi="Arial" w:cs="Arial"/>
        </w:rPr>
      </w:pPr>
    </w:p>
    <w:p>
      <w:pPr>
        <w:jc w:val="both"/>
        <w:spacing w:lineRule="auto" w:line="360"/>
        <w:rPr>
          <w:b w:val="1"/>
          <w:shd w:val="clear" w:color="auto" w:fill="FFFFFF"/>
          <w:rFonts w:ascii="Arial" w:hAnsi="Arial" w:cs="Arial"/>
        </w:rPr>
      </w:pPr>
      <w:r>
        <w:rPr>
          <w:b w:val="1"/>
          <w:shd w:val="clear"/>
          <w:rFonts w:ascii="Arial" w:hAnsi="Arial" w:cs="Arial"/>
        </w:rPr>
        <w:t>TRANSITORIOS:</w:t>
      </w:r>
    </w:p>
    <w:p>
      <w:pPr>
        <w:pStyle w:val="PO5"/>
        <w:jc w:val="both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  <w:r>
        <w:rPr>
          <w:b w:val="1"/>
          <w:sz w:val="24"/>
          <w:szCs w:val="24"/>
          <w:shd w:val="clear"/>
          <w:rFonts w:ascii="Arial" w:hAnsi="Arial" w:cs="Arial"/>
        </w:rPr>
        <w:t>ÚNICO:</w:t>
      </w:r>
      <w:r>
        <w:rPr>
          <w:sz w:val="24"/>
          <w:szCs w:val="24"/>
          <w:shd w:val="clear"/>
          <w:rFonts w:ascii="Arial" w:hAnsi="Arial" w:cs="Arial"/>
        </w:rPr>
        <w:t xml:space="preserve"> El presente decreto entrará en vigor al día siguiente de su publicación en el </w:t>
      </w:r>
      <w:r>
        <w:rPr>
          <w:sz w:val="24"/>
          <w:szCs w:val="24"/>
          <w:shd w:val="clear"/>
          <w:rFonts w:ascii="Arial" w:hAnsi="Arial" w:cs="Arial"/>
        </w:rPr>
        <w:t xml:space="preserve">Periódico Oficial del Estado.</w:t>
      </w:r>
    </w:p>
    <w:p>
      <w:pPr>
        <w:pStyle w:val="PO5"/>
        <w:jc w:val="both"/>
        <w:spacing w:lineRule="auto" w:line="360"/>
        <w:rPr>
          <w:sz w:val="24"/>
          <w:szCs w:val="24"/>
          <w:shd w:val="clear"/>
          <w:rFonts w:ascii="Arial" w:hAnsi="Arial" w:cs="Arial"/>
        </w:rPr>
      </w:pPr>
    </w:p>
    <w:p>
      <w:pPr>
        <w:pStyle w:val="PO5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</w:p>
    <w:p>
      <w:pPr>
        <w:pStyle w:val="PO5"/>
        <w:jc w:val="center"/>
        <w:spacing w:lineRule="auto" w:line="360"/>
        <w:rPr>
          <w:b w:val="1"/>
          <w:sz w:val="24"/>
          <w:szCs w:val="24"/>
          <w:shd w:val="clear"/>
          <w:rFonts w:ascii="Arial" w:hAnsi="Arial" w:cs="Arial"/>
        </w:rPr>
      </w:pPr>
      <w:r>
        <w:rPr>
          <w:b w:val="1"/>
          <w:sz w:val="24"/>
          <w:szCs w:val="24"/>
          <w:shd w:val="clear"/>
          <w:rFonts w:ascii="Arial" w:hAnsi="Arial" w:cs="Arial"/>
        </w:rPr>
        <w:t xml:space="preserve">Dado en el Salón de sesiones del H. Congreso del Estado, Ciudad Chihuahua,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Chihuahua a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3 de diciembre </w:t>
      </w:r>
      <w:r>
        <w:rPr>
          <w:b w:val="1"/>
          <w:sz w:val="24"/>
          <w:szCs w:val="24"/>
          <w:shd w:val="clear"/>
          <w:rFonts w:ascii="Arial" w:hAnsi="Arial" w:cs="Arial"/>
        </w:rPr>
        <w:t xml:space="preserve">del año 2024</w:t>
      </w:r>
    </w:p>
    <w:p>
      <w:pPr>
        <w:jc w:val="center"/>
        <w:spacing w:lineRule="auto" w:line="360"/>
        <w:rPr>
          <w:b w:val="1"/>
          <w:shd w:val="clear"/>
          <w:rFonts w:ascii="Arial" w:hAnsi="Arial" w:cs="Arial"/>
        </w:rPr>
      </w:pPr>
    </w:p>
    <w:p>
      <w:pPr>
        <w:jc w:val="center"/>
        <w:spacing w:lineRule="auto" w:line="360"/>
        <w:rPr>
          <w:b w:val="1"/>
          <w:shd w:val="clear"/>
          <w:rFonts w:ascii="Arial" w:hAnsi="Arial" w:cs="Arial"/>
        </w:rPr>
      </w:pPr>
      <w:r>
        <w:rPr>
          <w:b w:val="1"/>
          <w:shd w:val="clear"/>
          <w:rFonts w:ascii="Arial" w:hAnsi="Arial" w:cs="Arial"/>
        </w:rPr>
        <w:t>ATENTAMENTE.</w:t>
      </w:r>
    </w:p>
    <w:p>
      <w:pPr>
        <w:jc w:val="center"/>
        <w:spacing w:lineRule="auto" w:line="360"/>
        <w:rPr>
          <w:b w:val="1"/>
          <w:shd w:val="clear"/>
          <w:rFonts w:ascii="Arial" w:hAnsi="Arial" w:cs="Arial"/>
        </w:rPr>
      </w:pPr>
    </w:p>
    <w:p>
      <w:pPr>
        <w:jc w:val="center"/>
        <w:spacing w:lineRule="auto" w:line="360"/>
        <w:rPr>
          <w:spacing w:val="1"/>
          <w:b w:val="1"/>
          <w:shd w:val="clear"/>
          <w:rFonts w:ascii="Arial" w:hAnsi="Arial" w:cs="Arial"/>
          <w:lang w:val="es-nl"/>
        </w:rPr>
      </w:pPr>
      <w:r>
        <w:rPr>
          <w:spacing w:val="1"/>
          <w:b w:val="1"/>
          <w:shd w:val="clear"/>
          <w:rFonts w:ascii="Arial" w:hAnsi="Arial" w:cs="Arial"/>
          <w:lang w:val="es-nl"/>
        </w:rPr>
        <w:t xml:space="preserve">EDNA XÓCHITL CONTRERAS HERRERA</w:t>
      </w:r>
    </w:p>
    <w:p>
      <w:pPr>
        <w:jc w:val="center"/>
        <w:spacing w:lineRule="auto" w:line="360"/>
        <w:rPr>
          <w:spacing w:val="1"/>
          <w:b w:val="1"/>
          <w:shd w:val="clear"/>
          <w:rFonts w:ascii="Arial" w:hAnsi="Arial" w:cs="Arial"/>
          <w:lang w:val="es-nl"/>
        </w:rPr>
      </w:pPr>
      <w:r>
        <w:rPr>
          <w:spacing w:val="1"/>
          <w:b w:val="1"/>
          <w:shd w:val="clear"/>
          <w:rFonts w:ascii="Arial" w:hAnsi="Arial" w:cs="Arial"/>
          <w:lang w:val="es-nl"/>
        </w:rPr>
        <w:t>DIPUTADA</w:t>
      </w:r>
    </w:p>
    <w:p>
      <w:pPr>
        <w:jc w:val="center"/>
        <w:spacing w:lineRule="auto" w:line="360"/>
        <w:rPr>
          <w:spacing w:val="1"/>
          <w:b w:val="1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José Alfredo Chávez Madrid</w:t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 xml:space="preserve">Dip. Carla Yamileth Rivas Martínez </w:t>
      </w: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Carlos Alfredo Olson San Vicente </w:t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 xml:space="preserve">Dip. Ismael Pérez Pavía </w:t>
      </w: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Joceline Vega Vargas </w:t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 xml:space="preserve">Dip. Jorge Carlos Soto Prieto </w:t>
      </w: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Yesenia Guadalupe Reyes Calzadías</w:t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 xml:space="preserve"> Dip. Nancy Janeth Frías Frías </w:t>
      </w: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Roberto Marcelino Carreón Huitrón </w:t>
      </w:r>
      <w:r>
        <w:rPr>
          <w:b w:val="1"/>
          <w:shd w:val="clear"/>
          <w:rFonts w:ascii="Arial" w:hAnsi="Arial" w:cs="Arial"/>
          <w:lang w:val="es-nl"/>
        </w:rPr>
        <w:tab/>
      </w:r>
      <w:r>
        <w:rPr>
          <w:b w:val="1"/>
          <w:shd w:val="clear"/>
          <w:rFonts w:ascii="Arial" w:hAnsi="Arial" w:cs="Arial"/>
          <w:lang w:val="es-nl"/>
        </w:rPr>
        <w:t xml:space="preserve">Dip. Arturo Zubía Fernández </w:t>
      </w: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pacing w:lineRule="auto" w:line="360"/>
        <w:rPr>
          <w:b w:val="1"/>
          <w:shd w:val="clear"/>
          <w:rFonts w:ascii="Arial" w:hAnsi="Arial" w:cs="Arial"/>
          <w:lang w:val="es-nl"/>
        </w:rPr>
      </w:pPr>
    </w:p>
    <w:p>
      <w:pPr>
        <w:sectPr>
          <w:headerReference w:type="default" r:id="rId5"/>
          <w:footerReference w:type="default" r:id="rId6"/>
          <w:pgSz w:w="12240" w:h="15840"/>
          <w:pgMar w:top="1100" w:left="1600" w:bottom="280" w:right="1580" w:header="728" w:footer="1003" w:gutter="0"/>
          <w:pgNumType w:fmt="decimal"/>
          <w:docGrid w:type="default" w:linePitch="360" w:charSpace="0"/>
        </w:sectPr>
        <w:jc w:val="center"/>
        <w:spacing w:lineRule="auto" w:line="360"/>
        <w:rPr>
          <w:b w:val="1"/>
          <w:shd w:val="clear"/>
          <w:rFonts w:ascii="Arial" w:hAnsi="Arial" w:cs="Arial"/>
          <w:lang w:val="es-nl"/>
        </w:rPr>
      </w:pPr>
      <w:r>
        <w:rPr>
          <w:b w:val="1"/>
          <w:shd w:val="clear"/>
          <w:rFonts w:ascii="Arial" w:hAnsi="Arial" w:cs="Arial"/>
          <w:lang w:val="es-nl"/>
        </w:rPr>
        <w:t xml:space="preserve">Dip. Saúl Mireles  Corral</w:t>
      </w: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</w:p>
    <w:p>
      <w:pPr>
        <w:jc w:val="center"/>
        <w:spacing w:lineRule="auto" w:line="360"/>
        <w:ind w:left="708" w:firstLine="0"/>
        <w:rPr>
          <w:b w:val="1"/>
          <w:sz w:val="22"/>
          <w:szCs w:val="22"/>
          <w:shd w:val="clear"/>
          <w:rFonts w:ascii="Arial" w:hAnsi="Arial" w:cs="Arial"/>
          <w:lang w:val="es-nl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-342904</wp:posOffset>
                </wp:positionH>
                <wp:positionV relativeFrom="paragraph">
                  <wp:posOffset>252735</wp:posOffset>
                </wp:positionV>
                <wp:extent cx="6715125" cy="51435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760" cy="514985"/>
                        </a:xfrm>
                        <a:prstGeom prst="rect"/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 style="" inset="7pt,4pt,7pt,4pt">
                        <w:txbxContent>
                          <w:p>
                            <w:pPr>
                              <w:jc w:val="center"/>
                              <w:rPr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Esta hoja de firmas corresponde a la </w:t>
                            </w:r>
                            <w:r>
                              <w:rPr>
                                <w:b w:val="1"/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iniciativa con carácter de decreto</w:t>
                            </w:r>
                            <w:r>
                              <w:rPr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 con el propósito de </w:t>
                            </w:r>
                            <w:r>
                              <w:rPr>
                                <w:b w:val="1"/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adicionar el artículo 190 Bis del Código Penal del Estado de Chihuahua, </w:t>
                            </w:r>
                            <w:r>
                              <w:rPr>
                                <w:b w:val="1"/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para tipificar como delito específico, la presentación ante los Tribunales Familiares, de información falsa por parte de empleadores, en relación a los ingresos de sus </w:t>
                            </w:r>
                            <w:r>
                              <w:rPr>
                                <w:b w:val="1"/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 xml:space="preserve">trabajadores, con la finalidad perjudicar a quien tiene derecho de recibir una pensión alimenticia</w:t>
                            </w:r>
                            <w:r>
                              <w:rPr>
                                <w:sz w:val="14"/>
                                <w:szCs w:val="14"/>
                                <w:shd w:val="clear"/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;margin-left:-27pt;mso-position-horizontal:absolute;mso-position-horizontal-relative:margin;margin-top:20pt;mso-position-vertical:absolute;mso-position-vertical-relative:text;width:528.7pt;height:40.5pt;z-index:-251624961" coordsize="6715125,514350" path="m,l6715125,,6715125,514350,,514350xe" strokecolor="#000000" o:allowoverlap="1" strokeweight="0.75pt" fillcolor="#FFFFFF" filled="t">
                <v:stroke joinstyle="miter"/>
                <v:textbox style="" inset="7pt,4pt,7pt,4pt">
                  <w:txbxContent>
                    <w:p>
                      <w:pPr>
                        <w:jc w:val="center"/>
                        <w:rPr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</w:pPr>
                      <w:r>
                        <w:rPr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Esta hoja de firmas corresponde a la </w:t>
                      </w:r>
                      <w:r>
                        <w:rPr>
                          <w:b w:val="1"/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iniciativa con carácter de decreto</w:t>
                      </w:r>
                      <w:r>
                        <w:rPr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 con el propósito de </w:t>
                      </w:r>
                      <w:r>
                        <w:rPr>
                          <w:b w:val="1"/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adicionar el artículo 190 Bis del Código Penal del Estado de Chihuahua, </w:t>
                      </w:r>
                      <w:r>
                        <w:rPr>
                          <w:b w:val="1"/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para tipificar como delito específico, la presentación ante los Tribunales Familiares, de información falsa por parte de empleadores, en relación a los ingresos de sus </w:t>
                      </w:r>
                      <w:r>
                        <w:rPr>
                          <w:b w:val="1"/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 xml:space="preserve">trabajadores, con la finalidad perjudicar a quien tiene derecho de recibir una pensión alimenticia</w:t>
                      </w:r>
                      <w:r>
                        <w:rPr>
                          <w:sz w:val="14"/>
                          <w:szCs w:val="14"/>
                          <w:shd w:val="clear"/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continuous"/>
      <w:pgSz w:w="12240" w:h="15840"/>
      <w:pgMar w:top="1100" w:left="1600" w:bottom="280" w:right="1580" w:header="728" w:footer="1003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"/>
    <w:family w:val="roman"/>
    <w:pitch w:val="variable"/>
    <w:sig w:usb0="e00006ff" w:usb1="420024ff" w:usb2="02000000" w:usb3="00000000" w:csb0="0000019f" w:csb1="00000000"/>
  </w:font>
  <w:font w:name="MS Mincho">
    <w:altName w:val="￯ﾼﾭ￯ﾼﾳ ￦ﾘﾎ￦ﾜ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Lucida Grande">
    <w:panose1/>
    <w:charset w:val="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MS Gothic">
    <w:altName w:val="￯ﾼﾭ￯ﾼﾳ ￣ﾂﾴ￣ﾂﾷ￣ﾃﾃ￣ﾂ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  <w:r>
      <w:rPr>
        <w:sz w:val="20"/>
      </w:rPr>
      <mc:AlternateContent>
        <mc:Choice Requires="wps">
          <w:drawing>
            <wp:anchor distT="0" distB="0" distL="114300" distR="114300" simplePos="0" relativeHeight="251624958" behindDoc="1" locked="0" layoutInCell="0" allowOverlap="1">
              <wp:simplePos x="0" y="0"/>
              <wp:positionH relativeFrom="page">
                <wp:posOffset>6490339</wp:posOffset>
              </wp:positionH>
              <wp:positionV relativeFrom="page">
                <wp:posOffset>9281799</wp:posOffset>
              </wp:positionV>
              <wp:extent cx="229235" cy="207645"/>
              <wp:effectExtent l="0" t="0" r="18415" b="190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870" cy="208280"/>
                      </a:xfrm>
                      <a:prstGeom prst="rect"/>
                      <a:noFill/>
                      <a:ln cap="flat">
                        <a:noFill/>
                      </a:ln>
                    </wps:spPr>
                    <wps:txbx style="" inset="0pt,0pt,0pt,0pt">
                      <w:txbxContent>
                        <w:p>
                          <w:pPr>
                            <w:spacing w:lineRule="exact" w:line="245"/>
                            <w:ind w:left="40" w:firstLine="0"/>
                            <w:rPr>
                              <w:shd w:val="clear"/>
                              <w:rFonts w:ascii="Arial" w:hAnsi="Arial" w:cs="Arial"/>
                            </w:rPr>
                            <w:widowControl w:val="0"/>
                            <w:autoSpaceDE w:val="0"/>
                            <w:autoSpaceDN w:val="0"/>
                          </w:pPr>
                          <w:r>
                            <w:rPr>
                              <w:position w:val="1"/>
                              <w:shd w:val="clear"/>
                              <w:rFonts w:ascii="Arial" w:hAnsi="Arial" w:cs="Arial"/>
                            </w:rPr>
                            <w:fldChar w:fldCharType="begin"/>
                          </w:r>
                          <w:r>
                            <w:rPr>
                              <w:shd w:val="clear"/>
                              <w:rFonts w:hint="eastAsia"/>
                            </w:rPr>
                            <w:instrText>PAGE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position w:val="1"/>
                              <w:shd w:val="clear"/>
                              <w:rFonts w:ascii="Arial" w:hAnsi="Arial" w:cs="Arial"/>
                            </w:rPr>
                            <w:t>6</w:t>
                          </w:r>
                          <w:r>
                            <w:rPr>
                              <w:position w:val="1"/>
                              <w:shd w:val="clear"/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0" upright="1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7" style="position:absolute;left:0;margin-left:511pt;mso-position-horizontal:absolute;mso-position-horizontal-relative:page;margin-top:731pt;mso-position-vertical:absolute;mso-position-vertical-relative:page;width:18.0pt;height:16.3pt;z-index:-251624962" coordsize="229235,207645" path="m,l229235,,229235,207645,,207645xe" stroked="f" filled="f">
              <v:textbox style="" inset="0pt,0pt,0pt,0pt">
                <w:txbxContent>
                  <w:p>
                    <w:pPr>
                      <w:spacing w:lineRule="exact" w:line="245"/>
                      <w:ind w:left="40" w:firstLine="0"/>
                      <w:rPr>
                        <w:shd w:val="clear"/>
                        <w:rFonts w:ascii="Arial" w:hAnsi="Arial" w:cs="Arial"/>
                      </w:rPr>
                      <w:widowControl w:val="0"/>
                      <w:autoSpaceDE w:val="0"/>
                      <w:autoSpaceDN w:val="0"/>
                    </w:pPr>
                    <w:r>
                      <w:rPr>
                        <w:position w:val="1"/>
                        <w:shd w:val="clear"/>
                        <w:rFonts w:ascii="Arial" w:hAnsi="Arial" w:cs="Arial"/>
                      </w:rPr>
                      <w:fldChar w:fldCharType="begin"/>
                    </w:r>
                    <w:r>
                      <w:rPr>
                        <w:shd w:val="clear"/>
                        <w:rFonts w:hint="eastAsia"/>
                      </w:rPr>
                      <w:instrText>PAGE  \* MERGEFORMAT</w:instrText>
                    </w:r>
                    <w:r>
                      <w:fldChar w:fldCharType="separate"/>
                    </w:r>
                    <w:r>
                      <w:rPr>
                        <w:position w:val="1"/>
                        <w:shd w:val="clear"/>
                        <w:rFonts w:ascii="Arial" w:hAnsi="Arial" w:cs="Arial"/>
                      </w:rPr>
                      <w:t>6</w:t>
                    </w:r>
                    <w:r>
                      <w:rPr>
                        <w:position w:val="1"/>
                        <w:shd w:val="clear"/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  <w:r>
      <w:rPr>
        <w:sz w:val="20"/>
      </w:rPr>
      <mc:AlternateContent>
        <mc:Choice Requires="wps">
          <w:drawing>
            <wp:anchor distT="0" distB="0" distL="114300" distR="114300" simplePos="0" relativeHeight="251624959" behindDoc="1" locked="0" layoutInCell="0" allowOverlap="1">
              <wp:simplePos x="0" y="0"/>
              <wp:positionH relativeFrom="page">
                <wp:posOffset>2774955</wp:posOffset>
              </wp:positionH>
              <wp:positionV relativeFrom="page">
                <wp:posOffset>495304</wp:posOffset>
              </wp:positionV>
              <wp:extent cx="4234180" cy="457200"/>
              <wp:effectExtent l="0" t="0" r="139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4815" cy="457835"/>
                      </a:xfrm>
                      <a:prstGeom prst="rect"/>
                      <a:noFill/>
                      <a:ln cap="flat">
                        <a:noFill/>
                      </a:ln>
                    </wps:spPr>
                    <wps:txbx style="" inset="0pt,0pt,0pt,0pt">
                      <w:txbxContent>
                        <w:p>
                          <w:pPr>
                            <w:jc w:val="right"/>
                            <w:spacing w:lineRule="exact" w:line="206" w:before="1"/>
                            <w:ind w:left="2058" w:right="-11" w:hanging="2038"/>
                            <w:rPr>
                              <w:sz w:val="18"/>
                              <w:szCs w:val="18"/>
                              <w:shd w:val="clear"/>
                              <w:rFonts w:ascii="Arial" w:hAnsi="Arial" w:cs="Arial"/>
                            </w:rPr>
                            <w:widowControl w:val="0"/>
                            <w:autoSpaceDE w:val="0"/>
                            <w:autoSpaceDN w:val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0" upright="1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3" style="position:absolute;left:0;margin-left:219pt;mso-position-horizontal:absolute;mso-position-horizontal-relative:page;margin-top:39pt;mso-position-vertical:absolute;mso-position-vertical-relative:page;width:333.3pt;height:36.0pt;z-index:-251624961" coordsize="4234180,457200" path="m,l4234180,,4234180,457200,,457200xe" stroked="f" filled="f">
              <v:textbox style="" inset="0pt,0pt,0pt,0pt">
                <w:txbxContent>
                  <w:p>
                    <w:pPr>
                      <w:jc w:val="right"/>
                      <w:spacing w:lineRule="exact" w:line="206" w:before="1"/>
                      <w:ind w:left="2058" w:right="-11" w:hanging="2038"/>
                      <w:rPr>
                        <w:sz w:val="18"/>
                        <w:szCs w:val="18"/>
                        <w:shd w:val="clear"/>
                        <w:rFonts w:ascii="Arial" w:hAnsi="Arial" w:cs="Arial"/>
                      </w:rPr>
                      <w:widowControl w:val="0"/>
                      <w:autoSpaceDE w:val="0"/>
                      <w:autoSpaceDN w:val="0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24956" behindDoc="1" locked="0" layoutInCell="1" allowOverlap="1">
          <wp:simplePos x="0" y="0"/>
          <wp:positionH relativeFrom="column">
            <wp:posOffset>-503559</wp:posOffset>
          </wp:positionH>
          <wp:positionV relativeFrom="paragraph">
            <wp:posOffset>-86364</wp:posOffset>
          </wp:positionV>
          <wp:extent cx="1057275" cy="1019174"/>
          <wp:effectExtent l="0" t="0" r="0" b="0"/>
          <wp:wrapNone/>
          <wp:docPr id="4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storage/emulated/0/Android/data/com.infraware.office.link/cache/.polaris_temp/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910" cy="101981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7" behindDoc="1" locked="0" layoutInCell="1" allowOverlap="1">
          <wp:simplePos x="0" y="0"/>
          <wp:positionH relativeFrom="column">
            <wp:posOffset>-502925</wp:posOffset>
          </wp:positionH>
          <wp:positionV relativeFrom="paragraph">
            <wp:posOffset>-85729</wp:posOffset>
          </wp:positionV>
          <wp:extent cx="1057275" cy="1019174"/>
          <wp:effectExtent l="0" t="0" r="9525" b="9525"/>
          <wp:wrapNone/>
          <wp:docPr id="5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/storage/emulated/0/Android/data/com.infraware.office.link/cache/.polaris_temp/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910" cy="1019810"/>
                  </a:xfrm>
                  <a:prstGeom prst="rect"/>
                  <a:noFill/>
                  <a:ln cap="flat"/>
                </pic:spPr>
              </pic:pic>
            </a:graphicData>
          </a:graphic>
        </wp:anchor>
      </w:drawing>
    </w: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  <w:p>
    <w:pPr>
      <w:spacing w:lineRule="exact" w:line="200"/>
      <w:rPr>
        <w:sz w:val="20"/>
        <w:szCs w:val="20"/>
        <w:shd w:val="clear"/>
      </w:rPr>
      <w:widowControl w:val="0"/>
      <w:autoSpaceDE w:val="0"/>
      <w:autoSpaceDN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2AE91C78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328D5367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</w:abstractNum>
  <w:abstractNum w:abstractNumId="2">
    <w:multiLevelType w:val="hybridMultilevel"/>
    <w:nsid w:val="2F000002"/>
    <w:tmpl w:val="569C6E10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  <w:rPr/>
      </w:pPr>
      <w:rPr>
        <w:sz w:val="20"/>
        <w:szCs w:val="20"/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  <w:rPr/>
      </w:pPr>
      <w:rPr>
        <w:sz w:val="20"/>
        <w:szCs w:val="20"/>
        <w:shd w:val="clear"/>
        <w:rFonts w:ascii="Courier New" w:hAnsi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  <w:rPr/>
      </w:pPr>
      <w:rPr>
        <w:sz w:val="20"/>
        <w:szCs w:val="20"/>
        <w:shd w:val="clear"/>
        <w:rFonts w:ascii="Wingdings" w:hAnsi="Wingdings" w:hint="default"/>
      </w:rPr>
      <w:lvlText w:val="§"/>
    </w:lvl>
  </w:abstractNum>
  <w:abstractNum w:abstractNumId="3">
    <w:multiLevelType w:val="hybridMultilevel"/>
    <w:nsid w:val="2F000003"/>
    <w:tmpl w:val="51CB6968"/>
    <w:lvl w:ilvl="0">
      <w:lvlJc w:val="left"/>
      <w:numFmt w:val="upperRoman"/>
      <w:start w:val="1"/>
      <w:suff w:val="tab"/>
      <w:pPr>
        <w:ind w:left="1080" w:hanging="720"/>
        <w:rPr/>
      </w:pPr>
      <w:rPr>
        <w:shd w:val="clear"/>
        <w:rFonts w:cs="Times New Roman"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  <w:rFonts w:cs="Times New Roman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  <w:rFonts w:cs="Times New Roman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  <w:rFonts w:cs="Times New Roman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  <w:rFonts w:cs="Times New Roman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  <w:rFonts w:cs="Times New Roman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  <w:rFonts w:cs="Times New Roman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  <w:rFonts w:cs="Times New Roman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  <w:rFonts w:cs="Times New Roman"/>
      </w:rPr>
      <w:lvlText w:val="%9.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eastAsia="ja-JP" w:val="es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z w:val="24"/>
        <w:szCs w:val="24"/>
        <w:shd w:val="clear"/>
        <w:rFonts w:asciiTheme="minorHAnsi" w:eastAsiaTheme="minorEastAsia" w:hAnsiTheme="minorHAnsi" w:cstheme="minorBidi"/>
        <w:lang w:bidi="ar-SA" w:eastAsia="es-ES" w:val="es-nl"/>
      </w:rPr>
    </w:rPrDefault>
  </w:docDefaults>
  <w:style w:default="1" w:styleId="PO1" w:type="paragraph">
    <w:name w:val="Normal"/>
    <w:qFormat/>
    <w:rPr>
      <w:shd w:val="clear"/>
      <w:rFonts w:ascii="Times New Roman" w:eastAsia="Times New Roman" w:hAnsi="Times New Roman" w:cs="Times New Roman"/>
      <w:lang w:eastAsia="es-MX" w:val="es-MX"/>
    </w:rPr>
  </w:style>
  <w:style w:default="1" w:styleId="PO2" w:type="character">
    <w:name w:val="Default Paragraph Font"/>
    <w:uiPriority w:val="1"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qFormat/>
    <w:uiPriority w:val="1"/>
    <w:rPr>
      <w:sz w:val="22"/>
      <w:szCs w:val="22"/>
      <w:shd w:val="clear"/>
      <w:rFonts w:eastAsiaTheme="minorHAnsi"/>
      <w:lang w:eastAsia="en-US" w:val="es-MX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</w:style>
  <w:style w:styleId="PO37" w:type="table">
    <w:name w:val="Table Grid"/>
    <w:basedOn w:val="PO3"/>
    <w:uiPriority w:val="39"/>
    <w:rPr>
      <w:sz w:val="20"/>
      <w:szCs w:val="20"/>
      <w:shd w:val="clear"/>
      <w:rFonts w:ascii="Calibri" w:eastAsia="Times New Roman" w:hAnsi="Calibri" w:cs="Times New Roman"/>
      <w:lang w:eastAsia="es-MX" w:val="es-MX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paragraph">
    <w:name w:val="footnote text"/>
    <w:basedOn w:val="PO1"/>
    <w:link w:val="PO152"/>
    <w:uiPriority w:val="99"/>
    <w:unhideWhenUsed/>
    <w:rPr>
      <w:sz w:val="20"/>
      <w:szCs w:val="20"/>
      <w:shd w:val="clear"/>
    </w:rPr>
  </w:style>
  <w:style w:customStyle="1" w:styleId="PO152" w:type="character">
    <w:name w:val="Footnote Text Char"/>
    <w:basedOn w:val="PO2"/>
    <w:link w:val="PO151"/>
    <w:uiPriority w:val="99"/>
    <w:rPr>
      <w:sz w:val="20"/>
      <w:szCs w:val="20"/>
      <w:shd w:val="clear"/>
      <w:rFonts w:ascii="Times New Roman" w:eastAsia="Times New Roman" w:hAnsi="Times New Roman" w:cs="Times New Roman"/>
      <w:lang w:eastAsia="es-MX" w:val="es-MX"/>
    </w:rPr>
  </w:style>
  <w:style w:styleId="PO153" w:type="character">
    <w:name w:val="footnote reference"/>
    <w:basedOn w:val="PO2"/>
    <w:uiPriority w:val="99"/>
    <w:unhideWhenUsed/>
    <w:rPr>
      <w:vertAlign w:val="superscript"/>
      <w:shd w:val="clear"/>
    </w:rPr>
  </w:style>
  <w:style w:styleId="PO154" w:type="character">
    <w:name w:val="Hyperlink"/>
    <w:basedOn w:val="PO2"/>
    <w:uiPriority w:val="99"/>
    <w:unhideWhenUsed/>
    <w:rPr>
      <w:color w:val="0000FF"/>
      <w:u w:val="single"/>
      <w:shd w:val="clear"/>
    </w:rPr>
  </w:style>
  <w:style w:styleId="PO155" w:type="paragraph">
    <w:name w:val="Normal (Web)"/>
    <w:basedOn w:val="PO1"/>
    <w:uiPriority w:val="99"/>
    <w:semiHidden/>
    <w:unhideWhenUsed/>
  </w:style>
  <w:style w:customStyle="1" w:styleId="PO156" w:type="table">
    <w:name w:val="Tabla normal 21"/>
    <w:basedOn w:val="PO3"/>
    <w:uiPriority w:val="42"/>
    <w:rPr>
      <w:sz w:val="20"/>
      <w:szCs w:val="20"/>
      <w:shd w:val="clear"/>
      <w:rFonts w:ascii="Calibri" w:eastAsia="Times New Roman" w:hAnsi="Calibri" w:cs="Times New Roman"/>
      <w:lang w:eastAsia="es-MX" w:val="es-MX"/>
    </w:rPr>
    <w:tblPr>
      <w:tblBorders>
        <w:bottom w:val="single" w:color="7F7F7F" w:themeColor="text1" w:themeTint="7F" w:sz="4"/>
        <w:top w:val="single" w:color="7F7F7F" w:themeColor="text1" w:themeTint="7F" w:sz="4"/>
      </w:tblBorders>
      <w:tblStyleColBandSize w:val="1"/>
      <w:tblStyleRowBandSize w:val="1"/>
    </w:tblPr>
    <w:tblStylePr w:type="band1Horz">
      <w:rPr>
        <w:shd w:val="clear"/>
        <w:rFonts w:cs="Times New Roman"/>
      </w:rPr>
      <w:tblPr/>
      <w:tcPr>
        <w:tcBorders>
          <w:bottom w:val="single" w:color="7F7F7F" w:themeColor="text1" w:themeTint="7F" w:sz="4"/>
          <w:top w:val="single" w:color="7F7F7F" w:themeColor="text1" w:themeTint="7F" w:sz="4"/>
        </w:tcBorders>
      </w:tcPr>
    </w:tblStylePr>
    <w:tblStylePr w:type="band1Vert">
      <w:rPr>
        <w:shd w:val="clear"/>
        <w:rFonts w:cs="Times New Roman"/>
      </w:rPr>
      <w:tblPr/>
      <w:tcPr>
        <w:tcBorders>
          <w:left w:val="single" w:color="7F7F7F" w:themeColor="text1" w:themeTint="7F" w:sz="4"/>
          <w:right w:val="single" w:color="7F7F7F" w:themeColor="text1" w:themeTint="7F" w:sz="4"/>
        </w:tcBorders>
      </w:tcPr>
    </w:tblStylePr>
    <w:tblStylePr w:type="band2Vert">
      <w:rPr>
        <w:shd w:val="clear"/>
        <w:rFonts w:cs="Times New Roman"/>
      </w:rPr>
      <w:tblPr/>
      <w:tcPr>
        <w:tcBorders>
          <w:left w:val="single" w:color="7F7F7F" w:themeColor="text1" w:themeTint="7F" w:sz="4"/>
          <w:right w:val="single" w:color="7F7F7F" w:themeColor="text1" w:themeTint="7F" w:sz="4"/>
        </w:tcBorders>
      </w:tcPr>
    </w:tblStylePr>
    <w:tblStylePr w:type="firstCol">
      <w:rPr>
        <w:b w:val="1"/>
        <w:shd w:val="clear"/>
        <w:rFonts w:cs="Times New Roman"/>
      </w:rPr>
    </w:tblStylePr>
    <w:tblStylePr w:type="firstRow">
      <w:rPr>
        <w:b w:val="1"/>
        <w:shd w:val="clear"/>
        <w:rFonts w:cs="Times New Roman"/>
      </w:rPr>
      <w:tblPr/>
      <w:tcPr>
        <w:tcBorders>
          <w:bottom w:val="single" w:color="7F7F7F" w:themeColor="text1" w:themeTint="7F" w:sz="4"/>
        </w:tcBorders>
      </w:tcPr>
    </w:tblStylePr>
    <w:tblStylePr w:type="lastCol">
      <w:rPr>
        <w:b w:val="1"/>
        <w:shd w:val="clear"/>
        <w:rFonts w:cs="Times New Roman"/>
      </w:rPr>
    </w:tblStylePr>
    <w:tblStylePr w:type="lastRow">
      <w:rPr>
        <w:b w:val="1"/>
        <w:shd w:val="clear"/>
        <w:rFonts w:cs="Times New Roman"/>
      </w:rPr>
      <w:tblPr/>
      <w:tcPr>
        <w:tcBorders>
          <w:top w:val="single" w:color="7F7F7F" w:themeColor="text1" w:themeTint="7F" w:sz="4"/>
        </w:tcBorders>
      </w:tcPr>
    </w:tblStylePr>
  </w:style>
  <w:style w:styleId="PO157" w:type="paragraph">
    <w:name w:val="Balloon Text"/>
    <w:basedOn w:val="PO1"/>
    <w:link w:val="PO158"/>
    <w:uiPriority w:val="99"/>
    <w:semiHidden/>
    <w:unhideWhenUsed/>
    <w:rPr>
      <w:sz w:val="18"/>
      <w:szCs w:val="18"/>
      <w:shd w:val="clear"/>
      <w:rFonts w:ascii="Lucida Grande" w:hAnsi="Lucida Grande" w:cs="Lucida Grande"/>
    </w:rPr>
  </w:style>
  <w:style w:customStyle="1" w:styleId="PO158" w:type="character">
    <w:name w:val="Balloon Text Char"/>
    <w:basedOn w:val="PO2"/>
    <w:link w:val="PO157"/>
    <w:uiPriority w:val="99"/>
    <w:semiHidden/>
    <w:rPr>
      <w:sz w:val="18"/>
      <w:szCs w:val="18"/>
      <w:shd w:val="clear"/>
      <w:rFonts w:ascii="Lucida Grande" w:eastAsia="Times New Roman" w:hAnsi="Lucida Grande" w:cs="Lucida Grande"/>
      <w:lang w:eastAsia="es-MX" w:val="es-MX"/>
    </w:rPr>
  </w:style>
  <w:style w:styleId="PO159" w:type="paragraph">
    <w:name w:val="header"/>
    <w:basedOn w:val="PO1"/>
    <w:link w:val="PO160"/>
    <w:uiPriority w:val="99"/>
    <w:unhideWhenUsed/>
    <w:pPr>
      <w:tabs>
        <w:tab w:val="center" w:pos="4252"/>
        <w:tab w:val="right" w:pos="8504"/>
      </w:tabs>
      <w:rPr/>
    </w:pPr>
  </w:style>
  <w:style w:customStyle="1" w:styleId="PO160" w:type="character">
    <w:name w:val="Header Char"/>
    <w:basedOn w:val="PO2"/>
    <w:link w:val="PO159"/>
    <w:uiPriority w:val="99"/>
    <w:rPr>
      <w:shd w:val="clear"/>
      <w:rFonts w:ascii="Times New Roman" w:eastAsia="Times New Roman" w:hAnsi="Times New Roman" w:cs="Times New Roman"/>
      <w:lang w:eastAsia="es-MX" w:val="es-MX"/>
    </w:rPr>
  </w:style>
  <w:style w:styleId="PO161" w:type="paragraph">
    <w:name w:val="footer"/>
    <w:basedOn w:val="PO1"/>
    <w:link w:val="PO162"/>
    <w:uiPriority w:val="99"/>
    <w:unhideWhenUsed/>
    <w:pPr>
      <w:tabs>
        <w:tab w:val="center" w:pos="4252"/>
        <w:tab w:val="right" w:pos="8504"/>
      </w:tabs>
      <w:rPr/>
    </w:pPr>
  </w:style>
  <w:style w:customStyle="1" w:styleId="PO162" w:type="character">
    <w:name w:val="Footer Char"/>
    <w:basedOn w:val="PO2"/>
    <w:link w:val="PO161"/>
    <w:uiPriority w:val="99"/>
    <w:rPr>
      <w:shd w:val="clear"/>
      <w:rFonts w:ascii="Times New Roman" w:eastAsia="Times New Roman" w:hAnsi="Times New Roman" w:cs="Times New Roman"/>
      <w:lang w:eastAsia="es-MX" w:val="es-MX"/>
    </w:rPr>
  </w:style>
  <w:style w:customStyle="1" w:styleId="PO163" w:type="table">
    <w:name w:val="Tabla con cuadrícula1"/>
    <w:basedOn w:val="PO3"/>
    <w:next w:val="PO37"/>
    <w:uiPriority w:val="39"/>
    <w:rPr>
      <w:sz w:val="22"/>
      <w:szCs w:val="22"/>
      <w:shd w:val="clear"/>
      <w:rFonts w:ascii="Calibri" w:eastAsia="Calibri" w:hAnsi="Calibri" w:cs="Calibri"/>
      <w:lang w:eastAsia="es-MX" w:val="es-MX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header" Target="header2.xml"></Relationship><Relationship Id="rId6" Type="http://schemas.openxmlformats.org/officeDocument/2006/relationships/footer" Target="footer6.xml"></Relationship><Relationship Id="rId7" Type="http://schemas.openxmlformats.org/officeDocument/2006/relationships/numbering" Target="numbering.xml"></Relationship><Relationship Id="rId8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1.jpeg"></Relationship><Relationship Id="rId2" Type="http://schemas.openxmlformats.org/officeDocument/2006/relationships/image" Target="media/image1.jpeg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8084</Characters>
  <CharactersWithSpaces>0</CharactersWithSpaces>
  <DocSecurity>0</DocSecurity>
  <HyperlinksChanged>false</HyperlinksChanged>
  <Lines>57</Lines>
  <LinksUpToDate>false</LinksUpToDate>
  <Pages>6</Pages>
  <Paragraphs>16</Paragraphs>
  <Words>1246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Hector Aguilar</dc:creator>
  <cp:lastModifiedBy/>
  <dcterms:modified xsi:type="dcterms:W3CDTF">2024-11-22T01:33:00Z</dcterms:modified>
</cp:coreProperties>
</file>