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54AC8" w14:textId="77777777" w:rsidR="00CA76B2" w:rsidRPr="00CA76B2" w:rsidRDefault="00CA76B2" w:rsidP="00CA76B2">
      <w:pPr>
        <w:spacing w:after="0" w:line="360" w:lineRule="auto"/>
        <w:jc w:val="both"/>
        <w:rPr>
          <w:rFonts w:ascii="Arial" w:eastAsia="Arial" w:hAnsi="Arial" w:cs="Arial"/>
          <w:b/>
          <w:sz w:val="28"/>
          <w:szCs w:val="28"/>
          <w:lang w:eastAsia="es-MX"/>
        </w:rPr>
      </w:pPr>
      <w:r w:rsidRPr="00CA76B2">
        <w:rPr>
          <w:rFonts w:ascii="Arial" w:eastAsia="Arial" w:hAnsi="Arial" w:cs="Arial"/>
          <w:b/>
          <w:sz w:val="28"/>
          <w:szCs w:val="28"/>
          <w:lang w:eastAsia="es-MX"/>
        </w:rPr>
        <w:t>H. CONGRESO DEL ESTADO.</w:t>
      </w:r>
    </w:p>
    <w:p w14:paraId="3F229254" w14:textId="77777777" w:rsidR="00CA76B2" w:rsidRPr="00CA76B2" w:rsidRDefault="00CA76B2" w:rsidP="00CA76B2">
      <w:pPr>
        <w:spacing w:after="0" w:line="360" w:lineRule="auto"/>
        <w:jc w:val="both"/>
        <w:rPr>
          <w:rFonts w:ascii="Arial" w:eastAsia="Arial" w:hAnsi="Arial" w:cs="Arial"/>
          <w:b/>
          <w:sz w:val="28"/>
          <w:szCs w:val="28"/>
          <w:lang w:eastAsia="es-MX"/>
        </w:rPr>
      </w:pPr>
      <w:r w:rsidRPr="00CA76B2">
        <w:rPr>
          <w:rFonts w:ascii="Arial" w:eastAsia="Arial" w:hAnsi="Arial" w:cs="Arial"/>
          <w:b/>
          <w:sz w:val="28"/>
          <w:szCs w:val="28"/>
          <w:lang w:eastAsia="es-MX"/>
        </w:rPr>
        <w:t>P R E S E N T E.</w:t>
      </w:r>
    </w:p>
    <w:p w14:paraId="2C5478C8" w14:textId="77777777" w:rsidR="00CA76B2" w:rsidRPr="00CA76B2" w:rsidRDefault="00CA76B2" w:rsidP="00CA76B2">
      <w:pPr>
        <w:spacing w:after="0" w:line="360" w:lineRule="auto"/>
        <w:jc w:val="both"/>
        <w:rPr>
          <w:rFonts w:ascii="Arial" w:eastAsia="Arial" w:hAnsi="Arial" w:cs="Arial"/>
          <w:sz w:val="28"/>
          <w:szCs w:val="28"/>
          <w:lang w:eastAsia="es-MX"/>
        </w:rPr>
      </w:pPr>
    </w:p>
    <w:p w14:paraId="3FAA6972" w14:textId="61CC8FC7" w:rsidR="00CA76B2" w:rsidRPr="00CA76B2" w:rsidRDefault="00CA76B2" w:rsidP="00CA76B2">
      <w:pPr>
        <w:spacing w:after="0" w:line="360" w:lineRule="auto"/>
        <w:ind w:firstLine="720"/>
        <w:jc w:val="both"/>
        <w:rPr>
          <w:rFonts w:ascii="Arial" w:eastAsia="Arial" w:hAnsi="Arial" w:cs="Arial"/>
          <w:b/>
          <w:i/>
          <w:sz w:val="28"/>
          <w:szCs w:val="28"/>
          <w:lang w:eastAsia="es-MX"/>
        </w:rPr>
      </w:pPr>
      <w:r w:rsidRPr="00CA76B2">
        <w:rPr>
          <w:rFonts w:ascii="Arial" w:eastAsia="Arial" w:hAnsi="Arial" w:cs="Arial"/>
          <w:sz w:val="28"/>
          <w:szCs w:val="28"/>
          <w:lang w:eastAsia="es-MX"/>
        </w:rPr>
        <w:t xml:space="preserve">Quien suscribe, Rosana Díaz Reyes, en mi carácter de Diputada de la Sexagésima Octava Legislatura e integrante Grupo Parlamentario de </w:t>
      </w:r>
      <w:r w:rsidRPr="00CA76B2">
        <w:rPr>
          <w:rFonts w:ascii="Arial" w:eastAsia="Arial" w:hAnsi="Arial" w:cs="Arial"/>
          <w:b/>
          <w:sz w:val="28"/>
          <w:szCs w:val="28"/>
          <w:lang w:eastAsia="es-MX"/>
        </w:rPr>
        <w:t>MORENA</w:t>
      </w:r>
      <w:r w:rsidRPr="00CA76B2">
        <w:rPr>
          <w:rFonts w:ascii="Arial" w:eastAsia="Arial" w:hAnsi="Arial" w:cs="Arial"/>
          <w:sz w:val="28"/>
          <w:szCs w:val="28"/>
          <w:lang w:eastAsia="es-MX"/>
        </w:rPr>
        <w:t xml:space="preserve">, con fundamento en lo dispuesto por el artículo 68 fracción primera de la Constitución Política del Estado de Chihuahua, me permito someter a consideración de la  Soberanía, Iniciativa con carácter de </w:t>
      </w:r>
      <w:r w:rsidRPr="00CA76B2">
        <w:rPr>
          <w:rFonts w:ascii="Arial" w:eastAsia="Arial" w:hAnsi="Arial" w:cs="Arial"/>
          <w:b/>
          <w:sz w:val="28"/>
          <w:szCs w:val="28"/>
          <w:lang w:eastAsia="es-MX"/>
        </w:rPr>
        <w:t>DECRETO</w:t>
      </w:r>
      <w:r w:rsidRPr="00CA76B2">
        <w:rPr>
          <w:rFonts w:ascii="Arial" w:eastAsia="Arial" w:hAnsi="Arial" w:cs="Arial"/>
          <w:sz w:val="28"/>
          <w:szCs w:val="28"/>
          <w:lang w:eastAsia="es-MX"/>
        </w:rPr>
        <w:t xml:space="preserve">, a fin de reformar la Ley Orgánica del Poder Legislativo y la Ley de </w:t>
      </w:r>
      <w:r w:rsidR="00B0187E" w:rsidRPr="00CA76B2">
        <w:rPr>
          <w:rFonts w:ascii="Arial" w:eastAsia="Arial" w:hAnsi="Arial" w:cs="Arial"/>
          <w:sz w:val="28"/>
          <w:szCs w:val="28"/>
          <w:lang w:eastAsia="es-MX"/>
        </w:rPr>
        <w:t xml:space="preserve">Participación Ciudadana </w:t>
      </w:r>
      <w:r w:rsidRPr="00CA76B2">
        <w:rPr>
          <w:rFonts w:ascii="Arial" w:eastAsia="Arial" w:hAnsi="Arial" w:cs="Arial"/>
          <w:sz w:val="28"/>
          <w:szCs w:val="28"/>
          <w:lang w:eastAsia="es-MX"/>
        </w:rPr>
        <w:t xml:space="preserve">del Estado de Chihuahua con el fin de </w:t>
      </w:r>
      <w:r w:rsidR="00B0187E">
        <w:rPr>
          <w:rFonts w:ascii="Arial" w:eastAsia="Arial" w:hAnsi="Arial" w:cs="Arial"/>
          <w:sz w:val="28"/>
          <w:szCs w:val="28"/>
          <w:lang w:eastAsia="es-MX"/>
        </w:rPr>
        <w:t>disminuir el</w:t>
      </w:r>
      <w:r w:rsidRPr="00CA76B2">
        <w:rPr>
          <w:rFonts w:ascii="Arial" w:eastAsia="Arial" w:hAnsi="Arial" w:cs="Arial"/>
          <w:sz w:val="28"/>
          <w:szCs w:val="28"/>
          <w:lang w:eastAsia="es-MX"/>
        </w:rPr>
        <w:t xml:space="preserve"> porcentaje </w:t>
      </w:r>
      <w:r w:rsidR="00B0187E">
        <w:rPr>
          <w:rFonts w:ascii="Arial" w:eastAsia="Arial" w:hAnsi="Arial" w:cs="Arial"/>
          <w:sz w:val="28"/>
          <w:szCs w:val="28"/>
          <w:lang w:eastAsia="es-MX"/>
        </w:rPr>
        <w:t xml:space="preserve">requerido </w:t>
      </w:r>
      <w:r w:rsidRPr="00CA76B2">
        <w:rPr>
          <w:rFonts w:ascii="Arial" w:eastAsia="Arial" w:hAnsi="Arial" w:cs="Arial"/>
          <w:sz w:val="28"/>
          <w:szCs w:val="28"/>
          <w:lang w:eastAsia="es-MX"/>
        </w:rPr>
        <w:t>para la presentación de iniciativa</w:t>
      </w:r>
      <w:r w:rsidR="00B0187E">
        <w:rPr>
          <w:rFonts w:ascii="Arial" w:eastAsia="Arial" w:hAnsi="Arial" w:cs="Arial"/>
          <w:sz w:val="28"/>
          <w:szCs w:val="28"/>
          <w:lang w:eastAsia="es-MX"/>
        </w:rPr>
        <w:t>s</w:t>
      </w:r>
      <w:r w:rsidRPr="00CA76B2">
        <w:rPr>
          <w:rFonts w:ascii="Arial" w:eastAsia="Arial" w:hAnsi="Arial" w:cs="Arial"/>
          <w:sz w:val="28"/>
          <w:szCs w:val="28"/>
          <w:lang w:eastAsia="es-MX"/>
        </w:rPr>
        <w:t xml:space="preserve"> ciudadana</w:t>
      </w:r>
      <w:r w:rsidR="00B0187E">
        <w:rPr>
          <w:rFonts w:ascii="Arial" w:eastAsia="Arial" w:hAnsi="Arial" w:cs="Arial"/>
          <w:sz w:val="28"/>
          <w:szCs w:val="28"/>
          <w:lang w:eastAsia="es-MX"/>
        </w:rPr>
        <w:t>s, haciendo del mismo, un derecho accesible</w:t>
      </w:r>
      <w:r w:rsidRPr="00CA76B2">
        <w:rPr>
          <w:rFonts w:ascii="Arial" w:eastAsia="Arial" w:hAnsi="Arial" w:cs="Arial"/>
          <w:sz w:val="28"/>
          <w:szCs w:val="28"/>
          <w:lang w:eastAsia="es-MX"/>
        </w:rPr>
        <w:t xml:space="preserve">, </w:t>
      </w:r>
      <w:r w:rsidR="00B0187E">
        <w:rPr>
          <w:rFonts w:ascii="Arial" w:eastAsia="Arial" w:hAnsi="Arial" w:cs="Arial"/>
          <w:sz w:val="28"/>
          <w:szCs w:val="28"/>
          <w:lang w:eastAsia="es-MX"/>
        </w:rPr>
        <w:t>lo anterior al</w:t>
      </w:r>
      <w:r w:rsidRPr="00CA76B2">
        <w:rPr>
          <w:rFonts w:ascii="Arial" w:eastAsia="Arial" w:hAnsi="Arial" w:cs="Arial"/>
          <w:sz w:val="28"/>
          <w:szCs w:val="28"/>
          <w:lang w:eastAsia="es-MX"/>
        </w:rPr>
        <w:t xml:space="preserve"> tenor de la siguiente:</w:t>
      </w:r>
    </w:p>
    <w:p w14:paraId="079C1D9F" w14:textId="77777777" w:rsidR="00CA76B2" w:rsidRPr="00CA76B2" w:rsidRDefault="00CA76B2" w:rsidP="00CA76B2">
      <w:pPr>
        <w:spacing w:after="0" w:line="360" w:lineRule="auto"/>
        <w:jc w:val="both"/>
        <w:rPr>
          <w:rFonts w:ascii="Arial" w:eastAsia="Arial" w:hAnsi="Arial" w:cs="Arial"/>
          <w:b/>
          <w:i/>
          <w:sz w:val="28"/>
          <w:szCs w:val="28"/>
          <w:lang w:eastAsia="es-MX"/>
        </w:rPr>
      </w:pPr>
    </w:p>
    <w:p w14:paraId="0B29231F" w14:textId="77777777" w:rsidR="00CA76B2" w:rsidRPr="00CA76B2" w:rsidRDefault="00CA76B2" w:rsidP="00CA76B2">
      <w:pPr>
        <w:spacing w:after="0" w:line="360" w:lineRule="auto"/>
        <w:jc w:val="center"/>
        <w:rPr>
          <w:rFonts w:ascii="Arial" w:eastAsia="Arial" w:hAnsi="Arial" w:cs="Arial"/>
          <w:b/>
          <w:sz w:val="28"/>
          <w:szCs w:val="28"/>
          <w:lang w:eastAsia="es-MX"/>
        </w:rPr>
      </w:pPr>
      <w:r w:rsidRPr="00CA76B2">
        <w:rPr>
          <w:rFonts w:ascii="Arial" w:eastAsia="Arial" w:hAnsi="Arial" w:cs="Arial"/>
          <w:b/>
          <w:sz w:val="28"/>
          <w:szCs w:val="28"/>
          <w:lang w:eastAsia="es-MX"/>
        </w:rPr>
        <w:t xml:space="preserve">Exposición de motivos </w:t>
      </w:r>
    </w:p>
    <w:p w14:paraId="4435253E" w14:textId="77777777" w:rsidR="00CA76B2" w:rsidRPr="00CA76B2" w:rsidRDefault="00CA76B2" w:rsidP="00CA76B2">
      <w:pPr>
        <w:spacing w:after="0" w:line="360" w:lineRule="auto"/>
        <w:jc w:val="center"/>
        <w:rPr>
          <w:rFonts w:ascii="Arial" w:eastAsia="Arial" w:hAnsi="Arial" w:cs="Arial"/>
          <w:sz w:val="28"/>
          <w:szCs w:val="28"/>
          <w:lang w:eastAsia="es-MX"/>
        </w:rPr>
      </w:pPr>
    </w:p>
    <w:p w14:paraId="45E29237" w14:textId="77777777" w:rsidR="00CA76B2" w:rsidRPr="00CA76B2" w:rsidRDefault="00CA76B2" w:rsidP="00CA76B2">
      <w:pPr>
        <w:spacing w:after="0" w:line="360" w:lineRule="auto"/>
        <w:ind w:firstLine="720"/>
        <w:jc w:val="both"/>
        <w:rPr>
          <w:rFonts w:ascii="Arial" w:eastAsia="Arial" w:hAnsi="Arial" w:cs="Arial"/>
          <w:sz w:val="28"/>
          <w:szCs w:val="28"/>
          <w:lang w:eastAsia="es-MX"/>
        </w:rPr>
      </w:pPr>
      <w:r w:rsidRPr="00CA76B2">
        <w:rPr>
          <w:rFonts w:ascii="Arial" w:eastAsia="Arial" w:hAnsi="Arial" w:cs="Arial"/>
          <w:sz w:val="28"/>
          <w:szCs w:val="28"/>
          <w:lang w:eastAsia="es-MX"/>
        </w:rPr>
        <w:t xml:space="preserve">El derecho a la participación ciudadana, no es una prescripción  declarativa de nuestro marco constitucional, sino por el contrario, es una garantía del pueblo mexicano, es una necesidad fundamental para la vida democrática de toda sociedad. En tal virtud, sería imperfecto ostentar constitucionalmente a la participación ciudadana en la </w:t>
      </w:r>
      <w:r w:rsidRPr="00CA76B2">
        <w:rPr>
          <w:rFonts w:ascii="Arial" w:eastAsia="Arial" w:hAnsi="Arial" w:cs="Arial"/>
          <w:sz w:val="28"/>
          <w:szCs w:val="28"/>
          <w:lang w:eastAsia="es-MX"/>
        </w:rPr>
        <w:lastRenderedPageBreak/>
        <w:t>Constitución pero expresarla mediante mecanismos de virtual imposible acceso, es decir, no tendría sentido establecer una participación ciudadana con mecanismos de imposible acceso social.</w:t>
      </w:r>
    </w:p>
    <w:p w14:paraId="201027E4" w14:textId="77777777" w:rsidR="00CA76B2" w:rsidRPr="00CA76B2" w:rsidRDefault="00CA76B2" w:rsidP="00CA76B2">
      <w:pPr>
        <w:spacing w:after="0" w:line="360" w:lineRule="auto"/>
        <w:ind w:firstLine="720"/>
        <w:jc w:val="both"/>
        <w:rPr>
          <w:rFonts w:ascii="Arial" w:eastAsia="Arial" w:hAnsi="Arial" w:cs="Arial"/>
          <w:sz w:val="28"/>
          <w:szCs w:val="28"/>
          <w:lang w:eastAsia="es-MX"/>
        </w:rPr>
      </w:pPr>
      <w:r w:rsidRPr="00CA76B2">
        <w:rPr>
          <w:rFonts w:ascii="Arial" w:eastAsia="Arial" w:hAnsi="Arial" w:cs="Arial"/>
          <w:sz w:val="28"/>
          <w:szCs w:val="28"/>
          <w:lang w:eastAsia="es-MX"/>
        </w:rPr>
        <w:t xml:space="preserve">Es por lo anterior, que existe un deber ético y democrático en revestir  a los mecanismos de participación ciudadana con las facilidades de su ejercicio, pues el propósito de la participación ciudadana es ante todo, un propósito que debe ser tangible y </w:t>
      </w:r>
      <w:proofErr w:type="spellStart"/>
      <w:r w:rsidRPr="00CA76B2">
        <w:rPr>
          <w:rFonts w:ascii="Arial" w:eastAsia="Arial" w:hAnsi="Arial" w:cs="Arial"/>
          <w:sz w:val="28"/>
          <w:szCs w:val="28"/>
          <w:lang w:eastAsia="es-MX"/>
        </w:rPr>
        <w:t>garantizable</w:t>
      </w:r>
      <w:proofErr w:type="spellEnd"/>
      <w:r w:rsidRPr="00CA76B2">
        <w:rPr>
          <w:rFonts w:ascii="Arial" w:eastAsia="Arial" w:hAnsi="Arial" w:cs="Arial"/>
          <w:sz w:val="28"/>
          <w:szCs w:val="28"/>
          <w:lang w:eastAsia="es-MX"/>
        </w:rPr>
        <w:t xml:space="preserve"> en la realidad social, es decir, para todas las personas en México.</w:t>
      </w:r>
    </w:p>
    <w:p w14:paraId="26D71C7D" w14:textId="77777777" w:rsidR="00CA76B2" w:rsidRPr="00CA76B2" w:rsidRDefault="00CA76B2" w:rsidP="00CA76B2">
      <w:pPr>
        <w:spacing w:after="0" w:line="360" w:lineRule="auto"/>
        <w:ind w:firstLine="720"/>
        <w:jc w:val="both"/>
        <w:rPr>
          <w:rFonts w:ascii="Arial" w:eastAsia="Arial" w:hAnsi="Arial" w:cs="Arial"/>
          <w:sz w:val="28"/>
          <w:szCs w:val="28"/>
          <w:lang w:eastAsia="es-MX"/>
        </w:rPr>
      </w:pPr>
    </w:p>
    <w:p w14:paraId="256CA5E7" w14:textId="77777777" w:rsidR="00CA76B2" w:rsidRPr="00CA76B2" w:rsidRDefault="00CA76B2" w:rsidP="00CA76B2">
      <w:pPr>
        <w:spacing w:after="0" w:line="360" w:lineRule="auto"/>
        <w:ind w:firstLine="720"/>
        <w:jc w:val="both"/>
        <w:rPr>
          <w:rFonts w:ascii="Arial" w:eastAsia="Arial" w:hAnsi="Arial" w:cs="Arial"/>
          <w:sz w:val="28"/>
          <w:szCs w:val="28"/>
          <w:lang w:eastAsia="es-MX"/>
        </w:rPr>
      </w:pPr>
      <w:r w:rsidRPr="00CA76B2">
        <w:rPr>
          <w:rFonts w:ascii="Arial" w:eastAsia="Arial" w:hAnsi="Arial" w:cs="Arial"/>
          <w:sz w:val="28"/>
          <w:szCs w:val="28"/>
          <w:lang w:eastAsia="es-MX"/>
        </w:rPr>
        <w:t>Lo anterior es destacable incluso desde los criterios jurisdiccionales:</w:t>
      </w:r>
    </w:p>
    <w:p w14:paraId="54255520" w14:textId="77777777" w:rsidR="00CA76B2" w:rsidRPr="00CA76B2" w:rsidRDefault="00CA76B2" w:rsidP="00CA76B2">
      <w:pPr>
        <w:spacing w:after="0" w:line="360" w:lineRule="auto"/>
        <w:ind w:firstLine="720"/>
        <w:jc w:val="both"/>
        <w:rPr>
          <w:rFonts w:ascii="Arial" w:eastAsia="Arial" w:hAnsi="Arial" w:cs="Arial"/>
          <w:sz w:val="28"/>
          <w:szCs w:val="28"/>
          <w:lang w:eastAsia="es-MX"/>
        </w:rPr>
      </w:pPr>
    </w:p>
    <w:p w14:paraId="373F8E08" w14:textId="77777777" w:rsidR="00CA76B2" w:rsidRPr="00CA76B2" w:rsidRDefault="00CA76B2" w:rsidP="00CA76B2">
      <w:pPr>
        <w:spacing w:after="0" w:line="360" w:lineRule="auto"/>
        <w:ind w:left="720"/>
        <w:jc w:val="both"/>
        <w:rPr>
          <w:rFonts w:ascii="Arial" w:eastAsia="Arial" w:hAnsi="Arial" w:cs="Arial"/>
          <w:sz w:val="24"/>
          <w:szCs w:val="28"/>
          <w:lang w:eastAsia="es-MX"/>
        </w:rPr>
      </w:pPr>
      <w:r w:rsidRPr="00CA76B2">
        <w:rPr>
          <w:rFonts w:ascii="Arial" w:eastAsia="Arial" w:hAnsi="Arial" w:cs="Arial"/>
          <w:sz w:val="24"/>
          <w:szCs w:val="28"/>
          <w:lang w:eastAsia="es-MX"/>
        </w:rPr>
        <w:t>1a./J. 3/2024 (11a.), Gaceta del Semanario Judicial de la Federación. Libro 33, Enero de 2024, Tomo II, página 1670, Jurisprudencia</w:t>
      </w:r>
    </w:p>
    <w:p w14:paraId="1C38A7D8" w14:textId="77777777" w:rsidR="00CA76B2" w:rsidRPr="00CA76B2" w:rsidRDefault="00CA76B2" w:rsidP="00CA76B2">
      <w:pPr>
        <w:spacing w:after="0" w:line="360" w:lineRule="auto"/>
        <w:ind w:firstLine="720"/>
        <w:jc w:val="both"/>
        <w:rPr>
          <w:rFonts w:ascii="Arial" w:eastAsia="Arial" w:hAnsi="Arial" w:cs="Arial"/>
          <w:sz w:val="24"/>
          <w:szCs w:val="28"/>
          <w:lang w:eastAsia="es-MX"/>
        </w:rPr>
      </w:pPr>
    </w:p>
    <w:p w14:paraId="448BC244" w14:textId="77777777" w:rsidR="00CA76B2" w:rsidRPr="00CA76B2" w:rsidRDefault="00CA76B2" w:rsidP="00CA76B2">
      <w:pPr>
        <w:spacing w:after="0" w:line="360" w:lineRule="auto"/>
        <w:ind w:left="720"/>
        <w:jc w:val="both"/>
        <w:rPr>
          <w:rFonts w:ascii="Arial" w:eastAsia="Arial" w:hAnsi="Arial" w:cs="Arial"/>
          <w:sz w:val="24"/>
          <w:szCs w:val="28"/>
          <w:lang w:eastAsia="es-MX"/>
        </w:rPr>
      </w:pPr>
      <w:r w:rsidRPr="00CA76B2">
        <w:rPr>
          <w:rFonts w:ascii="Arial" w:eastAsia="Arial" w:hAnsi="Arial" w:cs="Arial"/>
          <w:sz w:val="24"/>
          <w:szCs w:val="28"/>
          <w:lang w:eastAsia="es-MX"/>
        </w:rPr>
        <w:t>DERECHO A LA PARTICIPACIÓN CIUDADANA Y AL ACCESO A LA INFORMACIÓN EN MATERIA MEDIOAMBIENTAL. OBLIGACIONES MÍNIMAS QUE EL ESTADO DEBE SATISFACER PARA GARANTIZAR SU NÚCLEO ESENCIAL EN UN PROCESO DE TOMA DE DECISIONES.</w:t>
      </w:r>
    </w:p>
    <w:p w14:paraId="40A87867" w14:textId="77777777" w:rsidR="00CA76B2" w:rsidRPr="00CA76B2" w:rsidRDefault="00CA76B2" w:rsidP="00CA76B2">
      <w:pPr>
        <w:spacing w:after="0" w:line="360" w:lineRule="auto"/>
        <w:ind w:firstLine="720"/>
        <w:jc w:val="both"/>
        <w:rPr>
          <w:rFonts w:ascii="Arial" w:eastAsia="Arial" w:hAnsi="Arial" w:cs="Arial"/>
          <w:sz w:val="24"/>
          <w:szCs w:val="28"/>
          <w:lang w:eastAsia="es-MX"/>
        </w:rPr>
      </w:pPr>
    </w:p>
    <w:p w14:paraId="1A1FEF1F" w14:textId="77777777" w:rsidR="00CA76B2" w:rsidRPr="00CA76B2" w:rsidRDefault="00CA76B2" w:rsidP="00CA76B2">
      <w:pPr>
        <w:spacing w:after="0" w:line="360" w:lineRule="auto"/>
        <w:ind w:left="720"/>
        <w:jc w:val="both"/>
        <w:rPr>
          <w:rFonts w:ascii="Arial" w:eastAsia="Arial" w:hAnsi="Arial" w:cs="Arial"/>
          <w:sz w:val="24"/>
          <w:szCs w:val="28"/>
          <w:lang w:eastAsia="es-MX"/>
        </w:rPr>
      </w:pPr>
      <w:r w:rsidRPr="00CA76B2">
        <w:rPr>
          <w:rFonts w:ascii="Arial" w:eastAsia="Arial" w:hAnsi="Arial" w:cs="Arial"/>
          <w:sz w:val="24"/>
          <w:szCs w:val="28"/>
          <w:lang w:eastAsia="es-MX"/>
        </w:rPr>
        <w:t xml:space="preserve">Hechos: Pobladores de un municipio del Estado de Quintana Roo promovieron un juicio de amparo indirecto en el que reclamaron el proceso </w:t>
      </w:r>
      <w:r w:rsidRPr="00CA76B2">
        <w:rPr>
          <w:rFonts w:ascii="Arial" w:eastAsia="Arial" w:hAnsi="Arial" w:cs="Arial"/>
          <w:sz w:val="24"/>
          <w:szCs w:val="28"/>
          <w:lang w:eastAsia="es-MX"/>
        </w:rPr>
        <w:lastRenderedPageBreak/>
        <w:t>de elaboración y aprobación de un programa de desarrollo municipal. En su demanda, señalaron que en ese proceso no se respetó su derecho a la participación ciudadana y al acceso a la información en materia medioambiental, pues no se garantizó que tuvieran la posibilidad real de participar en la toma de decisiones. El Juez de Distrito sobreseyó en el juicio, al considerar que los pobladores carecían de interés legítimo, ya que el acto reclamado no les generaba perjuicios, pues para ello se requería de una gestión urbana que materializara su contenido. En desacuerdo con esa sentencia, las personas quejosas interpusieron un recurso de revisión respecto del cual esta Primera Sala determinó reasumir su competencia originaria.</w:t>
      </w:r>
    </w:p>
    <w:p w14:paraId="56253AB9" w14:textId="77777777" w:rsidR="00CA76B2" w:rsidRPr="00CA76B2" w:rsidRDefault="00CA76B2" w:rsidP="00CA76B2">
      <w:pPr>
        <w:spacing w:after="0" w:line="360" w:lineRule="auto"/>
        <w:ind w:firstLine="720"/>
        <w:jc w:val="both"/>
        <w:rPr>
          <w:rFonts w:ascii="Arial" w:eastAsia="Arial" w:hAnsi="Arial" w:cs="Arial"/>
          <w:sz w:val="24"/>
          <w:szCs w:val="28"/>
          <w:lang w:eastAsia="es-MX"/>
        </w:rPr>
      </w:pPr>
    </w:p>
    <w:p w14:paraId="6D4AA977" w14:textId="77777777" w:rsidR="00CA76B2" w:rsidRPr="00CA76B2" w:rsidRDefault="00CA76B2" w:rsidP="00CA76B2">
      <w:pPr>
        <w:spacing w:after="0" w:line="360" w:lineRule="auto"/>
        <w:ind w:left="720"/>
        <w:jc w:val="both"/>
        <w:rPr>
          <w:rFonts w:ascii="Arial" w:eastAsia="Arial" w:hAnsi="Arial" w:cs="Arial"/>
          <w:sz w:val="24"/>
          <w:szCs w:val="28"/>
          <w:lang w:eastAsia="es-MX"/>
        </w:rPr>
      </w:pPr>
      <w:r w:rsidRPr="00CA76B2">
        <w:rPr>
          <w:rFonts w:ascii="Arial" w:eastAsia="Arial" w:hAnsi="Arial" w:cs="Arial"/>
          <w:sz w:val="24"/>
          <w:szCs w:val="28"/>
          <w:lang w:eastAsia="es-MX"/>
        </w:rPr>
        <w:t xml:space="preserve">Criterio jurídico: </w:t>
      </w:r>
      <w:r w:rsidRPr="00CA76B2">
        <w:rPr>
          <w:rFonts w:ascii="Arial" w:eastAsia="Arial" w:hAnsi="Arial" w:cs="Arial"/>
          <w:b/>
          <w:sz w:val="24"/>
          <w:szCs w:val="28"/>
          <w:lang w:eastAsia="es-MX"/>
        </w:rPr>
        <w:t>La garantía efectiva del derecho a la participación ciudadana</w:t>
      </w:r>
      <w:r w:rsidRPr="00CA76B2">
        <w:rPr>
          <w:rFonts w:ascii="Arial" w:eastAsia="Arial" w:hAnsi="Arial" w:cs="Arial"/>
          <w:sz w:val="24"/>
          <w:szCs w:val="28"/>
          <w:lang w:eastAsia="es-MX"/>
        </w:rPr>
        <w:t xml:space="preserve"> y al acceso a la información en materia medioambiental </w:t>
      </w:r>
      <w:r w:rsidRPr="00CA76B2">
        <w:rPr>
          <w:rFonts w:ascii="Arial" w:eastAsia="Arial" w:hAnsi="Arial" w:cs="Arial"/>
          <w:b/>
          <w:sz w:val="24"/>
          <w:szCs w:val="28"/>
          <w:lang w:eastAsia="es-MX"/>
        </w:rPr>
        <w:t>genera un correlativo deber estatal de asegurar el cumplimiento de ciertas obligaciones mínimas para que las personas tengan la oportunidad real de participar en los procesos de adopción de decisiones</w:t>
      </w:r>
      <w:r w:rsidRPr="00CA76B2">
        <w:rPr>
          <w:rFonts w:ascii="Arial" w:eastAsia="Arial" w:hAnsi="Arial" w:cs="Arial"/>
          <w:sz w:val="24"/>
          <w:szCs w:val="28"/>
          <w:lang w:eastAsia="es-MX"/>
        </w:rPr>
        <w:t xml:space="preserve"> sobre medidas que puedan afectar su derecho a un medioambiente sano. </w:t>
      </w:r>
      <w:r w:rsidRPr="00CA76B2">
        <w:rPr>
          <w:rFonts w:ascii="Arial" w:eastAsia="Arial" w:hAnsi="Arial" w:cs="Arial"/>
          <w:b/>
          <w:sz w:val="24"/>
          <w:szCs w:val="28"/>
          <w:lang w:eastAsia="es-MX"/>
        </w:rPr>
        <w:t>Estas obligaciones mínimas consisten en:</w:t>
      </w:r>
      <w:r w:rsidRPr="00CA76B2">
        <w:rPr>
          <w:rFonts w:ascii="Arial" w:eastAsia="Arial" w:hAnsi="Arial" w:cs="Arial"/>
          <w:sz w:val="24"/>
          <w:szCs w:val="28"/>
          <w:lang w:eastAsia="es-MX"/>
        </w:rPr>
        <w:t xml:space="preserve"> </w:t>
      </w:r>
      <w:r w:rsidRPr="00CA76B2">
        <w:rPr>
          <w:rFonts w:ascii="Arial" w:eastAsia="Arial" w:hAnsi="Arial" w:cs="Arial"/>
          <w:b/>
          <w:sz w:val="24"/>
          <w:szCs w:val="28"/>
          <w:lang w:eastAsia="es-MX"/>
        </w:rPr>
        <w:t>1) realizar</w:t>
      </w:r>
      <w:r w:rsidRPr="00CA76B2">
        <w:rPr>
          <w:rFonts w:ascii="Arial" w:eastAsia="Arial" w:hAnsi="Arial" w:cs="Arial"/>
          <w:sz w:val="24"/>
          <w:szCs w:val="28"/>
          <w:lang w:eastAsia="es-MX"/>
        </w:rPr>
        <w:t xml:space="preserve"> una consulta desde las etapas iniciales del proceso en la que se permita el acceso a la información de forma oportuna, clara y comprensible; </w:t>
      </w:r>
      <w:r w:rsidRPr="00CA76B2">
        <w:rPr>
          <w:rFonts w:ascii="Arial" w:eastAsia="Arial" w:hAnsi="Arial" w:cs="Arial"/>
          <w:b/>
          <w:sz w:val="24"/>
          <w:szCs w:val="28"/>
          <w:lang w:eastAsia="es-MX"/>
        </w:rPr>
        <w:t>2) asegurar</w:t>
      </w:r>
      <w:r w:rsidRPr="00CA76B2">
        <w:rPr>
          <w:rFonts w:ascii="Arial" w:eastAsia="Arial" w:hAnsi="Arial" w:cs="Arial"/>
          <w:sz w:val="24"/>
          <w:szCs w:val="28"/>
          <w:lang w:eastAsia="es-MX"/>
        </w:rPr>
        <w:t xml:space="preserve"> la posibilidad real del público de participar en la toma de decisiones</w:t>
      </w:r>
      <w:r w:rsidRPr="00CA76B2">
        <w:rPr>
          <w:rFonts w:ascii="Arial" w:eastAsia="Arial" w:hAnsi="Arial" w:cs="Arial"/>
          <w:b/>
          <w:sz w:val="24"/>
          <w:szCs w:val="28"/>
          <w:lang w:eastAsia="es-MX"/>
        </w:rPr>
        <w:t>; 3) garantizar</w:t>
      </w:r>
      <w:r w:rsidRPr="00CA76B2">
        <w:rPr>
          <w:rFonts w:ascii="Arial" w:eastAsia="Arial" w:hAnsi="Arial" w:cs="Arial"/>
          <w:sz w:val="24"/>
          <w:szCs w:val="28"/>
          <w:lang w:eastAsia="es-MX"/>
        </w:rPr>
        <w:t xml:space="preserve"> la participación de los diferentes intereses presentes en el territorio, a través de los medios adecuados</w:t>
      </w:r>
      <w:r w:rsidRPr="00CA76B2">
        <w:rPr>
          <w:rFonts w:ascii="Arial" w:eastAsia="Arial" w:hAnsi="Arial" w:cs="Arial"/>
          <w:b/>
          <w:sz w:val="24"/>
          <w:szCs w:val="28"/>
          <w:lang w:eastAsia="es-MX"/>
        </w:rPr>
        <w:t>; 4) promover</w:t>
      </w:r>
      <w:r w:rsidRPr="00CA76B2">
        <w:rPr>
          <w:rFonts w:ascii="Arial" w:eastAsia="Arial" w:hAnsi="Arial" w:cs="Arial"/>
          <w:sz w:val="24"/>
          <w:szCs w:val="28"/>
          <w:lang w:eastAsia="es-MX"/>
        </w:rPr>
        <w:t xml:space="preserve"> el aprendizaje entre las partes involucradas y valorar el conocimiento local; y, </w:t>
      </w:r>
      <w:r w:rsidRPr="00CA76B2">
        <w:rPr>
          <w:rFonts w:ascii="Arial" w:eastAsia="Arial" w:hAnsi="Arial" w:cs="Arial"/>
          <w:b/>
          <w:sz w:val="24"/>
          <w:szCs w:val="28"/>
          <w:lang w:eastAsia="es-MX"/>
        </w:rPr>
        <w:t>5) llevar</w:t>
      </w:r>
      <w:r w:rsidRPr="00CA76B2">
        <w:rPr>
          <w:rFonts w:ascii="Arial" w:eastAsia="Arial" w:hAnsi="Arial" w:cs="Arial"/>
          <w:sz w:val="24"/>
          <w:szCs w:val="28"/>
          <w:lang w:eastAsia="es-MX"/>
        </w:rPr>
        <w:t xml:space="preserve"> a cabo acciones específicas que </w:t>
      </w:r>
      <w:r w:rsidRPr="00CA76B2">
        <w:rPr>
          <w:rFonts w:ascii="Arial" w:eastAsia="Arial" w:hAnsi="Arial" w:cs="Arial"/>
          <w:sz w:val="24"/>
          <w:szCs w:val="28"/>
          <w:lang w:eastAsia="es-MX"/>
        </w:rPr>
        <w:lastRenderedPageBreak/>
        <w:t>permitan la participación de las personas o grupos en situación de vulnerabilidad o tradicionalmente subrepresentados en la toma de decisiones.</w:t>
      </w:r>
    </w:p>
    <w:p w14:paraId="64542766" w14:textId="77777777" w:rsidR="00CA76B2" w:rsidRPr="00CA76B2" w:rsidRDefault="00CA76B2" w:rsidP="00CA76B2">
      <w:pPr>
        <w:spacing w:after="0" w:line="360" w:lineRule="auto"/>
        <w:ind w:firstLine="720"/>
        <w:jc w:val="both"/>
        <w:rPr>
          <w:rFonts w:ascii="Arial" w:eastAsia="Arial" w:hAnsi="Arial" w:cs="Arial"/>
          <w:sz w:val="24"/>
          <w:szCs w:val="28"/>
          <w:lang w:eastAsia="es-MX"/>
        </w:rPr>
      </w:pPr>
    </w:p>
    <w:p w14:paraId="0B7866EC" w14:textId="77777777" w:rsidR="00CA76B2" w:rsidRPr="00CA76B2" w:rsidRDefault="00CA76B2" w:rsidP="00CA76B2">
      <w:pPr>
        <w:spacing w:after="0" w:line="360" w:lineRule="auto"/>
        <w:ind w:left="720"/>
        <w:jc w:val="both"/>
        <w:rPr>
          <w:rFonts w:ascii="Arial" w:eastAsia="Arial" w:hAnsi="Arial" w:cs="Arial"/>
          <w:sz w:val="24"/>
          <w:szCs w:val="28"/>
          <w:lang w:eastAsia="es-MX"/>
        </w:rPr>
      </w:pPr>
      <w:r w:rsidRPr="00CA76B2">
        <w:rPr>
          <w:rFonts w:ascii="Arial" w:eastAsia="Arial" w:hAnsi="Arial" w:cs="Arial"/>
          <w:sz w:val="24"/>
          <w:szCs w:val="28"/>
          <w:lang w:eastAsia="es-MX"/>
        </w:rPr>
        <w:t>Justificación: De los artículos 1o., 4o., párrafo quinto, 6o. y 35, fracción III, de la Constitución Política de los Estados Unidos Mexicanos y diversos instrumentos internacionales relacionados con el medioambiente y el desarrollo sostenible, entre los que destaca el Acuerdo de Escazú, se desprende el derecho a la participación ciudadana y al acceso a la información en materia medioambiental en todo proceso de adopción de decisiones que pueda afectar el derecho a un medioambiente sano.</w:t>
      </w:r>
    </w:p>
    <w:p w14:paraId="251130AC" w14:textId="77777777" w:rsidR="00CA76B2" w:rsidRPr="00CA76B2" w:rsidRDefault="00CA76B2" w:rsidP="00CA76B2">
      <w:pPr>
        <w:spacing w:after="0" w:line="360" w:lineRule="auto"/>
        <w:ind w:left="720"/>
        <w:jc w:val="both"/>
        <w:rPr>
          <w:rFonts w:ascii="Arial" w:eastAsia="Arial" w:hAnsi="Arial" w:cs="Arial"/>
          <w:sz w:val="24"/>
          <w:szCs w:val="28"/>
          <w:lang w:eastAsia="es-MX"/>
        </w:rPr>
      </w:pPr>
    </w:p>
    <w:p w14:paraId="1F84EE29" w14:textId="77777777" w:rsidR="00CA76B2" w:rsidRPr="00CA76B2" w:rsidRDefault="00CA76B2" w:rsidP="00CA76B2">
      <w:pPr>
        <w:spacing w:after="0" w:line="360" w:lineRule="auto"/>
        <w:ind w:left="720"/>
        <w:jc w:val="both"/>
        <w:rPr>
          <w:rFonts w:ascii="Arial" w:eastAsia="Arial" w:hAnsi="Arial" w:cs="Arial"/>
          <w:b/>
          <w:sz w:val="24"/>
          <w:szCs w:val="28"/>
          <w:lang w:eastAsia="es-MX"/>
        </w:rPr>
      </w:pPr>
      <w:r w:rsidRPr="00CA76B2">
        <w:rPr>
          <w:rFonts w:ascii="Arial" w:eastAsia="Arial" w:hAnsi="Arial" w:cs="Arial"/>
          <w:b/>
          <w:sz w:val="24"/>
          <w:szCs w:val="28"/>
          <w:lang w:eastAsia="es-MX"/>
        </w:rPr>
        <w:t>Este derecho debe garantizarse desde las etapas iniciales del proceso, es decir, a partir de una etapa temprana y previa al diseño de cualquier plan o programa que pueda afectar significativamente el medioambiente. Además, el proceso debe ser inclusivo, accesible y oportuno.</w:t>
      </w:r>
    </w:p>
    <w:p w14:paraId="49B14CCC" w14:textId="77777777" w:rsidR="00CA76B2" w:rsidRPr="00CA76B2" w:rsidRDefault="00CA76B2" w:rsidP="00CA76B2">
      <w:pPr>
        <w:spacing w:after="0" w:line="360" w:lineRule="auto"/>
        <w:ind w:left="720"/>
        <w:jc w:val="both"/>
        <w:rPr>
          <w:rFonts w:ascii="Arial" w:eastAsia="Arial" w:hAnsi="Arial" w:cs="Arial"/>
          <w:b/>
          <w:sz w:val="24"/>
          <w:szCs w:val="28"/>
          <w:lang w:eastAsia="es-MX"/>
        </w:rPr>
      </w:pPr>
    </w:p>
    <w:p w14:paraId="31DC06E7" w14:textId="77777777" w:rsidR="00CA76B2" w:rsidRPr="00CA76B2" w:rsidRDefault="00CA76B2" w:rsidP="00CA76B2">
      <w:pPr>
        <w:spacing w:after="0" w:line="360" w:lineRule="auto"/>
        <w:ind w:left="720"/>
        <w:jc w:val="both"/>
        <w:rPr>
          <w:rFonts w:ascii="Arial" w:eastAsia="Arial" w:hAnsi="Arial" w:cs="Arial"/>
          <w:sz w:val="24"/>
          <w:szCs w:val="28"/>
          <w:lang w:eastAsia="es-MX"/>
        </w:rPr>
      </w:pPr>
      <w:r w:rsidRPr="00CA76B2">
        <w:rPr>
          <w:rFonts w:ascii="Arial" w:eastAsia="Arial" w:hAnsi="Arial" w:cs="Arial"/>
          <w:sz w:val="24"/>
          <w:szCs w:val="28"/>
          <w:lang w:eastAsia="es-MX"/>
        </w:rPr>
        <w:t>Lo anterior, a fin de que el público pueda presentar todos los comentarios, las propuestas y las alternativas que considere para que sean debidamente ponderadas, de modo riguroso, en instancias en las que aún todas las opciones están abiertas y la iniciativa está en una fase de diseño y, por tanto, podrá ser redefinida sobre la base de los aportes que realice la población.</w:t>
      </w:r>
    </w:p>
    <w:p w14:paraId="610188C2" w14:textId="77777777" w:rsidR="00CA76B2" w:rsidRPr="00CA76B2" w:rsidRDefault="00CA76B2" w:rsidP="00CA76B2">
      <w:pPr>
        <w:spacing w:after="0" w:line="360" w:lineRule="auto"/>
        <w:ind w:left="720"/>
        <w:jc w:val="both"/>
        <w:rPr>
          <w:rFonts w:ascii="Arial" w:eastAsia="Arial" w:hAnsi="Arial" w:cs="Arial"/>
          <w:sz w:val="24"/>
          <w:szCs w:val="28"/>
          <w:lang w:eastAsia="es-MX"/>
        </w:rPr>
      </w:pPr>
    </w:p>
    <w:p w14:paraId="12E86733" w14:textId="77777777" w:rsidR="00CA76B2" w:rsidRPr="00CA76B2" w:rsidRDefault="00CA76B2" w:rsidP="00CA76B2">
      <w:pPr>
        <w:spacing w:after="0" w:line="360" w:lineRule="auto"/>
        <w:ind w:left="720"/>
        <w:jc w:val="both"/>
        <w:rPr>
          <w:rFonts w:ascii="Arial" w:eastAsia="Arial" w:hAnsi="Arial" w:cs="Arial"/>
          <w:sz w:val="24"/>
          <w:szCs w:val="28"/>
          <w:lang w:eastAsia="es-MX"/>
        </w:rPr>
      </w:pPr>
      <w:r w:rsidRPr="00CA76B2">
        <w:rPr>
          <w:rFonts w:ascii="Arial" w:eastAsia="Arial" w:hAnsi="Arial" w:cs="Arial"/>
          <w:sz w:val="24"/>
          <w:szCs w:val="28"/>
          <w:lang w:eastAsia="es-MX"/>
        </w:rPr>
        <w:lastRenderedPageBreak/>
        <w:t>Además, debe garantizarse el acceso a la información de forma oportuna, clara, comprensible y suficiente, pues ello configura un elemento central para la participación pública a fin de arribar a decisiones fundadas, motivadas y legítimas. Por lo tanto, las autoridades a cargo del proceso deben implementar acciones proactivas para la divulgación de la información, a través de medios apropiados, y bajo el criterio de máxima publicidad, a fin de que la ciudadanía sea efectivamente alertada acerca de la propuesta bajo evaluación.</w:t>
      </w:r>
    </w:p>
    <w:p w14:paraId="78CBD881" w14:textId="77777777" w:rsidR="00CA76B2" w:rsidRPr="00CA76B2" w:rsidRDefault="00CA76B2" w:rsidP="00CA76B2">
      <w:pPr>
        <w:spacing w:after="0" w:line="360" w:lineRule="auto"/>
        <w:ind w:left="720"/>
        <w:jc w:val="both"/>
        <w:rPr>
          <w:rFonts w:ascii="Arial" w:eastAsia="Arial" w:hAnsi="Arial" w:cs="Arial"/>
          <w:sz w:val="24"/>
          <w:szCs w:val="28"/>
          <w:lang w:eastAsia="es-MX"/>
        </w:rPr>
      </w:pPr>
    </w:p>
    <w:p w14:paraId="3F3DC9EB" w14:textId="77777777" w:rsidR="00CA76B2" w:rsidRPr="00CA76B2" w:rsidRDefault="00CA76B2" w:rsidP="00CA76B2">
      <w:pPr>
        <w:spacing w:after="0" w:line="360" w:lineRule="auto"/>
        <w:ind w:left="720"/>
        <w:jc w:val="both"/>
        <w:rPr>
          <w:rFonts w:ascii="Arial" w:eastAsia="Arial" w:hAnsi="Arial" w:cs="Arial"/>
          <w:sz w:val="24"/>
          <w:szCs w:val="28"/>
          <w:lang w:eastAsia="es-MX"/>
        </w:rPr>
      </w:pPr>
      <w:r w:rsidRPr="00CA76B2">
        <w:rPr>
          <w:rFonts w:ascii="Arial" w:eastAsia="Arial" w:hAnsi="Arial" w:cs="Arial"/>
          <w:sz w:val="24"/>
          <w:szCs w:val="28"/>
          <w:lang w:eastAsia="es-MX"/>
        </w:rPr>
        <w:t>En ese sentido, a fin de garantizar el núcleo esencial del derecho de participación ciudadana en materia ambiental, el Estado tiene la obligación de asegurar que toda persona tenga acceso adecuado a la información, así como la oportunidad de participar efectivamente en los procesos de adopción de decisiones desde las primeras etapas, con el objeto de tener una influencia real en la toma de medidas que puedan afectar su derecho a un medioambiente sano.</w:t>
      </w:r>
    </w:p>
    <w:p w14:paraId="40781C5B" w14:textId="77777777" w:rsidR="00CA76B2" w:rsidRPr="00CA76B2" w:rsidRDefault="00CA76B2" w:rsidP="00CA76B2">
      <w:pPr>
        <w:spacing w:after="0" w:line="360" w:lineRule="auto"/>
        <w:ind w:firstLine="720"/>
        <w:jc w:val="both"/>
        <w:rPr>
          <w:rFonts w:ascii="Arial" w:eastAsia="Arial" w:hAnsi="Arial" w:cs="Arial"/>
          <w:sz w:val="24"/>
          <w:szCs w:val="28"/>
          <w:lang w:eastAsia="es-MX"/>
        </w:rPr>
      </w:pPr>
    </w:p>
    <w:p w14:paraId="5AE49CAF" w14:textId="77777777" w:rsidR="00CA76B2" w:rsidRPr="00CA76B2" w:rsidRDefault="00CA76B2" w:rsidP="00CA76B2">
      <w:pPr>
        <w:spacing w:after="0" w:line="360" w:lineRule="auto"/>
        <w:ind w:firstLine="720"/>
        <w:jc w:val="both"/>
        <w:rPr>
          <w:rFonts w:ascii="Arial" w:eastAsia="Arial" w:hAnsi="Arial" w:cs="Arial"/>
          <w:sz w:val="24"/>
          <w:szCs w:val="28"/>
          <w:lang w:eastAsia="es-MX"/>
        </w:rPr>
      </w:pPr>
    </w:p>
    <w:p w14:paraId="0F5BC64F" w14:textId="77777777" w:rsidR="00CA76B2" w:rsidRPr="00CA76B2" w:rsidRDefault="00CA76B2" w:rsidP="00CA76B2">
      <w:pPr>
        <w:spacing w:after="0" w:line="360" w:lineRule="auto"/>
        <w:ind w:firstLine="720"/>
        <w:jc w:val="both"/>
        <w:rPr>
          <w:rFonts w:ascii="Arial" w:eastAsia="Arial" w:hAnsi="Arial" w:cs="Arial"/>
          <w:sz w:val="28"/>
          <w:szCs w:val="28"/>
          <w:lang w:eastAsia="es-MX"/>
        </w:rPr>
      </w:pPr>
    </w:p>
    <w:p w14:paraId="4ED38B48" w14:textId="77777777" w:rsidR="00CA76B2" w:rsidRPr="00CA76B2" w:rsidRDefault="00CA76B2" w:rsidP="00CA76B2">
      <w:pPr>
        <w:spacing w:after="0" w:line="360" w:lineRule="auto"/>
        <w:ind w:firstLine="720"/>
        <w:jc w:val="both"/>
        <w:rPr>
          <w:rFonts w:ascii="Arial" w:eastAsia="Arial" w:hAnsi="Arial" w:cs="Arial"/>
          <w:sz w:val="28"/>
          <w:szCs w:val="28"/>
          <w:lang w:eastAsia="es-MX"/>
        </w:rPr>
      </w:pPr>
      <w:r w:rsidRPr="00CA76B2">
        <w:rPr>
          <w:rFonts w:ascii="Arial" w:eastAsia="Arial" w:hAnsi="Arial" w:cs="Arial"/>
          <w:sz w:val="28"/>
          <w:szCs w:val="28"/>
          <w:lang w:eastAsia="es-MX"/>
        </w:rPr>
        <w:t>Un mecanismo de la participación ciudadana es la llamada iniciativa ciudadana, la cual es expresada por la Ley de Participación Ciudadana, como:</w:t>
      </w:r>
    </w:p>
    <w:p w14:paraId="2493270B" w14:textId="77777777" w:rsidR="00CA76B2" w:rsidRPr="00CA76B2" w:rsidRDefault="00CA76B2" w:rsidP="00CA76B2">
      <w:pPr>
        <w:spacing w:after="0" w:line="360" w:lineRule="auto"/>
        <w:ind w:left="720"/>
        <w:jc w:val="both"/>
        <w:rPr>
          <w:rFonts w:ascii="Arial" w:eastAsia="Arial" w:hAnsi="Arial" w:cs="Arial"/>
          <w:sz w:val="24"/>
          <w:szCs w:val="28"/>
          <w:lang w:eastAsia="es-MX"/>
        </w:rPr>
      </w:pPr>
      <w:r w:rsidRPr="00CA76B2">
        <w:rPr>
          <w:rFonts w:ascii="Arial" w:eastAsia="Arial" w:hAnsi="Arial" w:cs="Arial"/>
          <w:b/>
          <w:sz w:val="24"/>
          <w:szCs w:val="28"/>
          <w:lang w:eastAsia="es-MX"/>
        </w:rPr>
        <w:t>Artículo 47.</w:t>
      </w:r>
      <w:r w:rsidRPr="00CA76B2">
        <w:rPr>
          <w:rFonts w:ascii="Arial" w:eastAsia="Arial" w:hAnsi="Arial" w:cs="Arial"/>
          <w:sz w:val="24"/>
          <w:szCs w:val="28"/>
          <w:lang w:eastAsia="es-MX"/>
        </w:rPr>
        <w:t xml:space="preserve"> La iniciativa ciudadana es el instrumento mediante el cual la ciudadanía ejerce el derecho de proponer:</w:t>
      </w:r>
    </w:p>
    <w:p w14:paraId="3C4D9B53" w14:textId="77777777" w:rsidR="00CA76B2" w:rsidRPr="00CA76B2" w:rsidRDefault="00CA76B2" w:rsidP="00CA76B2">
      <w:pPr>
        <w:spacing w:after="0" w:line="360" w:lineRule="auto"/>
        <w:ind w:left="720"/>
        <w:jc w:val="both"/>
        <w:rPr>
          <w:rFonts w:ascii="Arial" w:eastAsia="Arial" w:hAnsi="Arial" w:cs="Arial"/>
          <w:sz w:val="24"/>
          <w:szCs w:val="28"/>
          <w:lang w:eastAsia="es-MX"/>
        </w:rPr>
      </w:pPr>
      <w:r w:rsidRPr="00CA76B2">
        <w:rPr>
          <w:rFonts w:ascii="Arial" w:eastAsia="Arial" w:hAnsi="Arial" w:cs="Arial"/>
          <w:sz w:val="24"/>
          <w:szCs w:val="28"/>
          <w:lang w:eastAsia="es-MX"/>
        </w:rPr>
        <w:lastRenderedPageBreak/>
        <w:t>I. La expedición, reforma, derogación o abrogación de leyes estatales ante el Poder Legislativo, así como la reforma de la Constitución Política del Estado.</w:t>
      </w:r>
    </w:p>
    <w:p w14:paraId="084CA030" w14:textId="77777777" w:rsidR="00CA76B2" w:rsidRPr="00CA76B2" w:rsidRDefault="00CA76B2" w:rsidP="00CA76B2">
      <w:pPr>
        <w:spacing w:after="0" w:line="360" w:lineRule="auto"/>
        <w:ind w:left="720"/>
        <w:jc w:val="both"/>
        <w:rPr>
          <w:rFonts w:ascii="Arial" w:eastAsia="Arial" w:hAnsi="Arial" w:cs="Arial"/>
          <w:sz w:val="24"/>
          <w:szCs w:val="28"/>
          <w:lang w:eastAsia="es-MX"/>
        </w:rPr>
      </w:pPr>
      <w:r w:rsidRPr="00CA76B2">
        <w:rPr>
          <w:rFonts w:ascii="Arial" w:eastAsia="Arial" w:hAnsi="Arial" w:cs="Arial"/>
          <w:sz w:val="24"/>
          <w:szCs w:val="28"/>
          <w:lang w:eastAsia="es-MX"/>
        </w:rPr>
        <w:t>II. La expedición, reforma, derogación o abrogación de reglamentos estatales o municipales.</w:t>
      </w:r>
    </w:p>
    <w:p w14:paraId="7EAA0D87" w14:textId="77777777" w:rsidR="00CA76B2" w:rsidRPr="00CA76B2" w:rsidRDefault="00CA76B2" w:rsidP="00CA76B2">
      <w:pPr>
        <w:spacing w:after="0" w:line="360" w:lineRule="auto"/>
        <w:jc w:val="both"/>
        <w:rPr>
          <w:rFonts w:ascii="Arial" w:eastAsia="Arial" w:hAnsi="Arial" w:cs="Arial"/>
          <w:sz w:val="24"/>
          <w:szCs w:val="28"/>
          <w:lang w:eastAsia="es-MX"/>
        </w:rPr>
      </w:pPr>
    </w:p>
    <w:p w14:paraId="5CD5E7CE" w14:textId="77777777" w:rsidR="00CA76B2" w:rsidRPr="00CA76B2" w:rsidRDefault="00CA76B2" w:rsidP="00CA76B2">
      <w:pPr>
        <w:spacing w:after="0" w:line="360" w:lineRule="auto"/>
        <w:jc w:val="both"/>
        <w:rPr>
          <w:rFonts w:ascii="Arial" w:eastAsia="Arial" w:hAnsi="Arial" w:cs="Arial"/>
          <w:sz w:val="28"/>
          <w:szCs w:val="28"/>
          <w:lang w:eastAsia="es-MX"/>
        </w:rPr>
      </w:pPr>
      <w:r w:rsidRPr="00CA76B2">
        <w:rPr>
          <w:rFonts w:ascii="Arial" w:eastAsia="Arial" w:hAnsi="Arial" w:cs="Arial"/>
          <w:sz w:val="28"/>
          <w:szCs w:val="28"/>
          <w:lang w:eastAsia="es-MX"/>
        </w:rPr>
        <w:t xml:space="preserve">En tal virtud, es claro que un ejercicio efectivo de iniciativa ciudadana es también un ejercicio efectivo de un Parlamento Abierto, de un proceso legislativo democrático legitimado, pues </w:t>
      </w:r>
      <w:proofErr w:type="spellStart"/>
      <w:r w:rsidRPr="00CA76B2">
        <w:rPr>
          <w:rFonts w:ascii="Arial" w:eastAsia="Arial" w:hAnsi="Arial" w:cs="Arial"/>
          <w:sz w:val="28"/>
          <w:szCs w:val="28"/>
          <w:lang w:eastAsia="es-MX"/>
        </w:rPr>
        <w:t>aperturar</w:t>
      </w:r>
      <w:proofErr w:type="spellEnd"/>
      <w:r w:rsidRPr="00CA76B2">
        <w:rPr>
          <w:rFonts w:ascii="Arial" w:eastAsia="Arial" w:hAnsi="Arial" w:cs="Arial"/>
          <w:sz w:val="28"/>
          <w:szCs w:val="28"/>
          <w:lang w:eastAsia="es-MX"/>
        </w:rPr>
        <w:t xml:space="preserve"> los canales de participación de la ciudadanía es también transparentarlos, y ante todo, que los procesos legislativos cuenten con la representación de todas las voces y opiniones de quienes integramos una sociedad, lo cual hace de la norma y su creación, un reflejo fiel de una sociedad que avanza en la igualdad sustantiva, donde toda persona es tomada en consideración en la toma de decisiones.</w:t>
      </w:r>
    </w:p>
    <w:p w14:paraId="152ABC1B" w14:textId="77777777" w:rsidR="00CA76B2" w:rsidRPr="00CA76B2" w:rsidRDefault="00CA76B2" w:rsidP="00CA76B2">
      <w:pPr>
        <w:spacing w:after="0" w:line="360" w:lineRule="auto"/>
        <w:jc w:val="both"/>
        <w:rPr>
          <w:rFonts w:ascii="Arial" w:eastAsia="Arial" w:hAnsi="Arial" w:cs="Arial"/>
          <w:sz w:val="28"/>
          <w:szCs w:val="28"/>
          <w:lang w:eastAsia="es-MX"/>
        </w:rPr>
      </w:pPr>
    </w:p>
    <w:p w14:paraId="237F0B5D" w14:textId="77777777" w:rsidR="00CA76B2" w:rsidRPr="00CA76B2" w:rsidRDefault="00CA76B2" w:rsidP="00CA76B2">
      <w:pPr>
        <w:spacing w:after="0" w:line="360" w:lineRule="auto"/>
        <w:ind w:firstLine="720"/>
        <w:jc w:val="both"/>
        <w:rPr>
          <w:rFonts w:ascii="Arial" w:eastAsia="Arial" w:hAnsi="Arial" w:cs="Arial"/>
          <w:sz w:val="28"/>
          <w:szCs w:val="28"/>
          <w:lang w:eastAsia="es-MX"/>
        </w:rPr>
      </w:pPr>
      <w:r w:rsidRPr="00CA76B2">
        <w:rPr>
          <w:rFonts w:ascii="Arial" w:eastAsia="Arial" w:hAnsi="Arial" w:cs="Arial"/>
          <w:sz w:val="28"/>
          <w:szCs w:val="28"/>
          <w:lang w:eastAsia="es-MX"/>
        </w:rPr>
        <w:t>En la actualidad, la Ley de Participación Ciudadana y Ley Orgánica del poder Legislativo del Estado de Chihuahua exige que para presentar una iniciativa popular se cuente con el respaldo de al menos el 0.1% de las personas inscritas en el listado nominal de electores. Es decir, con</w:t>
      </w:r>
      <w:r w:rsidRPr="00CA76B2">
        <w:rPr>
          <w:rFonts w:ascii="Arial" w:eastAsia="Arial" w:hAnsi="Arial" w:cs="Arial"/>
          <w:lang w:eastAsia="es-MX"/>
        </w:rPr>
        <w:t xml:space="preserve"> </w:t>
      </w:r>
      <w:r w:rsidRPr="00CA76B2">
        <w:rPr>
          <w:rFonts w:ascii="Arial" w:eastAsia="Arial" w:hAnsi="Arial" w:cs="Arial"/>
          <w:sz w:val="28"/>
          <w:szCs w:val="28"/>
          <w:lang w:eastAsia="es-MX"/>
        </w:rPr>
        <w:t xml:space="preserve">actualización de corte al 4 de enero de 2024, la Lista Nominal de Electores del Estado de Chihuahua es de 3,071,574. Este umbral, al punto uno por ciento es de 307,157 personas, que aunque bien </w:t>
      </w:r>
      <w:r w:rsidRPr="00CA76B2">
        <w:rPr>
          <w:rFonts w:ascii="Arial" w:eastAsia="Arial" w:hAnsi="Arial" w:cs="Arial"/>
          <w:sz w:val="28"/>
          <w:szCs w:val="28"/>
          <w:lang w:eastAsia="es-MX"/>
        </w:rPr>
        <w:lastRenderedPageBreak/>
        <w:t>intencionado, puede ser una barrera significativa que restringe la participación de ciertos sectores, especialmente de aquellos que no disponen de amplios recursos o de redes de apoyo que faciliten la obtención de firmas.</w:t>
      </w:r>
    </w:p>
    <w:p w14:paraId="5BE3A110" w14:textId="77777777" w:rsidR="00CA76B2" w:rsidRPr="00CA76B2" w:rsidRDefault="00CA76B2" w:rsidP="00CA76B2">
      <w:pPr>
        <w:spacing w:after="0" w:line="360" w:lineRule="auto"/>
        <w:jc w:val="both"/>
        <w:rPr>
          <w:rFonts w:ascii="Arial" w:eastAsia="Arial" w:hAnsi="Arial" w:cs="Arial"/>
          <w:sz w:val="28"/>
          <w:szCs w:val="28"/>
          <w:lang w:eastAsia="es-MX"/>
        </w:rPr>
      </w:pPr>
    </w:p>
    <w:p w14:paraId="46A6B815" w14:textId="77777777" w:rsidR="00CA76B2" w:rsidRPr="00CA76B2" w:rsidRDefault="00CA76B2" w:rsidP="00CA76B2">
      <w:pPr>
        <w:spacing w:after="0" w:line="360" w:lineRule="auto"/>
        <w:jc w:val="both"/>
        <w:rPr>
          <w:rFonts w:ascii="Arial" w:eastAsia="Arial" w:hAnsi="Arial" w:cs="Arial"/>
          <w:sz w:val="28"/>
          <w:szCs w:val="28"/>
          <w:lang w:eastAsia="es-MX"/>
        </w:rPr>
      </w:pPr>
    </w:p>
    <w:p w14:paraId="04F0CC3C" w14:textId="77777777" w:rsidR="00CA76B2" w:rsidRPr="00CA76B2" w:rsidRDefault="00CA76B2" w:rsidP="00CA76B2">
      <w:pPr>
        <w:spacing w:after="0" w:line="360" w:lineRule="auto"/>
        <w:jc w:val="both"/>
        <w:rPr>
          <w:rFonts w:ascii="Arial" w:eastAsia="Arial" w:hAnsi="Arial" w:cs="Arial"/>
          <w:sz w:val="28"/>
          <w:szCs w:val="28"/>
          <w:lang w:eastAsia="es-MX"/>
        </w:rPr>
      </w:pPr>
      <w:r w:rsidRPr="00CA76B2">
        <w:rPr>
          <w:rFonts w:ascii="Arial" w:eastAsia="Arial" w:hAnsi="Arial" w:cs="Arial"/>
          <w:sz w:val="28"/>
          <w:szCs w:val="28"/>
          <w:lang w:eastAsia="es-MX"/>
        </w:rPr>
        <w:t>El propósito es reducir este umbral al 0.001% para que más ciudadanos tengan la oportunidad de involucrarse directamente en el proceso legislativo. Esto facilitará la inclusión de sectores diversos y promoverá una representación más equitativa de las preocupaciones e intereses de la sociedad. Esta propuesta no pierde la vista que la iniciativa ciudadana es un mecanismo en el que adscribe ese porcentaje según el ordenamiento ante el cual se pretenda presentar, es decir, aplicable también a los municipios. En tanto lo anterior, para que la ciudadanía propusiera en Ciudad Juárez una iniciativa surgida socialmente, por tener una lista nominal de 1235,953, actualmente requiere de 123,595 personas para una propuesta, cantidad de personada que no votan en ningún distrito de todo el Estado de Chihuahua. La propuesta que se plantea, al 0.001%, permitiría a la iniciativa ciudadana lograrse presentar con 1,235 personas.</w:t>
      </w:r>
    </w:p>
    <w:p w14:paraId="24D7BBAB" w14:textId="77777777" w:rsidR="00CA76B2" w:rsidRPr="00CA76B2" w:rsidRDefault="00CA76B2" w:rsidP="00CA76B2">
      <w:pPr>
        <w:spacing w:after="0" w:line="360" w:lineRule="auto"/>
        <w:jc w:val="both"/>
        <w:rPr>
          <w:rFonts w:ascii="Arial" w:eastAsia="Arial" w:hAnsi="Arial" w:cs="Arial"/>
          <w:sz w:val="28"/>
          <w:szCs w:val="28"/>
          <w:lang w:eastAsia="es-MX"/>
        </w:rPr>
      </w:pPr>
    </w:p>
    <w:p w14:paraId="0347467F" w14:textId="77777777" w:rsidR="00CA76B2" w:rsidRPr="00CA76B2" w:rsidRDefault="00CA76B2" w:rsidP="00CA76B2">
      <w:pPr>
        <w:spacing w:after="0" w:line="360" w:lineRule="auto"/>
        <w:jc w:val="both"/>
        <w:rPr>
          <w:rFonts w:ascii="Arial" w:eastAsia="Arial" w:hAnsi="Arial" w:cs="Arial"/>
          <w:sz w:val="28"/>
          <w:szCs w:val="28"/>
          <w:lang w:eastAsia="es-MX"/>
        </w:rPr>
      </w:pPr>
    </w:p>
    <w:p w14:paraId="60683287" w14:textId="77777777" w:rsidR="00CA76B2" w:rsidRPr="00CA76B2" w:rsidRDefault="00CA76B2" w:rsidP="00CA76B2">
      <w:pPr>
        <w:spacing w:after="0" w:line="360" w:lineRule="auto"/>
        <w:jc w:val="both"/>
        <w:rPr>
          <w:rFonts w:ascii="Arial" w:eastAsia="Arial" w:hAnsi="Arial" w:cs="Arial"/>
          <w:sz w:val="28"/>
          <w:szCs w:val="28"/>
          <w:lang w:eastAsia="es-MX"/>
        </w:rPr>
      </w:pPr>
      <w:r w:rsidRPr="00CA76B2">
        <w:rPr>
          <w:rFonts w:ascii="Arial" w:eastAsia="Arial" w:hAnsi="Arial" w:cs="Arial"/>
          <w:sz w:val="28"/>
          <w:szCs w:val="28"/>
          <w:lang w:eastAsia="es-MX"/>
        </w:rPr>
        <w:t xml:space="preserve">Además, esta modificación contribuiría a acercar el trabajo del Poder Legislativo a la ciudadanía, generando así una mayor confianza en las instituciones y motivando una colaboración más cercana entre la población y sus representantes. </w:t>
      </w:r>
    </w:p>
    <w:p w14:paraId="18674E53" w14:textId="77777777" w:rsidR="00CA76B2" w:rsidRPr="00CA76B2" w:rsidRDefault="00CA76B2" w:rsidP="00CA76B2">
      <w:pPr>
        <w:spacing w:after="0" w:line="360" w:lineRule="auto"/>
        <w:jc w:val="both"/>
        <w:rPr>
          <w:rFonts w:ascii="Arial" w:eastAsia="Arial" w:hAnsi="Arial" w:cs="Arial"/>
          <w:sz w:val="28"/>
          <w:szCs w:val="28"/>
          <w:lang w:eastAsia="es-MX"/>
        </w:rPr>
      </w:pPr>
    </w:p>
    <w:p w14:paraId="4E347222" w14:textId="77777777" w:rsidR="00CA76B2" w:rsidRPr="00CA76B2" w:rsidRDefault="00CA76B2" w:rsidP="00CA76B2">
      <w:pPr>
        <w:spacing w:after="0" w:line="360" w:lineRule="auto"/>
        <w:jc w:val="both"/>
        <w:rPr>
          <w:rFonts w:ascii="Arial" w:eastAsia="Arial" w:hAnsi="Arial" w:cs="Arial"/>
          <w:sz w:val="28"/>
          <w:szCs w:val="28"/>
          <w:lang w:eastAsia="es-MX"/>
        </w:rPr>
      </w:pPr>
      <w:r w:rsidRPr="00CA76B2">
        <w:rPr>
          <w:rFonts w:ascii="Arial" w:eastAsia="Arial" w:hAnsi="Arial" w:cs="Arial"/>
          <w:sz w:val="28"/>
          <w:szCs w:val="28"/>
          <w:lang w:eastAsia="es-MX"/>
        </w:rPr>
        <w:t xml:space="preserve">Al estimular la participación cívica y se obtiene una respuesta más fiel a los intereses colectivos. Con esta propuesta, buscamos que Chihuahua sea un referente en la promoción de un entorno verdaderamente inclusivo para la participación popular en la creación y reforma de leyes, consolidando un sistema democrático en el que todos los ciudadanos tengan una voz efectiva en los asuntos públicos. </w:t>
      </w:r>
    </w:p>
    <w:p w14:paraId="4D0B7418" w14:textId="77777777" w:rsidR="00CA76B2" w:rsidRPr="00CA76B2" w:rsidRDefault="00CA76B2" w:rsidP="00CA76B2">
      <w:pPr>
        <w:spacing w:after="0" w:line="360" w:lineRule="auto"/>
        <w:jc w:val="both"/>
        <w:rPr>
          <w:rFonts w:ascii="Arial" w:eastAsia="Arial" w:hAnsi="Arial" w:cs="Arial"/>
          <w:sz w:val="28"/>
          <w:szCs w:val="28"/>
          <w:lang w:eastAsia="es-MX"/>
        </w:rPr>
      </w:pPr>
    </w:p>
    <w:p w14:paraId="4B718C38" w14:textId="77777777" w:rsidR="00CA76B2" w:rsidRPr="00CA76B2" w:rsidRDefault="00CA76B2" w:rsidP="00CA76B2">
      <w:pPr>
        <w:spacing w:after="0" w:line="360" w:lineRule="auto"/>
        <w:jc w:val="both"/>
        <w:rPr>
          <w:rFonts w:ascii="Arial" w:eastAsia="Arial" w:hAnsi="Arial" w:cs="Arial"/>
          <w:sz w:val="28"/>
          <w:szCs w:val="28"/>
          <w:lang w:eastAsia="es-MX"/>
        </w:rPr>
      </w:pPr>
      <w:r w:rsidRPr="00CA76B2">
        <w:rPr>
          <w:rFonts w:ascii="Arial" w:eastAsia="Arial" w:hAnsi="Arial" w:cs="Arial"/>
          <w:sz w:val="28"/>
          <w:szCs w:val="28"/>
          <w:lang w:eastAsia="es-MX"/>
        </w:rPr>
        <w:t>Es así, que abrir el proceso legislativo a más iniciativas implica un mayor trabajo legislativo, donde las diputaciones respondan directamente a las propuestas sociales, recordando ante todo momento que sin el pueblo no hay Congreso, y que sin las iniciativas ciudadanas no hay un verdadero parlamento abierto.</w:t>
      </w:r>
    </w:p>
    <w:p w14:paraId="5E1D0F77" w14:textId="77777777" w:rsidR="00CA76B2" w:rsidRPr="00CA76B2" w:rsidRDefault="00CA76B2" w:rsidP="00CA76B2">
      <w:pPr>
        <w:spacing w:after="0" w:line="360" w:lineRule="auto"/>
        <w:jc w:val="both"/>
        <w:rPr>
          <w:rFonts w:ascii="Arial" w:eastAsia="Arial" w:hAnsi="Arial" w:cs="Arial"/>
          <w:sz w:val="28"/>
          <w:szCs w:val="28"/>
          <w:lang w:eastAsia="es-MX"/>
        </w:rPr>
      </w:pPr>
    </w:p>
    <w:p w14:paraId="1BE7413E" w14:textId="77777777" w:rsidR="00CA76B2" w:rsidRPr="00CA76B2" w:rsidRDefault="00CA76B2" w:rsidP="00CA76B2">
      <w:pPr>
        <w:spacing w:after="0" w:line="360" w:lineRule="auto"/>
        <w:jc w:val="both"/>
        <w:rPr>
          <w:rFonts w:ascii="Arial" w:eastAsia="Arial" w:hAnsi="Arial" w:cs="Arial"/>
          <w:sz w:val="28"/>
          <w:szCs w:val="28"/>
          <w:lang w:eastAsia="es-MX"/>
        </w:rPr>
      </w:pPr>
      <w:r w:rsidRPr="00CA76B2">
        <w:rPr>
          <w:rFonts w:ascii="Arial" w:eastAsia="Arial" w:hAnsi="Arial" w:cs="Arial"/>
          <w:sz w:val="28"/>
          <w:szCs w:val="28"/>
          <w:lang w:eastAsia="es-MX"/>
        </w:rPr>
        <w:t>Por lo anteriormente expuesto, se presenta la siguiente proposición.</w:t>
      </w:r>
    </w:p>
    <w:p w14:paraId="11BEA86A" w14:textId="77777777" w:rsidR="00CA76B2" w:rsidRPr="00CA76B2" w:rsidRDefault="00CA76B2" w:rsidP="00CA76B2">
      <w:pPr>
        <w:spacing w:after="0" w:line="360" w:lineRule="auto"/>
        <w:jc w:val="both"/>
        <w:rPr>
          <w:rFonts w:ascii="Arial" w:eastAsia="Arial" w:hAnsi="Arial" w:cs="Arial"/>
          <w:sz w:val="28"/>
          <w:szCs w:val="28"/>
          <w:lang w:eastAsia="es-MX"/>
        </w:rPr>
      </w:pPr>
    </w:p>
    <w:p w14:paraId="5A4FA985" w14:textId="77777777" w:rsidR="00CA76B2" w:rsidRPr="00CA76B2" w:rsidRDefault="00CA76B2" w:rsidP="00CA76B2">
      <w:pPr>
        <w:spacing w:before="240" w:after="240" w:line="360" w:lineRule="auto"/>
        <w:jc w:val="center"/>
        <w:rPr>
          <w:rFonts w:ascii="Arial" w:eastAsia="Arial" w:hAnsi="Arial" w:cs="Arial"/>
          <w:b/>
          <w:sz w:val="32"/>
          <w:szCs w:val="32"/>
          <w:lang w:eastAsia="es-MX"/>
        </w:rPr>
      </w:pPr>
      <w:r w:rsidRPr="00CA76B2">
        <w:rPr>
          <w:rFonts w:ascii="Arial" w:eastAsia="Arial" w:hAnsi="Arial" w:cs="Arial"/>
          <w:b/>
          <w:sz w:val="32"/>
          <w:szCs w:val="32"/>
          <w:lang w:eastAsia="es-MX"/>
        </w:rPr>
        <w:lastRenderedPageBreak/>
        <w:t>DECRETO</w:t>
      </w:r>
    </w:p>
    <w:p w14:paraId="3D274A4E" w14:textId="77777777" w:rsidR="00CA76B2" w:rsidRPr="00CA76B2" w:rsidRDefault="00CA76B2" w:rsidP="00CA76B2">
      <w:pPr>
        <w:spacing w:before="240" w:after="240" w:line="360" w:lineRule="auto"/>
        <w:jc w:val="both"/>
        <w:rPr>
          <w:rFonts w:ascii="Arial" w:eastAsia="Arial" w:hAnsi="Arial" w:cs="Arial"/>
          <w:sz w:val="28"/>
          <w:szCs w:val="28"/>
          <w:lang w:eastAsia="es-MX"/>
        </w:rPr>
      </w:pPr>
      <w:r w:rsidRPr="00CA76B2">
        <w:rPr>
          <w:rFonts w:ascii="Arial" w:eastAsia="Arial" w:hAnsi="Arial" w:cs="Arial"/>
          <w:b/>
          <w:sz w:val="28"/>
          <w:szCs w:val="28"/>
          <w:lang w:eastAsia="es-MX"/>
        </w:rPr>
        <w:t>ARTÍCULO PRIMERO:</w:t>
      </w:r>
      <w:r w:rsidRPr="00CA76B2">
        <w:rPr>
          <w:rFonts w:ascii="Arial" w:eastAsia="Arial" w:hAnsi="Arial" w:cs="Arial"/>
          <w:sz w:val="28"/>
          <w:szCs w:val="28"/>
          <w:lang w:eastAsia="es-MX"/>
        </w:rPr>
        <w:t xml:space="preserve"> Se reforma la fracción séptima del artículo 167 de la Ley Orgánica del Poder Legislativo del Estado de Chihuahua, para quedar redactado de la siguiente manera:</w:t>
      </w:r>
    </w:p>
    <w:p w14:paraId="275A56E6" w14:textId="77777777" w:rsidR="00CA76B2" w:rsidRPr="00CA76B2" w:rsidRDefault="00CA76B2" w:rsidP="00CA76B2">
      <w:pPr>
        <w:spacing w:before="240" w:after="240" w:line="240" w:lineRule="auto"/>
        <w:jc w:val="center"/>
        <w:rPr>
          <w:rFonts w:ascii="Arial" w:eastAsia="Arial" w:hAnsi="Arial" w:cs="Arial"/>
          <w:b/>
          <w:sz w:val="28"/>
          <w:szCs w:val="28"/>
          <w:lang w:eastAsia="es-MX"/>
        </w:rPr>
      </w:pPr>
      <w:r w:rsidRPr="00CA76B2">
        <w:rPr>
          <w:rFonts w:ascii="Arial" w:eastAsia="Arial" w:hAnsi="Arial" w:cs="Arial"/>
          <w:b/>
          <w:sz w:val="28"/>
          <w:szCs w:val="28"/>
          <w:lang w:eastAsia="es-MX"/>
        </w:rPr>
        <w:t xml:space="preserve">LEY ORGÁNICA DEL PODER LEGISLATIVO DEL ESTADO DE CHIHUAHUA </w:t>
      </w:r>
    </w:p>
    <w:p w14:paraId="4FC470BF" w14:textId="77777777" w:rsidR="00CA76B2" w:rsidRPr="00CA76B2" w:rsidRDefault="00CA76B2" w:rsidP="00CA76B2">
      <w:pPr>
        <w:spacing w:before="240" w:after="240" w:line="240" w:lineRule="auto"/>
        <w:jc w:val="center"/>
        <w:rPr>
          <w:rFonts w:ascii="Arial" w:eastAsia="Arial" w:hAnsi="Arial" w:cs="Arial"/>
          <w:sz w:val="20"/>
          <w:szCs w:val="28"/>
          <w:lang w:eastAsia="es-MX"/>
        </w:rPr>
      </w:pPr>
      <w:r w:rsidRPr="00CA76B2">
        <w:rPr>
          <w:rFonts w:ascii="Arial" w:eastAsia="Arial" w:hAnsi="Arial" w:cs="Arial"/>
          <w:sz w:val="20"/>
          <w:szCs w:val="28"/>
          <w:lang w:eastAsia="es-MX"/>
        </w:rPr>
        <w:t xml:space="preserve">CAPÍTULO III </w:t>
      </w:r>
    </w:p>
    <w:p w14:paraId="3E263C42" w14:textId="77777777" w:rsidR="00CA76B2" w:rsidRPr="00CA76B2" w:rsidRDefault="00CA76B2" w:rsidP="00CA76B2">
      <w:pPr>
        <w:spacing w:before="240" w:after="240" w:line="240" w:lineRule="auto"/>
        <w:jc w:val="center"/>
        <w:rPr>
          <w:rFonts w:ascii="Arial" w:eastAsia="Arial" w:hAnsi="Arial" w:cs="Arial"/>
          <w:sz w:val="20"/>
          <w:szCs w:val="28"/>
          <w:lang w:eastAsia="es-MX"/>
        </w:rPr>
      </w:pPr>
      <w:r w:rsidRPr="00CA76B2">
        <w:rPr>
          <w:rFonts w:ascii="Arial" w:eastAsia="Arial" w:hAnsi="Arial" w:cs="Arial"/>
          <w:sz w:val="20"/>
          <w:szCs w:val="28"/>
          <w:lang w:eastAsia="es-MX"/>
        </w:rPr>
        <w:t>DE LAS INICIATIVAS</w:t>
      </w:r>
    </w:p>
    <w:p w14:paraId="5BE286E4" w14:textId="77777777" w:rsidR="00CA76B2" w:rsidRPr="00CA76B2" w:rsidRDefault="00CA76B2" w:rsidP="00CA76B2">
      <w:pPr>
        <w:spacing w:before="240" w:after="240" w:line="360" w:lineRule="auto"/>
        <w:jc w:val="both"/>
        <w:rPr>
          <w:rFonts w:ascii="Arial" w:eastAsia="Arial" w:hAnsi="Arial" w:cs="Arial"/>
          <w:sz w:val="28"/>
          <w:szCs w:val="28"/>
          <w:lang w:eastAsia="es-MX"/>
        </w:rPr>
      </w:pPr>
      <w:r w:rsidRPr="00CA76B2">
        <w:rPr>
          <w:rFonts w:ascii="Arial" w:eastAsia="Arial" w:hAnsi="Arial" w:cs="Arial"/>
          <w:sz w:val="28"/>
          <w:szCs w:val="28"/>
          <w:lang w:eastAsia="es-MX"/>
        </w:rPr>
        <w:t>ARTÍCULO 167. El derecho de iniciar leyes y decretos compete:</w:t>
      </w:r>
    </w:p>
    <w:p w14:paraId="1C5DCDA5" w14:textId="77777777" w:rsidR="00CA76B2" w:rsidRPr="00CA76B2" w:rsidRDefault="00CA76B2" w:rsidP="00CA76B2">
      <w:pPr>
        <w:numPr>
          <w:ilvl w:val="0"/>
          <w:numId w:val="4"/>
        </w:numPr>
        <w:spacing w:before="240" w:after="0" w:line="360" w:lineRule="auto"/>
        <w:jc w:val="both"/>
        <w:rPr>
          <w:rFonts w:ascii="Arial" w:eastAsia="Arial" w:hAnsi="Arial" w:cs="Arial"/>
          <w:sz w:val="28"/>
          <w:szCs w:val="28"/>
          <w:lang w:eastAsia="es-MX"/>
        </w:rPr>
      </w:pPr>
      <w:r w:rsidRPr="00CA76B2">
        <w:rPr>
          <w:rFonts w:ascii="Arial" w:eastAsia="Arial" w:hAnsi="Arial" w:cs="Arial"/>
          <w:sz w:val="28"/>
          <w:szCs w:val="28"/>
          <w:lang w:eastAsia="es-MX"/>
        </w:rPr>
        <w:t>.</w:t>
      </w:r>
    </w:p>
    <w:p w14:paraId="55A6ED3C" w14:textId="77777777" w:rsidR="00CA76B2" w:rsidRPr="00CA76B2" w:rsidRDefault="00CA76B2" w:rsidP="00CA76B2">
      <w:pPr>
        <w:numPr>
          <w:ilvl w:val="0"/>
          <w:numId w:val="4"/>
        </w:numPr>
        <w:spacing w:after="0" w:line="360" w:lineRule="auto"/>
        <w:jc w:val="both"/>
        <w:rPr>
          <w:rFonts w:ascii="Arial" w:eastAsia="Arial" w:hAnsi="Arial" w:cs="Arial"/>
          <w:sz w:val="28"/>
          <w:szCs w:val="28"/>
          <w:lang w:eastAsia="es-MX"/>
        </w:rPr>
      </w:pPr>
      <w:r w:rsidRPr="00CA76B2">
        <w:rPr>
          <w:rFonts w:ascii="Arial" w:eastAsia="Arial" w:hAnsi="Arial" w:cs="Arial"/>
          <w:sz w:val="28"/>
          <w:szCs w:val="28"/>
          <w:lang w:eastAsia="es-MX"/>
        </w:rPr>
        <w:t>.</w:t>
      </w:r>
    </w:p>
    <w:p w14:paraId="7FE7FCC5" w14:textId="77777777" w:rsidR="00CA76B2" w:rsidRPr="00CA76B2" w:rsidRDefault="00CA76B2" w:rsidP="00CA76B2">
      <w:pPr>
        <w:numPr>
          <w:ilvl w:val="0"/>
          <w:numId w:val="4"/>
        </w:numPr>
        <w:spacing w:after="0" w:line="360" w:lineRule="auto"/>
        <w:jc w:val="both"/>
        <w:rPr>
          <w:rFonts w:ascii="Arial" w:eastAsia="Arial" w:hAnsi="Arial" w:cs="Arial"/>
          <w:sz w:val="28"/>
          <w:szCs w:val="28"/>
          <w:lang w:eastAsia="es-MX"/>
        </w:rPr>
      </w:pPr>
      <w:r w:rsidRPr="00CA76B2">
        <w:rPr>
          <w:rFonts w:ascii="Arial" w:eastAsia="Arial" w:hAnsi="Arial" w:cs="Arial"/>
          <w:sz w:val="28"/>
          <w:szCs w:val="28"/>
          <w:lang w:eastAsia="es-MX"/>
        </w:rPr>
        <w:t>.</w:t>
      </w:r>
    </w:p>
    <w:p w14:paraId="01D919F1" w14:textId="77777777" w:rsidR="00CA76B2" w:rsidRPr="00CA76B2" w:rsidRDefault="00CA76B2" w:rsidP="00CA76B2">
      <w:pPr>
        <w:numPr>
          <w:ilvl w:val="0"/>
          <w:numId w:val="4"/>
        </w:numPr>
        <w:spacing w:after="0" w:line="360" w:lineRule="auto"/>
        <w:jc w:val="both"/>
        <w:rPr>
          <w:rFonts w:ascii="Arial" w:eastAsia="Arial" w:hAnsi="Arial" w:cs="Arial"/>
          <w:sz w:val="28"/>
          <w:szCs w:val="28"/>
          <w:lang w:eastAsia="es-MX"/>
        </w:rPr>
      </w:pPr>
      <w:r w:rsidRPr="00CA76B2">
        <w:rPr>
          <w:rFonts w:ascii="Arial" w:eastAsia="Arial" w:hAnsi="Arial" w:cs="Arial"/>
          <w:sz w:val="28"/>
          <w:szCs w:val="28"/>
          <w:lang w:eastAsia="es-MX"/>
        </w:rPr>
        <w:t>.</w:t>
      </w:r>
    </w:p>
    <w:p w14:paraId="00C4D625" w14:textId="77777777" w:rsidR="00CA76B2" w:rsidRPr="00CA76B2" w:rsidRDefault="00CA76B2" w:rsidP="00CA76B2">
      <w:pPr>
        <w:numPr>
          <w:ilvl w:val="0"/>
          <w:numId w:val="4"/>
        </w:numPr>
        <w:spacing w:after="0" w:line="360" w:lineRule="auto"/>
        <w:jc w:val="both"/>
        <w:rPr>
          <w:rFonts w:ascii="Arial" w:eastAsia="Arial" w:hAnsi="Arial" w:cs="Arial"/>
          <w:sz w:val="28"/>
          <w:szCs w:val="28"/>
          <w:lang w:eastAsia="es-MX"/>
        </w:rPr>
      </w:pPr>
      <w:r w:rsidRPr="00CA76B2">
        <w:rPr>
          <w:rFonts w:ascii="Arial" w:eastAsia="Arial" w:hAnsi="Arial" w:cs="Arial"/>
          <w:sz w:val="28"/>
          <w:szCs w:val="28"/>
          <w:lang w:eastAsia="es-MX"/>
        </w:rPr>
        <w:t>.</w:t>
      </w:r>
    </w:p>
    <w:p w14:paraId="1A5807A3" w14:textId="77777777" w:rsidR="00CA76B2" w:rsidRPr="00CA76B2" w:rsidRDefault="00CA76B2" w:rsidP="00CA76B2">
      <w:pPr>
        <w:numPr>
          <w:ilvl w:val="0"/>
          <w:numId w:val="4"/>
        </w:numPr>
        <w:spacing w:after="240" w:line="360" w:lineRule="auto"/>
        <w:jc w:val="both"/>
        <w:rPr>
          <w:rFonts w:ascii="Arial" w:eastAsia="Arial" w:hAnsi="Arial" w:cs="Arial"/>
          <w:sz w:val="28"/>
          <w:szCs w:val="28"/>
          <w:lang w:eastAsia="es-MX"/>
        </w:rPr>
      </w:pPr>
      <w:r w:rsidRPr="00CA76B2">
        <w:rPr>
          <w:rFonts w:ascii="Arial" w:eastAsia="Arial" w:hAnsi="Arial" w:cs="Arial"/>
          <w:sz w:val="28"/>
          <w:szCs w:val="28"/>
          <w:lang w:eastAsia="es-MX"/>
        </w:rPr>
        <w:t>.</w:t>
      </w:r>
    </w:p>
    <w:p w14:paraId="3E29B98C" w14:textId="77777777" w:rsidR="00CA76B2" w:rsidRPr="00CA76B2" w:rsidRDefault="00CA76B2" w:rsidP="00CA76B2">
      <w:pPr>
        <w:spacing w:before="240" w:after="240" w:line="360" w:lineRule="auto"/>
        <w:jc w:val="both"/>
        <w:rPr>
          <w:rFonts w:ascii="Arial" w:eastAsia="Arial" w:hAnsi="Arial" w:cs="Arial"/>
          <w:sz w:val="28"/>
          <w:szCs w:val="28"/>
          <w:lang w:eastAsia="es-MX"/>
        </w:rPr>
      </w:pPr>
      <w:r w:rsidRPr="00CA76B2">
        <w:rPr>
          <w:rFonts w:ascii="Arial" w:eastAsia="Arial" w:hAnsi="Arial" w:cs="Arial"/>
          <w:sz w:val="28"/>
          <w:szCs w:val="28"/>
          <w:lang w:eastAsia="es-MX"/>
        </w:rPr>
        <w:t xml:space="preserve">VII. A la ciudadanía chihuahuense, mediante iniciativa signada, cuando menos por el </w:t>
      </w:r>
      <w:r w:rsidRPr="00CA76B2">
        <w:rPr>
          <w:rFonts w:ascii="Arial" w:eastAsia="Arial" w:hAnsi="Arial" w:cs="Arial"/>
          <w:b/>
          <w:sz w:val="28"/>
          <w:szCs w:val="28"/>
          <w:lang w:eastAsia="es-MX"/>
        </w:rPr>
        <w:t xml:space="preserve">cero punto cero </w:t>
      </w:r>
      <w:proofErr w:type="spellStart"/>
      <w:r w:rsidRPr="00CA76B2">
        <w:rPr>
          <w:rFonts w:ascii="Arial" w:eastAsia="Arial" w:hAnsi="Arial" w:cs="Arial"/>
          <w:b/>
          <w:sz w:val="28"/>
          <w:szCs w:val="28"/>
          <w:lang w:eastAsia="es-MX"/>
        </w:rPr>
        <w:t>cero</w:t>
      </w:r>
      <w:proofErr w:type="spellEnd"/>
      <w:r w:rsidRPr="00CA76B2">
        <w:rPr>
          <w:rFonts w:ascii="Arial" w:eastAsia="Arial" w:hAnsi="Arial" w:cs="Arial"/>
          <w:b/>
          <w:sz w:val="28"/>
          <w:szCs w:val="28"/>
          <w:lang w:eastAsia="es-MX"/>
        </w:rPr>
        <w:t xml:space="preserve"> uno </w:t>
      </w:r>
      <w:r w:rsidRPr="00CA76B2">
        <w:rPr>
          <w:rFonts w:ascii="Arial" w:eastAsia="Arial" w:hAnsi="Arial" w:cs="Arial"/>
          <w:sz w:val="28"/>
          <w:szCs w:val="28"/>
          <w:lang w:eastAsia="es-MX"/>
        </w:rPr>
        <w:t>por ciento de las personas inscritas en el listado nominal.</w:t>
      </w:r>
    </w:p>
    <w:p w14:paraId="61C0058F" w14:textId="77777777" w:rsidR="00CA76B2" w:rsidRPr="00CA76B2" w:rsidRDefault="00CA76B2" w:rsidP="00CA76B2">
      <w:pPr>
        <w:spacing w:before="240" w:after="240" w:line="360" w:lineRule="auto"/>
        <w:jc w:val="both"/>
        <w:rPr>
          <w:rFonts w:ascii="Arial" w:eastAsia="Arial" w:hAnsi="Arial" w:cs="Arial"/>
          <w:sz w:val="28"/>
          <w:szCs w:val="28"/>
          <w:lang w:eastAsia="es-MX"/>
        </w:rPr>
      </w:pPr>
    </w:p>
    <w:p w14:paraId="1EA218DE" w14:textId="77777777" w:rsidR="00CA76B2" w:rsidRPr="00CA76B2" w:rsidRDefault="00CA76B2" w:rsidP="00CA76B2">
      <w:pPr>
        <w:spacing w:before="240" w:after="240" w:line="360" w:lineRule="auto"/>
        <w:jc w:val="both"/>
        <w:rPr>
          <w:rFonts w:ascii="Arial" w:eastAsia="Arial" w:hAnsi="Arial" w:cs="Arial"/>
          <w:sz w:val="28"/>
          <w:szCs w:val="28"/>
          <w:lang w:eastAsia="es-MX"/>
        </w:rPr>
      </w:pPr>
      <w:r w:rsidRPr="00CA76B2">
        <w:rPr>
          <w:rFonts w:ascii="Arial" w:eastAsia="Arial" w:hAnsi="Arial" w:cs="Arial"/>
          <w:b/>
          <w:sz w:val="28"/>
          <w:szCs w:val="28"/>
          <w:lang w:eastAsia="es-MX"/>
        </w:rPr>
        <w:lastRenderedPageBreak/>
        <w:t>ARTÍCULO SEGUNDO:</w:t>
      </w:r>
      <w:r w:rsidRPr="00CA76B2">
        <w:rPr>
          <w:rFonts w:ascii="Arial" w:eastAsia="Arial" w:hAnsi="Arial" w:cs="Arial"/>
          <w:sz w:val="28"/>
          <w:szCs w:val="28"/>
          <w:lang w:eastAsia="es-MX"/>
        </w:rPr>
        <w:t xml:space="preserve"> Se reforma la fracción séptima del artículo 167 de la Ley Orgánica del Poder Legislativo del Estado de Chihuahua, para quedar redactado de la siguiente manera:</w:t>
      </w:r>
    </w:p>
    <w:p w14:paraId="4BA0AEED" w14:textId="77777777" w:rsidR="00CA76B2" w:rsidRPr="00CA76B2" w:rsidRDefault="00CA76B2" w:rsidP="00CA76B2">
      <w:pPr>
        <w:spacing w:after="0" w:line="360" w:lineRule="auto"/>
        <w:jc w:val="center"/>
        <w:rPr>
          <w:rFonts w:ascii="Arial" w:eastAsia="Arial" w:hAnsi="Arial" w:cs="Arial"/>
          <w:b/>
          <w:sz w:val="28"/>
          <w:szCs w:val="28"/>
          <w:lang w:eastAsia="es-MX"/>
        </w:rPr>
      </w:pPr>
      <w:r w:rsidRPr="00CA76B2">
        <w:rPr>
          <w:rFonts w:ascii="Arial" w:eastAsia="Arial" w:hAnsi="Arial" w:cs="Arial"/>
          <w:b/>
          <w:sz w:val="28"/>
          <w:szCs w:val="28"/>
          <w:lang w:eastAsia="es-MX"/>
        </w:rPr>
        <w:t>Ley de Participación Ciudadana</w:t>
      </w:r>
    </w:p>
    <w:p w14:paraId="6E638F5D" w14:textId="77777777" w:rsidR="00CA76B2" w:rsidRPr="00CA76B2" w:rsidRDefault="00CA76B2" w:rsidP="00CA76B2">
      <w:pPr>
        <w:spacing w:after="0" w:line="360" w:lineRule="auto"/>
        <w:jc w:val="center"/>
        <w:rPr>
          <w:rFonts w:ascii="Arial" w:eastAsia="Arial" w:hAnsi="Arial" w:cs="Arial"/>
          <w:b/>
          <w:sz w:val="28"/>
          <w:szCs w:val="28"/>
          <w:lang w:eastAsia="es-MX"/>
        </w:rPr>
      </w:pPr>
    </w:p>
    <w:p w14:paraId="7C7FD7BF" w14:textId="77777777" w:rsidR="00CA76B2" w:rsidRPr="00CA76B2" w:rsidRDefault="00CA76B2" w:rsidP="00CA76B2">
      <w:pPr>
        <w:spacing w:after="0" w:line="360" w:lineRule="auto"/>
        <w:jc w:val="both"/>
        <w:rPr>
          <w:rFonts w:ascii="Arial" w:eastAsia="Arial" w:hAnsi="Arial" w:cs="Arial"/>
          <w:sz w:val="28"/>
          <w:szCs w:val="28"/>
          <w:lang w:eastAsia="es-MX"/>
        </w:rPr>
      </w:pPr>
      <w:r w:rsidRPr="00CA76B2">
        <w:rPr>
          <w:rFonts w:ascii="Arial" w:eastAsia="Arial" w:hAnsi="Arial" w:cs="Arial"/>
          <w:b/>
          <w:sz w:val="28"/>
          <w:szCs w:val="28"/>
          <w:lang w:eastAsia="es-MX"/>
        </w:rPr>
        <w:t>Artículo 48.</w:t>
      </w:r>
      <w:r w:rsidRPr="00CA76B2">
        <w:rPr>
          <w:rFonts w:ascii="Arial" w:eastAsia="Arial" w:hAnsi="Arial" w:cs="Arial"/>
          <w:sz w:val="28"/>
          <w:szCs w:val="28"/>
          <w:lang w:eastAsia="es-MX"/>
        </w:rPr>
        <w:t xml:space="preserve"> La ciudadanía podrá presentar la iniciativa, siempre y cuando la solicitud sea apoyada por un número equivalente al menos </w:t>
      </w:r>
      <w:r w:rsidRPr="00CA76B2">
        <w:rPr>
          <w:rFonts w:ascii="Arial" w:eastAsia="Arial" w:hAnsi="Arial" w:cs="Arial"/>
          <w:b/>
          <w:sz w:val="28"/>
          <w:szCs w:val="28"/>
          <w:lang w:eastAsia="es-MX"/>
        </w:rPr>
        <w:t xml:space="preserve">al cero punto cero </w:t>
      </w:r>
      <w:proofErr w:type="spellStart"/>
      <w:r w:rsidRPr="00CA76B2">
        <w:rPr>
          <w:rFonts w:ascii="Arial" w:eastAsia="Arial" w:hAnsi="Arial" w:cs="Arial"/>
          <w:b/>
          <w:sz w:val="28"/>
          <w:szCs w:val="28"/>
          <w:lang w:eastAsia="es-MX"/>
        </w:rPr>
        <w:t>cero</w:t>
      </w:r>
      <w:proofErr w:type="spellEnd"/>
      <w:r w:rsidRPr="00CA76B2">
        <w:rPr>
          <w:rFonts w:ascii="Arial" w:eastAsia="Arial" w:hAnsi="Arial" w:cs="Arial"/>
          <w:b/>
          <w:sz w:val="28"/>
          <w:szCs w:val="28"/>
          <w:lang w:eastAsia="es-MX"/>
        </w:rPr>
        <w:t xml:space="preserve"> uno </w:t>
      </w:r>
      <w:r w:rsidRPr="00CA76B2">
        <w:rPr>
          <w:rFonts w:ascii="Arial" w:eastAsia="Arial" w:hAnsi="Arial" w:cs="Arial"/>
          <w:sz w:val="28"/>
          <w:szCs w:val="28"/>
          <w:lang w:eastAsia="es-MX"/>
        </w:rPr>
        <w:t>por ciento de las personas inscritas en la Lista Nominal que corresponda.</w:t>
      </w:r>
    </w:p>
    <w:p w14:paraId="4F84A90E" w14:textId="77777777" w:rsidR="00CA76B2" w:rsidRPr="00CA76B2" w:rsidRDefault="00CA76B2" w:rsidP="00CA76B2">
      <w:pPr>
        <w:spacing w:after="0" w:line="360" w:lineRule="auto"/>
        <w:jc w:val="center"/>
        <w:rPr>
          <w:rFonts w:ascii="Arial" w:eastAsia="Arial" w:hAnsi="Arial" w:cs="Arial"/>
          <w:b/>
          <w:sz w:val="28"/>
          <w:szCs w:val="28"/>
          <w:lang w:eastAsia="es-MX"/>
        </w:rPr>
      </w:pPr>
    </w:p>
    <w:p w14:paraId="2F5662DE" w14:textId="77777777" w:rsidR="00CA76B2" w:rsidRPr="00CA76B2" w:rsidRDefault="00CA76B2" w:rsidP="00CA76B2">
      <w:pPr>
        <w:spacing w:after="0" w:line="360" w:lineRule="auto"/>
        <w:jc w:val="center"/>
        <w:rPr>
          <w:rFonts w:ascii="Arial" w:eastAsia="Arial" w:hAnsi="Arial" w:cs="Arial"/>
          <w:b/>
          <w:sz w:val="28"/>
          <w:szCs w:val="28"/>
          <w:lang w:eastAsia="es-MX"/>
        </w:rPr>
      </w:pPr>
      <w:r w:rsidRPr="00CA76B2">
        <w:rPr>
          <w:rFonts w:ascii="Arial" w:eastAsia="Arial" w:hAnsi="Arial" w:cs="Arial"/>
          <w:b/>
          <w:sz w:val="28"/>
          <w:szCs w:val="28"/>
          <w:lang w:eastAsia="es-MX"/>
        </w:rPr>
        <w:t>TRANSITORIOS</w:t>
      </w:r>
    </w:p>
    <w:p w14:paraId="201B9DE4" w14:textId="77777777" w:rsidR="00CA76B2" w:rsidRPr="00CA76B2" w:rsidRDefault="00CA76B2" w:rsidP="00CA76B2">
      <w:pPr>
        <w:spacing w:after="0" w:line="360" w:lineRule="auto"/>
        <w:jc w:val="both"/>
        <w:rPr>
          <w:rFonts w:ascii="Arial" w:eastAsia="Arial" w:hAnsi="Arial" w:cs="Arial"/>
          <w:sz w:val="28"/>
          <w:szCs w:val="28"/>
          <w:lang w:eastAsia="es-MX"/>
        </w:rPr>
      </w:pPr>
      <w:r w:rsidRPr="00CA76B2">
        <w:rPr>
          <w:rFonts w:ascii="Arial" w:eastAsia="Arial" w:hAnsi="Arial" w:cs="Arial"/>
          <w:b/>
          <w:sz w:val="28"/>
          <w:szCs w:val="28"/>
          <w:lang w:eastAsia="es-MX"/>
        </w:rPr>
        <w:t xml:space="preserve">ÚNICO. </w:t>
      </w:r>
      <w:r w:rsidRPr="00CA76B2">
        <w:rPr>
          <w:rFonts w:ascii="Arial" w:eastAsia="Arial" w:hAnsi="Arial" w:cs="Arial"/>
          <w:sz w:val="28"/>
          <w:szCs w:val="28"/>
          <w:lang w:eastAsia="es-MX"/>
        </w:rPr>
        <w:t>- El presente decreto entrará en vigor al día siguiente  de su publicación en el Periódico Oficial del Estado</w:t>
      </w:r>
    </w:p>
    <w:p w14:paraId="5E84F2FE" w14:textId="77777777" w:rsidR="00CA76B2" w:rsidRPr="00CA76B2" w:rsidRDefault="00CA76B2" w:rsidP="00CA76B2">
      <w:pPr>
        <w:spacing w:after="0" w:line="360" w:lineRule="auto"/>
        <w:jc w:val="both"/>
        <w:rPr>
          <w:rFonts w:ascii="Arial" w:eastAsia="Arial" w:hAnsi="Arial" w:cs="Arial"/>
          <w:sz w:val="28"/>
          <w:szCs w:val="28"/>
          <w:lang w:eastAsia="es-MX"/>
        </w:rPr>
      </w:pPr>
    </w:p>
    <w:p w14:paraId="5A7F1B5A" w14:textId="77777777" w:rsidR="00CA76B2" w:rsidRDefault="00CA76B2" w:rsidP="00CA76B2">
      <w:pPr>
        <w:spacing w:after="0" w:line="360" w:lineRule="auto"/>
        <w:jc w:val="both"/>
        <w:rPr>
          <w:rFonts w:ascii="Arial" w:eastAsia="Arial" w:hAnsi="Arial" w:cs="Arial"/>
          <w:sz w:val="28"/>
          <w:szCs w:val="28"/>
          <w:lang w:eastAsia="es-MX"/>
        </w:rPr>
      </w:pPr>
      <w:r w:rsidRPr="00CA76B2">
        <w:rPr>
          <w:rFonts w:ascii="Arial" w:eastAsia="Arial" w:hAnsi="Arial" w:cs="Arial"/>
          <w:b/>
          <w:i/>
          <w:sz w:val="28"/>
          <w:szCs w:val="28"/>
          <w:lang w:eastAsia="es-MX"/>
        </w:rPr>
        <w:t>D a d o</w:t>
      </w:r>
      <w:r w:rsidRPr="00CA76B2">
        <w:rPr>
          <w:rFonts w:ascii="Arial" w:eastAsia="Arial" w:hAnsi="Arial" w:cs="Arial"/>
          <w:sz w:val="28"/>
          <w:szCs w:val="28"/>
          <w:lang w:eastAsia="es-MX"/>
        </w:rPr>
        <w:t xml:space="preserve"> en Oficialía de Partes, al día décimo cuarto del mes de  noviembre  del año dos mil veinticuatro.</w:t>
      </w:r>
    </w:p>
    <w:p w14:paraId="69456701" w14:textId="77777777" w:rsidR="00CA76B2" w:rsidRDefault="00CA76B2" w:rsidP="00CA76B2">
      <w:pPr>
        <w:spacing w:after="0" w:line="360" w:lineRule="auto"/>
        <w:jc w:val="both"/>
        <w:rPr>
          <w:rFonts w:ascii="Arial" w:eastAsia="Arial" w:hAnsi="Arial" w:cs="Arial"/>
          <w:b/>
          <w:sz w:val="28"/>
          <w:szCs w:val="28"/>
          <w:lang w:eastAsia="es-MX"/>
        </w:rPr>
      </w:pPr>
    </w:p>
    <w:p w14:paraId="2EA8C4F1" w14:textId="59493A10" w:rsidR="00CA76B2" w:rsidRPr="00CA76B2" w:rsidRDefault="00CA76B2" w:rsidP="00CA76B2">
      <w:pPr>
        <w:spacing w:after="0" w:line="360" w:lineRule="auto"/>
        <w:jc w:val="center"/>
        <w:rPr>
          <w:rFonts w:ascii="Arial" w:eastAsia="Arial" w:hAnsi="Arial" w:cs="Arial"/>
          <w:b/>
          <w:sz w:val="28"/>
          <w:szCs w:val="28"/>
          <w:lang w:eastAsia="es-MX"/>
        </w:rPr>
      </w:pPr>
      <w:r w:rsidRPr="00CA76B2">
        <w:rPr>
          <w:rFonts w:ascii="Arial" w:eastAsia="Arial" w:hAnsi="Arial" w:cs="Arial"/>
          <w:b/>
          <w:sz w:val="28"/>
          <w:szCs w:val="28"/>
          <w:lang w:eastAsia="es-MX"/>
        </w:rPr>
        <w:t>ATENTAMENTE</w:t>
      </w:r>
    </w:p>
    <w:p w14:paraId="00C598D0" w14:textId="77777777" w:rsidR="00CA76B2" w:rsidRPr="00CA76B2" w:rsidRDefault="00CA76B2" w:rsidP="00CA76B2">
      <w:pPr>
        <w:spacing w:after="0" w:line="276" w:lineRule="auto"/>
        <w:rPr>
          <w:rFonts w:ascii="Arial" w:eastAsia="Arial" w:hAnsi="Arial" w:cs="Arial"/>
          <w:sz w:val="28"/>
          <w:szCs w:val="28"/>
          <w:lang w:eastAsia="es-MX"/>
        </w:rPr>
      </w:pPr>
    </w:p>
    <w:p w14:paraId="378414F1" w14:textId="77777777" w:rsidR="00CA76B2" w:rsidRPr="00CA76B2" w:rsidRDefault="00CA76B2" w:rsidP="00CA76B2">
      <w:pPr>
        <w:spacing w:after="0" w:line="276" w:lineRule="auto"/>
        <w:rPr>
          <w:rFonts w:ascii="Arial" w:eastAsia="Arial" w:hAnsi="Arial" w:cs="Arial"/>
          <w:sz w:val="28"/>
          <w:szCs w:val="28"/>
          <w:lang w:eastAsia="es-MX"/>
        </w:rPr>
      </w:pPr>
    </w:p>
    <w:p w14:paraId="5A794E3F" w14:textId="1D2DDECE" w:rsidR="00ED0B57" w:rsidRPr="00CA76B2" w:rsidRDefault="00CA76B2" w:rsidP="00CA76B2">
      <w:pPr>
        <w:spacing w:after="0" w:line="276" w:lineRule="auto"/>
        <w:jc w:val="center"/>
        <w:rPr>
          <w:rFonts w:ascii="Arial" w:eastAsia="Arial" w:hAnsi="Arial" w:cs="Arial"/>
          <w:b/>
          <w:sz w:val="28"/>
          <w:szCs w:val="28"/>
          <w:lang w:eastAsia="es-MX"/>
        </w:rPr>
      </w:pPr>
      <w:r w:rsidRPr="00CA76B2">
        <w:rPr>
          <w:rFonts w:ascii="Arial" w:eastAsia="Arial" w:hAnsi="Arial" w:cs="Arial"/>
          <w:b/>
          <w:sz w:val="28"/>
          <w:szCs w:val="28"/>
          <w:lang w:eastAsia="es-MX"/>
        </w:rPr>
        <w:t>DIP. ROSANA DIAZ REYES</w:t>
      </w:r>
    </w:p>
    <w:sectPr w:rsidR="00ED0B57" w:rsidRPr="00CA76B2" w:rsidSect="007B5541">
      <w:headerReference w:type="even" r:id="rId8"/>
      <w:headerReference w:type="default" r:id="rId9"/>
      <w:footerReference w:type="even" r:id="rId10"/>
      <w:footerReference w:type="default" r:id="rId11"/>
      <w:headerReference w:type="first" r:id="rId12"/>
      <w:footerReference w:type="first" r:id="rId13"/>
      <w:pgSz w:w="12240" w:h="15840"/>
      <w:pgMar w:top="3544"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F6B46" w14:textId="77777777" w:rsidR="003D3401" w:rsidRDefault="003D3401" w:rsidP="007F665E">
      <w:pPr>
        <w:spacing w:after="0" w:line="240" w:lineRule="auto"/>
      </w:pPr>
      <w:r>
        <w:separator/>
      </w:r>
    </w:p>
  </w:endnote>
  <w:endnote w:type="continuationSeparator" w:id="0">
    <w:p w14:paraId="47B307FA" w14:textId="77777777" w:rsidR="003D3401" w:rsidRDefault="003D3401"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AB609" w14:textId="77777777" w:rsidR="00A37073" w:rsidRDefault="00A370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0009" w14:textId="77777777" w:rsidR="00A37073" w:rsidRDefault="00A370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1DE0" w14:textId="77777777" w:rsidR="00A37073" w:rsidRDefault="00A370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F83B8" w14:textId="77777777" w:rsidR="003D3401" w:rsidRDefault="003D3401" w:rsidP="007F665E">
      <w:pPr>
        <w:spacing w:after="0" w:line="240" w:lineRule="auto"/>
      </w:pPr>
      <w:r>
        <w:separator/>
      </w:r>
    </w:p>
  </w:footnote>
  <w:footnote w:type="continuationSeparator" w:id="0">
    <w:p w14:paraId="218AC91A" w14:textId="77777777" w:rsidR="003D3401" w:rsidRDefault="003D3401"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C78E" w14:textId="77777777" w:rsidR="00A37073" w:rsidRDefault="00A370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9311" w14:textId="77777777" w:rsidR="00972E85" w:rsidRDefault="007F665E">
    <w:pPr>
      <w:pStyle w:val="Encabezado"/>
    </w:pPr>
    <w:r>
      <w:rPr>
        <w:noProof/>
        <w:lang w:eastAsia="es-MX"/>
      </w:rPr>
      <w:drawing>
        <wp:anchor distT="0" distB="0" distL="114300" distR="114300" simplePos="0" relativeHeight="251658240" behindDoc="1" locked="0" layoutInCell="1" allowOverlap="1" wp14:anchorId="046EAEB8" wp14:editId="6454B1B0">
          <wp:simplePos x="0" y="0"/>
          <wp:positionH relativeFrom="column">
            <wp:posOffset>-1080135</wp:posOffset>
          </wp:positionH>
          <wp:positionV relativeFrom="paragraph">
            <wp:posOffset>-449580</wp:posOffset>
          </wp:positionV>
          <wp:extent cx="7772400" cy="10058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972E85">
      <w:t xml:space="preserve">                       </w:t>
    </w:r>
  </w:p>
  <w:p w14:paraId="43CD2030" w14:textId="77777777" w:rsidR="00972E85" w:rsidRDefault="00972E85">
    <w:pPr>
      <w:pStyle w:val="Encabezado"/>
    </w:pPr>
  </w:p>
  <w:p w14:paraId="2F58B6BE" w14:textId="77777777" w:rsidR="00972E85" w:rsidRDefault="00972E85">
    <w:pPr>
      <w:pStyle w:val="Encabezado"/>
    </w:pPr>
  </w:p>
  <w:p w14:paraId="4840CC96" w14:textId="77777777" w:rsidR="00972E85" w:rsidRPr="00BB7675" w:rsidRDefault="00972E85" w:rsidP="00972E85">
    <w:pPr>
      <w:pStyle w:val="Encabezado"/>
      <w:tabs>
        <w:tab w:val="clear" w:pos="8838"/>
        <w:tab w:val="right" w:pos="8789"/>
      </w:tabs>
      <w:ind w:right="140"/>
      <w:jc w:val="right"/>
      <w:rPr>
        <w:rFonts w:ascii="Times New Roman" w:hAnsi="Times New Roman" w:cs="Times New Roman"/>
        <w:b/>
      </w:rPr>
    </w:pPr>
    <w:r w:rsidRPr="00BB7675">
      <w:rPr>
        <w:rFonts w:ascii="Times New Roman" w:hAnsi="Times New Roman" w:cs="Times New Roman"/>
        <w:b/>
        <w:i/>
        <w:sz w:val="24"/>
      </w:rPr>
      <w:t>Dip. Rosana Díaz Reyes</w:t>
    </w:r>
    <w:r w:rsidRPr="00BB7675">
      <w:rPr>
        <w:rFonts w:ascii="Times New Roman" w:hAnsi="Times New Roman" w:cs="Times New Roman"/>
        <w:b/>
        <w:sz w:val="24"/>
      </w:rPr>
      <w:t xml:space="preserve"> – </w:t>
    </w:r>
    <w:r w:rsidRPr="00972E85">
      <w:rPr>
        <w:rFonts w:ascii="Times New Roman" w:hAnsi="Times New Roman" w:cs="Times New Roman"/>
        <w:b/>
        <w:sz w:val="24"/>
      </w:rPr>
      <w:t>Grupo Parlamentario de MORENA</w:t>
    </w:r>
  </w:p>
  <w:p w14:paraId="7C2CEA3A" w14:textId="28E3BCC2" w:rsidR="007F665E" w:rsidRDefault="00972E85" w:rsidP="00972E85">
    <w:pPr>
      <w:pStyle w:val="Encabezado"/>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387AE" w14:textId="77777777" w:rsidR="00A37073" w:rsidRDefault="00A370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306B0"/>
    <w:multiLevelType w:val="hybridMultilevel"/>
    <w:tmpl w:val="88FE1B72"/>
    <w:lvl w:ilvl="0" w:tplc="DACA2428">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CB5CCC"/>
    <w:multiLevelType w:val="hybridMultilevel"/>
    <w:tmpl w:val="99F4BC1E"/>
    <w:lvl w:ilvl="0" w:tplc="8284A6FC">
      <w:start w:val="1"/>
      <w:numFmt w:val="upperRoman"/>
      <w:lvlText w:val="%1."/>
      <w:lvlJc w:val="left"/>
      <w:pPr>
        <w:ind w:left="1080" w:hanging="72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DB636B"/>
    <w:multiLevelType w:val="multilevel"/>
    <w:tmpl w:val="BDCCD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CD49AC"/>
    <w:multiLevelType w:val="hybridMultilevel"/>
    <w:tmpl w:val="D116CB32"/>
    <w:lvl w:ilvl="0" w:tplc="E38E7B8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9626290">
    <w:abstractNumId w:val="1"/>
  </w:num>
  <w:num w:numId="2" w16cid:durableId="1121876715">
    <w:abstractNumId w:val="0"/>
  </w:num>
  <w:num w:numId="3" w16cid:durableId="1071930797">
    <w:abstractNumId w:val="3"/>
  </w:num>
  <w:num w:numId="4" w16cid:durableId="41835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2A54"/>
    <w:rsid w:val="000061D2"/>
    <w:rsid w:val="00010288"/>
    <w:rsid w:val="00034AF4"/>
    <w:rsid w:val="000417AA"/>
    <w:rsid w:val="00066CEE"/>
    <w:rsid w:val="0007778D"/>
    <w:rsid w:val="00077B6F"/>
    <w:rsid w:val="00096F30"/>
    <w:rsid w:val="000A5B95"/>
    <w:rsid w:val="000A792B"/>
    <w:rsid w:val="000C08FE"/>
    <w:rsid w:val="000C16ED"/>
    <w:rsid w:val="000C3624"/>
    <w:rsid w:val="000D47A8"/>
    <w:rsid w:val="000D7A2E"/>
    <w:rsid w:val="000D7A34"/>
    <w:rsid w:val="000E1112"/>
    <w:rsid w:val="00101AC9"/>
    <w:rsid w:val="0012586A"/>
    <w:rsid w:val="001356A7"/>
    <w:rsid w:val="00137ED5"/>
    <w:rsid w:val="0014136F"/>
    <w:rsid w:val="0014470C"/>
    <w:rsid w:val="00146625"/>
    <w:rsid w:val="0014799A"/>
    <w:rsid w:val="0016516F"/>
    <w:rsid w:val="00182E57"/>
    <w:rsid w:val="001911AA"/>
    <w:rsid w:val="001A0A9D"/>
    <w:rsid w:val="001B7657"/>
    <w:rsid w:val="001D41E5"/>
    <w:rsid w:val="001D4FB3"/>
    <w:rsid w:val="001E105F"/>
    <w:rsid w:val="001E4141"/>
    <w:rsid w:val="00230493"/>
    <w:rsid w:val="0026045E"/>
    <w:rsid w:val="002611BE"/>
    <w:rsid w:val="00270EAC"/>
    <w:rsid w:val="00282ACE"/>
    <w:rsid w:val="00283CC4"/>
    <w:rsid w:val="00291896"/>
    <w:rsid w:val="002B43FD"/>
    <w:rsid w:val="002D40D9"/>
    <w:rsid w:val="002D5B56"/>
    <w:rsid w:val="002E3A5A"/>
    <w:rsid w:val="002F43AD"/>
    <w:rsid w:val="003130D5"/>
    <w:rsid w:val="003148B1"/>
    <w:rsid w:val="00317542"/>
    <w:rsid w:val="00326670"/>
    <w:rsid w:val="00336B35"/>
    <w:rsid w:val="00342020"/>
    <w:rsid w:val="00346C6C"/>
    <w:rsid w:val="00351261"/>
    <w:rsid w:val="00356A0E"/>
    <w:rsid w:val="00374634"/>
    <w:rsid w:val="00377DBA"/>
    <w:rsid w:val="003810B0"/>
    <w:rsid w:val="0038369F"/>
    <w:rsid w:val="00383B88"/>
    <w:rsid w:val="00390A6F"/>
    <w:rsid w:val="003B7ED5"/>
    <w:rsid w:val="003D2E53"/>
    <w:rsid w:val="003D3401"/>
    <w:rsid w:val="003D3DCB"/>
    <w:rsid w:val="003E201C"/>
    <w:rsid w:val="003F101F"/>
    <w:rsid w:val="003F1093"/>
    <w:rsid w:val="003F597F"/>
    <w:rsid w:val="003F63B1"/>
    <w:rsid w:val="003F7025"/>
    <w:rsid w:val="003F7AD7"/>
    <w:rsid w:val="004017D5"/>
    <w:rsid w:val="004044FC"/>
    <w:rsid w:val="00412750"/>
    <w:rsid w:val="00432E2F"/>
    <w:rsid w:val="00444C92"/>
    <w:rsid w:val="00456071"/>
    <w:rsid w:val="00462D29"/>
    <w:rsid w:val="004635CD"/>
    <w:rsid w:val="00476514"/>
    <w:rsid w:val="00480B2B"/>
    <w:rsid w:val="00493CA8"/>
    <w:rsid w:val="004946D2"/>
    <w:rsid w:val="004A0395"/>
    <w:rsid w:val="004B2BB1"/>
    <w:rsid w:val="004B6E9B"/>
    <w:rsid w:val="004B7A9E"/>
    <w:rsid w:val="004C1D83"/>
    <w:rsid w:val="004C2D10"/>
    <w:rsid w:val="004C60C5"/>
    <w:rsid w:val="004C6B27"/>
    <w:rsid w:val="004D5B3F"/>
    <w:rsid w:val="004D71BE"/>
    <w:rsid w:val="004F171C"/>
    <w:rsid w:val="004F5E73"/>
    <w:rsid w:val="00502CA8"/>
    <w:rsid w:val="00503765"/>
    <w:rsid w:val="0051480E"/>
    <w:rsid w:val="00533F32"/>
    <w:rsid w:val="005414EC"/>
    <w:rsid w:val="00542357"/>
    <w:rsid w:val="00550777"/>
    <w:rsid w:val="00557911"/>
    <w:rsid w:val="00561A86"/>
    <w:rsid w:val="00565D95"/>
    <w:rsid w:val="0057797A"/>
    <w:rsid w:val="0059206D"/>
    <w:rsid w:val="00596643"/>
    <w:rsid w:val="00596B0E"/>
    <w:rsid w:val="005B0F01"/>
    <w:rsid w:val="005B21D6"/>
    <w:rsid w:val="005C6152"/>
    <w:rsid w:val="005D44A1"/>
    <w:rsid w:val="005D667A"/>
    <w:rsid w:val="005F14D4"/>
    <w:rsid w:val="005F1870"/>
    <w:rsid w:val="005F3E57"/>
    <w:rsid w:val="005F7DB5"/>
    <w:rsid w:val="006042AC"/>
    <w:rsid w:val="00613934"/>
    <w:rsid w:val="006145D1"/>
    <w:rsid w:val="00626074"/>
    <w:rsid w:val="006358CC"/>
    <w:rsid w:val="00647942"/>
    <w:rsid w:val="006501E7"/>
    <w:rsid w:val="0065176B"/>
    <w:rsid w:val="00652673"/>
    <w:rsid w:val="006554FF"/>
    <w:rsid w:val="006636A0"/>
    <w:rsid w:val="00684F0E"/>
    <w:rsid w:val="006A339C"/>
    <w:rsid w:val="006B0674"/>
    <w:rsid w:val="006C01EC"/>
    <w:rsid w:val="006C48EB"/>
    <w:rsid w:val="006D22BD"/>
    <w:rsid w:val="006D663A"/>
    <w:rsid w:val="006E116E"/>
    <w:rsid w:val="006E510E"/>
    <w:rsid w:val="0070484A"/>
    <w:rsid w:val="00707F91"/>
    <w:rsid w:val="00717899"/>
    <w:rsid w:val="007216E2"/>
    <w:rsid w:val="00740750"/>
    <w:rsid w:val="0074282F"/>
    <w:rsid w:val="00743CC6"/>
    <w:rsid w:val="007574C3"/>
    <w:rsid w:val="0076190A"/>
    <w:rsid w:val="00761F8E"/>
    <w:rsid w:val="007647D5"/>
    <w:rsid w:val="007659A7"/>
    <w:rsid w:val="00772E1A"/>
    <w:rsid w:val="00790D33"/>
    <w:rsid w:val="007926CD"/>
    <w:rsid w:val="007A0031"/>
    <w:rsid w:val="007A1245"/>
    <w:rsid w:val="007A492C"/>
    <w:rsid w:val="007B0793"/>
    <w:rsid w:val="007B5541"/>
    <w:rsid w:val="007C0173"/>
    <w:rsid w:val="007C40AD"/>
    <w:rsid w:val="007C41A5"/>
    <w:rsid w:val="007C4A65"/>
    <w:rsid w:val="007C53B2"/>
    <w:rsid w:val="007D3276"/>
    <w:rsid w:val="007F665E"/>
    <w:rsid w:val="00802BAC"/>
    <w:rsid w:val="00803C1E"/>
    <w:rsid w:val="00817107"/>
    <w:rsid w:val="008210F7"/>
    <w:rsid w:val="00822C8C"/>
    <w:rsid w:val="008365A6"/>
    <w:rsid w:val="00847C2D"/>
    <w:rsid w:val="00863362"/>
    <w:rsid w:val="00871957"/>
    <w:rsid w:val="00873209"/>
    <w:rsid w:val="00875430"/>
    <w:rsid w:val="008818DB"/>
    <w:rsid w:val="00893CC4"/>
    <w:rsid w:val="008A41F9"/>
    <w:rsid w:val="008B7215"/>
    <w:rsid w:val="008B7ACB"/>
    <w:rsid w:val="008C19A2"/>
    <w:rsid w:val="008D4CFD"/>
    <w:rsid w:val="008E1575"/>
    <w:rsid w:val="008E61B3"/>
    <w:rsid w:val="008E6F59"/>
    <w:rsid w:val="008F422D"/>
    <w:rsid w:val="008F5B89"/>
    <w:rsid w:val="008F6A06"/>
    <w:rsid w:val="00903145"/>
    <w:rsid w:val="00904792"/>
    <w:rsid w:val="00906AF4"/>
    <w:rsid w:val="00907333"/>
    <w:rsid w:val="00907796"/>
    <w:rsid w:val="00907973"/>
    <w:rsid w:val="00911F7C"/>
    <w:rsid w:val="00916A2A"/>
    <w:rsid w:val="00935D89"/>
    <w:rsid w:val="00940DC6"/>
    <w:rsid w:val="0094140F"/>
    <w:rsid w:val="00956497"/>
    <w:rsid w:val="00963A4C"/>
    <w:rsid w:val="009715A5"/>
    <w:rsid w:val="00972E85"/>
    <w:rsid w:val="00973E77"/>
    <w:rsid w:val="00995B9A"/>
    <w:rsid w:val="00995CC2"/>
    <w:rsid w:val="009B704B"/>
    <w:rsid w:val="009B7EBC"/>
    <w:rsid w:val="009C2618"/>
    <w:rsid w:val="009D0B62"/>
    <w:rsid w:val="009D698F"/>
    <w:rsid w:val="009F308C"/>
    <w:rsid w:val="00A02AD6"/>
    <w:rsid w:val="00A11ED9"/>
    <w:rsid w:val="00A124CA"/>
    <w:rsid w:val="00A126A5"/>
    <w:rsid w:val="00A20E52"/>
    <w:rsid w:val="00A31042"/>
    <w:rsid w:val="00A31CF9"/>
    <w:rsid w:val="00A37073"/>
    <w:rsid w:val="00A4474A"/>
    <w:rsid w:val="00A53400"/>
    <w:rsid w:val="00A53C80"/>
    <w:rsid w:val="00A662F3"/>
    <w:rsid w:val="00A759CF"/>
    <w:rsid w:val="00A87213"/>
    <w:rsid w:val="00A879CE"/>
    <w:rsid w:val="00AA2BAF"/>
    <w:rsid w:val="00AA3C6B"/>
    <w:rsid w:val="00AC7405"/>
    <w:rsid w:val="00AD21A6"/>
    <w:rsid w:val="00AE267F"/>
    <w:rsid w:val="00AE65FB"/>
    <w:rsid w:val="00AF3AF7"/>
    <w:rsid w:val="00B0187E"/>
    <w:rsid w:val="00B01DDF"/>
    <w:rsid w:val="00B046EA"/>
    <w:rsid w:val="00B06D2C"/>
    <w:rsid w:val="00B112B5"/>
    <w:rsid w:val="00B26A42"/>
    <w:rsid w:val="00B27F16"/>
    <w:rsid w:val="00B3619E"/>
    <w:rsid w:val="00B4785F"/>
    <w:rsid w:val="00B53FC7"/>
    <w:rsid w:val="00B70038"/>
    <w:rsid w:val="00B76968"/>
    <w:rsid w:val="00B772F7"/>
    <w:rsid w:val="00BA6F58"/>
    <w:rsid w:val="00BB2D8E"/>
    <w:rsid w:val="00BC04B3"/>
    <w:rsid w:val="00BC1E58"/>
    <w:rsid w:val="00BC5BF8"/>
    <w:rsid w:val="00BD7779"/>
    <w:rsid w:val="00BE3FD6"/>
    <w:rsid w:val="00BE6975"/>
    <w:rsid w:val="00BF5A9B"/>
    <w:rsid w:val="00BF6DC5"/>
    <w:rsid w:val="00C00383"/>
    <w:rsid w:val="00C05AA0"/>
    <w:rsid w:val="00C11EC3"/>
    <w:rsid w:val="00C17A1B"/>
    <w:rsid w:val="00C20BC1"/>
    <w:rsid w:val="00C33C12"/>
    <w:rsid w:val="00C35273"/>
    <w:rsid w:val="00C52AC7"/>
    <w:rsid w:val="00C561A4"/>
    <w:rsid w:val="00C60CFF"/>
    <w:rsid w:val="00C65913"/>
    <w:rsid w:val="00C7008C"/>
    <w:rsid w:val="00C7195A"/>
    <w:rsid w:val="00C8048A"/>
    <w:rsid w:val="00C829EF"/>
    <w:rsid w:val="00C9087B"/>
    <w:rsid w:val="00C9652A"/>
    <w:rsid w:val="00C96C32"/>
    <w:rsid w:val="00CA76B2"/>
    <w:rsid w:val="00CD2E9D"/>
    <w:rsid w:val="00CD323A"/>
    <w:rsid w:val="00CD4961"/>
    <w:rsid w:val="00CD6ADA"/>
    <w:rsid w:val="00CE5C19"/>
    <w:rsid w:val="00CF35FE"/>
    <w:rsid w:val="00CF4773"/>
    <w:rsid w:val="00D0064B"/>
    <w:rsid w:val="00D03976"/>
    <w:rsid w:val="00D03FCC"/>
    <w:rsid w:val="00D04DA6"/>
    <w:rsid w:val="00D162B0"/>
    <w:rsid w:val="00D25886"/>
    <w:rsid w:val="00D305FC"/>
    <w:rsid w:val="00D313F1"/>
    <w:rsid w:val="00D34DCF"/>
    <w:rsid w:val="00D35EA2"/>
    <w:rsid w:val="00D4113F"/>
    <w:rsid w:val="00D42CE2"/>
    <w:rsid w:val="00D44ACC"/>
    <w:rsid w:val="00D57663"/>
    <w:rsid w:val="00D60A77"/>
    <w:rsid w:val="00D60CAD"/>
    <w:rsid w:val="00D6179C"/>
    <w:rsid w:val="00D65DAA"/>
    <w:rsid w:val="00D66C8E"/>
    <w:rsid w:val="00D73727"/>
    <w:rsid w:val="00D747EE"/>
    <w:rsid w:val="00D75DDF"/>
    <w:rsid w:val="00D76E81"/>
    <w:rsid w:val="00D87EF9"/>
    <w:rsid w:val="00D92D74"/>
    <w:rsid w:val="00D976BB"/>
    <w:rsid w:val="00DA0321"/>
    <w:rsid w:val="00DB3F45"/>
    <w:rsid w:val="00DB6700"/>
    <w:rsid w:val="00DD434F"/>
    <w:rsid w:val="00DD4503"/>
    <w:rsid w:val="00DF5B4D"/>
    <w:rsid w:val="00DF67B7"/>
    <w:rsid w:val="00E127C5"/>
    <w:rsid w:val="00E151DD"/>
    <w:rsid w:val="00E238E9"/>
    <w:rsid w:val="00E2721D"/>
    <w:rsid w:val="00E2734A"/>
    <w:rsid w:val="00E51377"/>
    <w:rsid w:val="00E51E2D"/>
    <w:rsid w:val="00E54327"/>
    <w:rsid w:val="00E556EF"/>
    <w:rsid w:val="00E56B73"/>
    <w:rsid w:val="00E74075"/>
    <w:rsid w:val="00E83007"/>
    <w:rsid w:val="00E9334D"/>
    <w:rsid w:val="00EA1435"/>
    <w:rsid w:val="00EB012D"/>
    <w:rsid w:val="00EC1D59"/>
    <w:rsid w:val="00ED03EE"/>
    <w:rsid w:val="00ED0B57"/>
    <w:rsid w:val="00ED11FC"/>
    <w:rsid w:val="00ED5202"/>
    <w:rsid w:val="00ED645E"/>
    <w:rsid w:val="00EE2433"/>
    <w:rsid w:val="00EF7AF9"/>
    <w:rsid w:val="00F048A8"/>
    <w:rsid w:val="00F32A79"/>
    <w:rsid w:val="00F33BE7"/>
    <w:rsid w:val="00F43B55"/>
    <w:rsid w:val="00F45683"/>
    <w:rsid w:val="00F472EA"/>
    <w:rsid w:val="00F476EB"/>
    <w:rsid w:val="00F50645"/>
    <w:rsid w:val="00F51111"/>
    <w:rsid w:val="00F67F74"/>
    <w:rsid w:val="00F8002F"/>
    <w:rsid w:val="00F84F97"/>
    <w:rsid w:val="00F85652"/>
    <w:rsid w:val="00F93647"/>
    <w:rsid w:val="00F97CD9"/>
    <w:rsid w:val="00FA3053"/>
    <w:rsid w:val="00FA5E54"/>
    <w:rsid w:val="00FB4713"/>
    <w:rsid w:val="00FE03EF"/>
    <w:rsid w:val="00FE5778"/>
    <w:rsid w:val="00FF6460"/>
    <w:rsid w:val="00FF7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7B55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5541"/>
    <w:rPr>
      <w:sz w:val="20"/>
      <w:szCs w:val="20"/>
    </w:rPr>
  </w:style>
  <w:style w:type="character" w:styleId="Refdenotaalpie">
    <w:name w:val="footnote reference"/>
    <w:basedOn w:val="Fuentedeprrafopredeter"/>
    <w:uiPriority w:val="99"/>
    <w:semiHidden/>
    <w:unhideWhenUsed/>
    <w:rsid w:val="007B5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B0B62-7CCE-4DA2-837E-6B94CA72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1705</Words>
  <Characters>9381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dcterms:created xsi:type="dcterms:W3CDTF">2024-11-15T15:32:00Z</dcterms:created>
  <dcterms:modified xsi:type="dcterms:W3CDTF">2024-11-15T15:32:00Z</dcterms:modified>
</cp:coreProperties>
</file>