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CADA" w14:textId="77777777" w:rsidR="006568C3" w:rsidRPr="00F4666A" w:rsidRDefault="006568C3" w:rsidP="00F4666A">
      <w:pPr>
        <w:spacing w:line="240" w:lineRule="auto"/>
        <w:jc w:val="right"/>
        <w:rPr>
          <w:rFonts w:ascii="Verdana" w:hAnsi="Verdana" w:cstheme="minorHAnsi"/>
          <w:sz w:val="20"/>
          <w:szCs w:val="20"/>
        </w:rPr>
      </w:pPr>
      <w:r w:rsidRPr="00F4666A">
        <w:rPr>
          <w:rFonts w:ascii="Verdana" w:hAnsi="Verdana" w:cstheme="minorHAnsi"/>
          <w:sz w:val="20"/>
          <w:szCs w:val="20"/>
        </w:rPr>
        <w:t>Chihuahua a 12 de noviembre del 2024</w:t>
      </w:r>
    </w:p>
    <w:p w14:paraId="0389E816" w14:textId="77777777" w:rsidR="006568C3" w:rsidRPr="00F4666A" w:rsidRDefault="006568C3" w:rsidP="00F4666A">
      <w:pPr>
        <w:spacing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4666A">
        <w:rPr>
          <w:rFonts w:ascii="Verdana" w:hAnsi="Verdana" w:cstheme="minorHAnsi"/>
          <w:b/>
          <w:bCs/>
          <w:sz w:val="20"/>
          <w:szCs w:val="20"/>
        </w:rPr>
        <w:t>H. CONGRESO DEL ESTADO</w:t>
      </w:r>
    </w:p>
    <w:p w14:paraId="5C995421" w14:textId="77777777" w:rsidR="006568C3" w:rsidRPr="00F4666A" w:rsidRDefault="006568C3" w:rsidP="00F4666A">
      <w:pPr>
        <w:spacing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4666A">
        <w:rPr>
          <w:rFonts w:ascii="Verdana" w:hAnsi="Verdana" w:cstheme="minorHAnsi"/>
          <w:b/>
          <w:bCs/>
          <w:sz w:val="20"/>
          <w:szCs w:val="20"/>
        </w:rPr>
        <w:t xml:space="preserve">P R E S E N T E.- </w:t>
      </w:r>
    </w:p>
    <w:p w14:paraId="013D626A" w14:textId="77777777" w:rsidR="006568C3" w:rsidRPr="00F4666A" w:rsidRDefault="006568C3" w:rsidP="00F4666A">
      <w:pPr>
        <w:spacing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AF5299E" w14:textId="5826D6D3" w:rsidR="006568C3" w:rsidRPr="00F4666A" w:rsidRDefault="006568C3" w:rsidP="00F4666A">
      <w:pPr>
        <w:spacing w:line="240" w:lineRule="auto"/>
        <w:jc w:val="both"/>
        <w:rPr>
          <w:rFonts w:ascii="Verdana" w:hAnsi="Verdana" w:cstheme="minorHAnsi"/>
          <w:sz w:val="20"/>
          <w:szCs w:val="20"/>
        </w:rPr>
      </w:pPr>
      <w:r w:rsidRPr="00F4666A">
        <w:rPr>
          <w:rFonts w:ascii="Verdana" w:hAnsi="Verdana"/>
          <w:b/>
          <w:bCs/>
          <w:sz w:val="20"/>
          <w:szCs w:val="20"/>
        </w:rPr>
        <w:t>JOSÉ LUIS VILLALOBOS GARCÍA</w:t>
      </w:r>
      <w:r w:rsidRPr="00F4666A">
        <w:rPr>
          <w:rFonts w:ascii="Verdana" w:hAnsi="Verdana"/>
          <w:sz w:val="20"/>
          <w:szCs w:val="20"/>
        </w:rPr>
        <w:t xml:space="preserve">, Diputado de la Sexagésima Octava Legislatura del Honorable Congreso del Estado, integrante del Grupo Parlamentario del Partido Revolucionario Institucional con fundamento en lo </w:t>
      </w:r>
      <w:r w:rsidR="00D60406">
        <w:rPr>
          <w:rFonts w:ascii="Verdana" w:hAnsi="Verdana"/>
          <w:sz w:val="20"/>
          <w:szCs w:val="20"/>
        </w:rPr>
        <w:t>dispuesto por</w:t>
      </w:r>
      <w:r w:rsidRPr="00F4666A">
        <w:rPr>
          <w:rFonts w:ascii="Verdana" w:hAnsi="Verdana"/>
          <w:sz w:val="20"/>
          <w:szCs w:val="20"/>
        </w:rPr>
        <w:t xml:space="preserve"> </w:t>
      </w:r>
      <w:r w:rsidR="00C37826">
        <w:rPr>
          <w:rFonts w:ascii="Verdana" w:hAnsi="Verdana"/>
          <w:sz w:val="20"/>
          <w:szCs w:val="20"/>
        </w:rPr>
        <w:t>el</w:t>
      </w:r>
      <w:r w:rsidRPr="00F4666A">
        <w:rPr>
          <w:rFonts w:ascii="Verdana" w:hAnsi="Verdana"/>
          <w:sz w:val="20"/>
          <w:szCs w:val="20"/>
        </w:rPr>
        <w:t xml:space="preserve"> artículo</w:t>
      </w:r>
      <w:r w:rsidR="00C37826">
        <w:rPr>
          <w:rFonts w:ascii="Verdana" w:hAnsi="Verdana"/>
          <w:sz w:val="20"/>
          <w:szCs w:val="20"/>
        </w:rPr>
        <w:t xml:space="preserve"> 68, fracción I, de la Constitución Política del Estado Libre y Soberano de Chihuahua, así como</w:t>
      </w:r>
      <w:r w:rsidRPr="00F4666A">
        <w:rPr>
          <w:rFonts w:ascii="Verdana" w:hAnsi="Verdana"/>
          <w:sz w:val="20"/>
          <w:szCs w:val="20"/>
        </w:rPr>
        <w:t xml:space="preserve"> 167, fracción I, 168 y 168 BIS de la Ley Orgánica del Poder Legislativo, 2, fracción IV, 75, 76, fracción V, 77 y 102, del Reglamento Interior y de Prácticas Parlamentarias del Poder Legislativo y demás relativos</w:t>
      </w:r>
      <w:r w:rsidR="00C37826">
        <w:rPr>
          <w:rFonts w:ascii="Verdana" w:hAnsi="Verdana"/>
          <w:sz w:val="20"/>
          <w:szCs w:val="20"/>
        </w:rPr>
        <w:t>,</w:t>
      </w:r>
      <w:r w:rsidRPr="00F4666A">
        <w:rPr>
          <w:rFonts w:ascii="Verdana" w:hAnsi="Verdana"/>
          <w:sz w:val="20"/>
          <w:szCs w:val="20"/>
        </w:rPr>
        <w:t xml:space="preserve"> </w:t>
      </w:r>
      <w:r w:rsidRPr="00F4666A">
        <w:rPr>
          <w:rFonts w:ascii="Verdana" w:hAnsi="Verdana" w:cstheme="minorHAnsi"/>
          <w:sz w:val="20"/>
          <w:szCs w:val="20"/>
        </w:rPr>
        <w:t xml:space="preserve">comparezco ante esta Honorable Soberanía, a fin de presentar </w:t>
      </w:r>
      <w:r w:rsidRPr="00F4666A">
        <w:rPr>
          <w:rFonts w:ascii="Verdana" w:hAnsi="Verdana" w:cstheme="minorHAnsi"/>
          <w:b/>
          <w:bCs/>
          <w:sz w:val="20"/>
          <w:szCs w:val="20"/>
        </w:rPr>
        <w:t>INICIATIVA CON CARÁCTER DE DECRETO, A EFECTO DE REFORMAR Y ADICIONAR</w:t>
      </w:r>
      <w:r w:rsidR="009F0E43" w:rsidRPr="00F4666A">
        <w:rPr>
          <w:rFonts w:ascii="Verdana" w:hAnsi="Verdana" w:cstheme="minorHAnsi"/>
          <w:b/>
          <w:bCs/>
          <w:sz w:val="20"/>
          <w:szCs w:val="20"/>
        </w:rPr>
        <w:t xml:space="preserve"> EL ARTÍCULO 13, </w:t>
      </w:r>
      <w:r w:rsidRPr="00F4666A">
        <w:rPr>
          <w:rFonts w:ascii="Verdana" w:hAnsi="Verdana" w:cstheme="minorHAnsi"/>
          <w:b/>
          <w:bCs/>
          <w:sz w:val="20"/>
          <w:szCs w:val="20"/>
        </w:rPr>
        <w:t>FRACCIÓN XI DE LA LEY PARA PREVENIR Y ERRADICAR LA DISCRIMINACIÓN DEL ESTADO DE CHIHUAHUA, EN MATERIA DE ADECUACIÓN DE TODOS LOS INMUEBLES PÚBLICOS PARA LA IMPLEMENTACIÓN DE AJUSTES RAZONABLES</w:t>
      </w:r>
      <w:r w:rsidR="00F4517C">
        <w:rPr>
          <w:rFonts w:ascii="Verdana" w:hAnsi="Verdana" w:cstheme="minorHAnsi"/>
          <w:b/>
          <w:bCs/>
          <w:sz w:val="20"/>
          <w:szCs w:val="20"/>
        </w:rPr>
        <w:t xml:space="preserve"> CON DISEÑO UNIVERSAL,</w:t>
      </w:r>
      <w:r w:rsidR="00F117CE">
        <w:rPr>
          <w:rFonts w:ascii="Verdana" w:hAnsi="Verdana" w:cstheme="minorHAnsi"/>
          <w:b/>
          <w:bCs/>
          <w:sz w:val="20"/>
          <w:szCs w:val="20"/>
        </w:rPr>
        <w:t xml:space="preserve"> PARA</w:t>
      </w:r>
      <w:r w:rsidRPr="00F4666A">
        <w:rPr>
          <w:rFonts w:ascii="Verdana" w:hAnsi="Verdana" w:cstheme="minorHAnsi"/>
          <w:b/>
          <w:bCs/>
          <w:sz w:val="20"/>
          <w:szCs w:val="20"/>
        </w:rPr>
        <w:t xml:space="preserve"> GARANTIZAR EL ACCESO Y LIBRE DESPLAZAMIENTO DE PERSONAS CON DISCAPACIDAD.</w:t>
      </w:r>
    </w:p>
    <w:p w14:paraId="1A4A5337" w14:textId="77777777" w:rsidR="006568C3" w:rsidRPr="00F4666A" w:rsidRDefault="006568C3" w:rsidP="00F4666A">
      <w:pPr>
        <w:spacing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4666A">
        <w:rPr>
          <w:rFonts w:ascii="Verdana" w:hAnsi="Verdana" w:cstheme="minorHAnsi"/>
          <w:sz w:val="20"/>
          <w:szCs w:val="20"/>
        </w:rPr>
        <w:t xml:space="preserve">Lo anterior </w:t>
      </w:r>
      <w:r w:rsidRPr="00F4666A">
        <w:rPr>
          <w:rFonts w:ascii="Verdana" w:eastAsia="Verdana" w:hAnsi="Verdana" w:cstheme="minorHAnsi"/>
          <w:color w:val="000000" w:themeColor="text1"/>
          <w:sz w:val="20"/>
          <w:szCs w:val="20"/>
        </w:rPr>
        <w:t xml:space="preserve">por los motivos y fundamentos que a continuación se expresan.  </w:t>
      </w:r>
    </w:p>
    <w:p w14:paraId="3257A1BD" w14:textId="77777777" w:rsidR="002B1485" w:rsidRDefault="002B1485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theme="minorHAnsi"/>
          <w:b/>
          <w:color w:val="000000" w:themeColor="text1"/>
          <w:sz w:val="20"/>
          <w:szCs w:val="20"/>
        </w:rPr>
      </w:pPr>
    </w:p>
    <w:p w14:paraId="30672888" w14:textId="66E4AC1F" w:rsidR="006568C3" w:rsidRDefault="006568C3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theme="minorHAnsi"/>
          <w:b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/>
          <w:color w:val="000000" w:themeColor="text1"/>
          <w:sz w:val="20"/>
          <w:szCs w:val="20"/>
        </w:rPr>
        <w:t>EXPOSICIÓN DE MOTIVOS</w:t>
      </w:r>
    </w:p>
    <w:p w14:paraId="6DAC00A5" w14:textId="77777777" w:rsidR="002B1485" w:rsidRPr="00F4666A" w:rsidRDefault="002B1485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theme="minorHAnsi"/>
          <w:b/>
          <w:color w:val="000000" w:themeColor="text1"/>
          <w:sz w:val="20"/>
          <w:szCs w:val="20"/>
        </w:rPr>
      </w:pPr>
    </w:p>
    <w:p w14:paraId="1290169C" w14:textId="5DE6106A" w:rsidR="002B1485" w:rsidRDefault="002B1485" w:rsidP="002B14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>México forma parte de la Convención Internacional sobre los Derechos de las Personas con Discapacidad desde que entró en vigor en el 2008, dicha convención, trajo consigo concepto</w:t>
      </w:r>
      <w:r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>s</w:t>
      </w: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 xml:space="preserve"> muy importante</w:t>
      </w:r>
      <w:r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>s</w:t>
      </w: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 xml:space="preserve"> para introducir a las obligaciones que tienen los Estados</w:t>
      </w:r>
      <w:r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>.</w:t>
      </w: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>Y</w:t>
      </w: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 xml:space="preserve"> para la comprensión real de las adaptaciones que se deben de realizar para que las personas con discapacidad puedan tener un acceso libre y pleno a sus derechos</w:t>
      </w:r>
      <w:r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>,</w:t>
      </w: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 xml:space="preserve"> est</w:t>
      </w:r>
      <w:r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>os conceptos son</w:t>
      </w: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 xml:space="preserve"> </w:t>
      </w:r>
      <w:r w:rsidRPr="0045141B">
        <w:rPr>
          <w:rFonts w:ascii="Verdana" w:eastAsia="Arial" w:hAnsi="Verdana" w:cstheme="minorHAnsi"/>
          <w:b/>
          <w:color w:val="000000" w:themeColor="text1"/>
          <w:sz w:val="20"/>
          <w:szCs w:val="20"/>
          <w:u w:val="single"/>
        </w:rPr>
        <w:t>“ajustes razonables</w:t>
      </w:r>
      <w:r>
        <w:rPr>
          <w:rFonts w:ascii="Verdana" w:eastAsia="Arial" w:hAnsi="Verdana" w:cstheme="minorHAnsi"/>
          <w:b/>
          <w:color w:val="000000" w:themeColor="text1"/>
          <w:sz w:val="20"/>
          <w:szCs w:val="20"/>
          <w:u w:val="single"/>
        </w:rPr>
        <w:t xml:space="preserve"> y diseño universal”</w:t>
      </w: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 xml:space="preserve">, </w:t>
      </w:r>
      <w:r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>dicha</w:t>
      </w: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 xml:space="preserve"> convención en su artículo 2° </w:t>
      </w:r>
      <w:r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 xml:space="preserve">los </w:t>
      </w:r>
      <w:r w:rsidRPr="00F4666A">
        <w:rPr>
          <w:rFonts w:ascii="Verdana" w:eastAsia="Arial" w:hAnsi="Verdana" w:cstheme="minorHAnsi"/>
          <w:bCs/>
          <w:color w:val="000000" w:themeColor="text1"/>
          <w:sz w:val="20"/>
          <w:szCs w:val="20"/>
        </w:rPr>
        <w:t>define de la siguiente manera:</w:t>
      </w:r>
    </w:p>
    <w:p w14:paraId="3CC00D81" w14:textId="77777777" w:rsidR="002B1485" w:rsidRPr="00F4666A" w:rsidRDefault="002B1485" w:rsidP="002B14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2ED2D57F" w14:textId="77777777" w:rsidR="002B1485" w:rsidRPr="00F73C8E" w:rsidRDefault="002B1485" w:rsidP="002B14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F73C8E">
        <w:rPr>
          <w:rFonts w:ascii="Verdana" w:hAnsi="Verdana"/>
          <w:i/>
          <w:iCs/>
          <w:sz w:val="20"/>
          <w:szCs w:val="20"/>
        </w:rPr>
        <w:t xml:space="preserve">“Por “ajustes razonables” se entenderán las modificaciones y adaptaciones necesarias y adecuadas que no impongan una carga desproporcionada o indebida, cuando se requieran en un caso particular, para garantizar a las personas con discapacidad el goce o ejercicio, en igualdad de condiciones con las demás, de todos los derechos humanos y libertades fundamentales” </w:t>
      </w:r>
    </w:p>
    <w:p w14:paraId="6955357D" w14:textId="77777777" w:rsidR="002B1485" w:rsidRPr="00F73C8E" w:rsidRDefault="002B1485" w:rsidP="002B14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1B9075FD" w14:textId="3EA54452" w:rsidR="002B1485" w:rsidRDefault="002B1485" w:rsidP="002B14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F73C8E">
        <w:rPr>
          <w:i/>
          <w:iCs/>
        </w:rPr>
        <w:t xml:space="preserve">Por “diseño universal” se entenderá el diseño de productos, entornos, programas y servicios que puedan utilizar todas las personas, en la mayor medida posible, sin necesidad de adaptación ni diseño especializado. El “diseño universal” no excluirá las ayudas técnicas para grupos particulares </w:t>
      </w:r>
      <w:r w:rsidRPr="00F73C8E">
        <w:rPr>
          <w:i/>
          <w:iCs/>
        </w:rPr>
        <w:lastRenderedPageBreak/>
        <w:t>de personas con discapacidad, cuando se necesiten.</w:t>
      </w:r>
      <w:r w:rsidRPr="00F73C8E">
        <w:rPr>
          <w:rFonts w:ascii="Verdana" w:hAnsi="Verdana"/>
          <w:i/>
          <w:iCs/>
          <w:sz w:val="20"/>
          <w:szCs w:val="20"/>
        </w:rPr>
        <w:t>” (sic)</w:t>
      </w:r>
    </w:p>
    <w:p w14:paraId="653ACAF7" w14:textId="77777777" w:rsidR="002B1485" w:rsidRPr="002B1485" w:rsidRDefault="002B1485" w:rsidP="002B14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0AC5400C" w14:textId="01D20FDF" w:rsidR="002B1485" w:rsidRDefault="002B1485" w:rsidP="002B14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hAnsi="Verdana"/>
          <w:sz w:val="20"/>
          <w:szCs w:val="20"/>
        </w:rPr>
      </w:pPr>
      <w:r w:rsidRPr="00F4666A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forma</w:t>
      </w:r>
      <w:r w:rsidRPr="00F4666A">
        <w:rPr>
          <w:rFonts w:ascii="Verdana" w:hAnsi="Verdana"/>
          <w:sz w:val="20"/>
          <w:szCs w:val="20"/>
        </w:rPr>
        <w:t xml:space="preserve"> en la que se encuentra redactada la fracción </w:t>
      </w:r>
      <w:r>
        <w:rPr>
          <w:rFonts w:ascii="Verdana" w:hAnsi="Verdana"/>
          <w:sz w:val="20"/>
          <w:szCs w:val="20"/>
        </w:rPr>
        <w:t>a</w:t>
      </w:r>
      <w:r w:rsidRPr="00F4666A">
        <w:rPr>
          <w:rFonts w:ascii="Verdana" w:hAnsi="Verdana"/>
          <w:sz w:val="20"/>
          <w:szCs w:val="20"/>
        </w:rPr>
        <w:t xml:space="preserve"> reformar, no aborda de manera integral el objetivo de utilizar el término de la convención, además, en una primera instancia habla de promover y </w:t>
      </w:r>
      <w:r w:rsidRPr="003C39D5">
        <w:rPr>
          <w:rFonts w:ascii="Verdana" w:hAnsi="Verdana"/>
          <w:b/>
          <w:bCs/>
          <w:sz w:val="20"/>
          <w:szCs w:val="20"/>
          <w:u w:val="single"/>
        </w:rPr>
        <w:t>no de ejecutar acciones de manera directa</w:t>
      </w:r>
      <w:r w:rsidRPr="00F4666A">
        <w:rPr>
          <w:rFonts w:ascii="Verdana" w:hAnsi="Verdana"/>
          <w:sz w:val="20"/>
          <w:szCs w:val="20"/>
        </w:rPr>
        <w:t xml:space="preserve">, situación que </w:t>
      </w:r>
      <w:r>
        <w:rPr>
          <w:rFonts w:ascii="Verdana" w:hAnsi="Verdana"/>
          <w:sz w:val="20"/>
          <w:szCs w:val="20"/>
        </w:rPr>
        <w:t>los Estados parte de esa Convención deben adoptar</w:t>
      </w:r>
      <w:r w:rsidRPr="00F4666A">
        <w:rPr>
          <w:rFonts w:ascii="Verdana" w:hAnsi="Verdana"/>
          <w:sz w:val="20"/>
          <w:szCs w:val="20"/>
        </w:rPr>
        <w:t>, de acuerdo con la siguiente normativa: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1485" w:rsidRPr="00F4666A" w14:paraId="75C7D90C" w14:textId="77777777" w:rsidTr="008571B5">
        <w:tc>
          <w:tcPr>
            <w:tcW w:w="8828" w:type="dxa"/>
            <w:gridSpan w:val="2"/>
          </w:tcPr>
          <w:p w14:paraId="111F3884" w14:textId="77777777" w:rsidR="002B1485" w:rsidRPr="00F4666A" w:rsidRDefault="002B1485" w:rsidP="008571B5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4666A">
              <w:rPr>
                <w:rFonts w:ascii="Verdana" w:hAnsi="Verdana"/>
                <w:b/>
                <w:bCs/>
                <w:sz w:val="20"/>
                <w:szCs w:val="20"/>
              </w:rPr>
              <w:t>Convención Internacional Sobre los Derechos de Personas con Discapacidad</w:t>
            </w:r>
          </w:p>
        </w:tc>
      </w:tr>
      <w:tr w:rsidR="002B1485" w:rsidRPr="00F4666A" w14:paraId="10A49B99" w14:textId="77777777" w:rsidTr="008571B5">
        <w:trPr>
          <w:trHeight w:val="5093"/>
        </w:trPr>
        <w:tc>
          <w:tcPr>
            <w:tcW w:w="4414" w:type="dxa"/>
          </w:tcPr>
          <w:p w14:paraId="0EDE8AF0" w14:textId="77777777" w:rsidR="002B1485" w:rsidRPr="00F4666A" w:rsidRDefault="002B1485" w:rsidP="008571B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 xml:space="preserve">Obligaciones generales </w:t>
            </w:r>
          </w:p>
          <w:p w14:paraId="0A84CA1F" w14:textId="77777777" w:rsidR="002B1485" w:rsidRPr="00F4666A" w:rsidRDefault="002B1485" w:rsidP="008571B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 xml:space="preserve">1. Los Estados Partes se comprometen a asegurar y promover el pleno ejercicio de todos los derechos humanos y las libertades fundamentales de las personas con discapacidad sin discriminación alguna por motivos de discapacidad. A tal fin, los Estados Partes se comprometen a: </w:t>
            </w:r>
          </w:p>
          <w:p w14:paraId="234AABD4" w14:textId="77777777" w:rsidR="002B1485" w:rsidRPr="00F4666A" w:rsidRDefault="002B1485" w:rsidP="008571B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AEB012" w14:textId="77777777" w:rsidR="002B1485" w:rsidRPr="00F4666A" w:rsidRDefault="002B1485" w:rsidP="008571B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 xml:space="preserve">a) </w:t>
            </w:r>
            <w:r w:rsidRPr="00F4666A">
              <w:rPr>
                <w:rFonts w:ascii="Verdana" w:hAnsi="Verdana"/>
                <w:sz w:val="20"/>
                <w:szCs w:val="20"/>
                <w:u w:val="single"/>
              </w:rPr>
              <w:t>Adoptar todas las medidas legislativas, administrativas y de otra índole que sean pertinentes para hacer efectivos los derechos reconocidos en la presente Convención;</w:t>
            </w:r>
            <w:r w:rsidRPr="00F466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2A56408" w14:textId="77777777" w:rsidR="002B1485" w:rsidRPr="00F4666A" w:rsidRDefault="002B1485" w:rsidP="008571B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 xml:space="preserve">b) Tomar todas las medidas pertinentes, incluidas medidas legislativas, para modificar o derogar leyes, reglamentos, costumbres y prácticas existentes que constituyan discriminación contra las personas con discapacidad; </w:t>
            </w:r>
          </w:p>
        </w:tc>
        <w:tc>
          <w:tcPr>
            <w:tcW w:w="4414" w:type="dxa"/>
          </w:tcPr>
          <w:p w14:paraId="1DFB30F2" w14:textId="77777777" w:rsidR="002B1485" w:rsidRPr="00F4666A" w:rsidRDefault="002B1485" w:rsidP="00857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 xml:space="preserve">Artículo 5. Igualdad y no discriminación </w:t>
            </w:r>
          </w:p>
          <w:p w14:paraId="48917A91" w14:textId="77777777" w:rsidR="002B1485" w:rsidRPr="00F4666A" w:rsidRDefault="002B1485" w:rsidP="00857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 xml:space="preserve">1. Los Estados Partes reconocen que todas las personas son iguales ante la ley y en virtud de ella, y que tienen derecho a igual protección legal y a beneficiarse de la ley en igual medida sin discriminación alguna. </w:t>
            </w:r>
          </w:p>
          <w:p w14:paraId="1017E9E4" w14:textId="77777777" w:rsidR="002B1485" w:rsidRPr="00F4666A" w:rsidRDefault="002B1485" w:rsidP="00857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 xml:space="preserve">2. Los Estados Partes prohibirán toda discriminación por motivos de discapacidad y garantizarán a todas las personas con discapacidad protección legal igual y efectiva contra la discriminación por cualquier motivo. </w:t>
            </w:r>
          </w:p>
          <w:p w14:paraId="007481CF" w14:textId="77777777" w:rsidR="002B1485" w:rsidRPr="00F4666A" w:rsidRDefault="002B1485" w:rsidP="00857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 xml:space="preserve">3. A fin de promover la igualdad y eliminar la discriminación, los Estados Partes </w:t>
            </w:r>
            <w:r w:rsidRPr="00F4666A">
              <w:rPr>
                <w:rFonts w:ascii="Verdana" w:hAnsi="Verdana"/>
                <w:sz w:val="20"/>
                <w:szCs w:val="20"/>
                <w:u w:val="single"/>
              </w:rPr>
              <w:t>adoptarán todas las medidas pertinentes para asegurar la realización de ajustes razonables.</w:t>
            </w:r>
          </w:p>
        </w:tc>
      </w:tr>
    </w:tbl>
    <w:p w14:paraId="4DC4E157" w14:textId="77777777" w:rsidR="002B1485" w:rsidRDefault="002B1485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5998ADB8" w14:textId="7D4B533A" w:rsidR="000E1FBE" w:rsidRPr="00F4666A" w:rsidRDefault="000E1FBE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En México hay una población de 4 millones 212 mil 868 personas con discapacidad de 12 años y más, las cuales representan un aproximado del 3.3% de la población total. Y desgraciadamente, día a día en su vida normal dentro de la sociedad se enfrentan a muchas barreras, lo cual les hace caer en la clasificación de grupo vulnerado, a los que entendemos como aquellas que requieren un mecanismo de protección adicional dado a que por alguna circunstancia o condición sufren más limitaciones en cuestión al acceso de sus derechos humanos, y para poder equilibrar su panorama se deben ejercer, desde la administración pública y el Estado, medidas que subsanen las deficiencias que ya tiene la sociedad para ellas. </w:t>
      </w:r>
    </w:p>
    <w:p w14:paraId="05C88BEF" w14:textId="77777777" w:rsidR="002B1485" w:rsidRDefault="000E1FBE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Pese a que las personas con discapacidad se enfrentan a una gran cantidad de problemáticas para el ejercicio digno y completo a sus derechos humanos, de acuerdo </w:t>
      </w:r>
    </w:p>
    <w:p w14:paraId="7FC5D739" w14:textId="77777777" w:rsidR="002B1485" w:rsidRDefault="002B1485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45D901E7" w14:textId="77777777" w:rsidR="002B1485" w:rsidRDefault="002B1485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519B9A62" w14:textId="77777777" w:rsidR="002B1485" w:rsidRDefault="000E1FBE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co</w:t>
      </w:r>
      <w:r w:rsidR="005F676C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n</w:t>
      </w: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 </w:t>
      </w:r>
      <w:r w:rsidR="005F676C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la Encuesta Nacional sobre Discriminación (ENADIS) 2022</w:t>
      </w:r>
      <w:r w:rsidR="005F676C" w:rsidRPr="00F4666A">
        <w:rPr>
          <w:rStyle w:val="Refdenotaalpie"/>
          <w:rFonts w:ascii="Verdana" w:eastAsia="Verdana" w:hAnsi="Verdana" w:cstheme="minorHAnsi"/>
          <w:bCs/>
          <w:color w:val="000000" w:themeColor="text1"/>
          <w:sz w:val="20"/>
          <w:szCs w:val="20"/>
        </w:rPr>
        <w:footnoteReference w:id="1"/>
      </w:r>
      <w:r w:rsidR="005F676C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, elaborada por el Instituto Nacional de Estadística y Geografía (INEGI) en colaboración con el Consejo Nacional para Prevenir la Discriminación (CONAPRED) y la Comisión Nacional de los Derechos Humanos (CNDH), la principal problemática percibida por las personas con discapacidad es que las las calles, instalaciones y transportes son inadecuados a sus condiciones. Tal y como se demuestra en la siguiente grafica tomada de la encuesta:</w:t>
      </w:r>
    </w:p>
    <w:p w14:paraId="3D659746" w14:textId="312ACA31" w:rsidR="00C83EEA" w:rsidRDefault="0077240C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noProof/>
          <w:color w:val="000000" w:themeColor="text1"/>
          <w:sz w:val="20"/>
          <w:szCs w:val="20"/>
        </w:rPr>
        <w:drawing>
          <wp:inline distT="0" distB="0" distL="0" distR="0" wp14:anchorId="3109EEF3" wp14:editId="13DB6D5C">
            <wp:extent cx="5612130" cy="3103880"/>
            <wp:effectExtent l="0" t="0" r="7620" b="1270"/>
            <wp:docPr id="2051375160" name="Imagen 1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75160" name="Imagen 1" descr="Imagen que contiene Escala de tiem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F0D66" w14:textId="689B9058" w:rsidR="005F676C" w:rsidRPr="00F4666A" w:rsidRDefault="005F676C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Ahora, con respecto al Estado de Chihuahua, existen los siguientes datos </w:t>
      </w:r>
      <w:r w:rsidR="00F4666A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con relación a</w:t>
      </w: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 la población de personas con discapacidad: </w:t>
      </w:r>
    </w:p>
    <w:p w14:paraId="0C54B656" w14:textId="459C772A" w:rsidR="005F676C" w:rsidRPr="00F4666A" w:rsidRDefault="00E676EB" w:rsidP="00F4666A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De acuerdo con información del Instituto Nacional de Estadística, Geografía e Informática (INEGI) en el estado </w:t>
      </w:r>
      <w:r w:rsidR="00A9736B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de Chihuahua, 167</w:t>
      </w:r>
      <w:r w:rsidR="00441D5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,</w:t>
      </w:r>
      <w:r w:rsidR="00A9736B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788 personas se identificaron como población con discapacidad y representan 4.5% del total de la población de la entidad federativa;</w:t>
      </w:r>
    </w:p>
    <w:p w14:paraId="6E7F1242" w14:textId="77777777" w:rsidR="00441D5A" w:rsidRDefault="005F676C" w:rsidP="00F4666A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En Chihuahua hay más</w:t>
      </w:r>
      <w:r w:rsidR="00A9736B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 mujeres</w:t>
      </w:r>
      <w:r w:rsidR="00441D5A" w:rsidRPr="00441D5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 </w:t>
      </w:r>
      <w:r w:rsidR="00441D5A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que hombres</w:t>
      </w: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 con discapacidad</w:t>
      </w:r>
      <w:r w:rsidR="00A9736B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 </w:t>
      </w:r>
    </w:p>
    <w:p w14:paraId="2B8A9C9C" w14:textId="5AE3E4EE" w:rsidR="005F676C" w:rsidRPr="00F4666A" w:rsidRDefault="00441D5A" w:rsidP="00441D5A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Mujeres: </w:t>
      </w:r>
      <w:r w:rsidR="00A9736B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53.7%</w:t>
      </w:r>
      <w:r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   Hombres: </w:t>
      </w:r>
      <w:r w:rsidR="00A9736B"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46.3 </w:t>
      </w:r>
      <w:r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%</w:t>
      </w:r>
    </w:p>
    <w:p w14:paraId="518717C8" w14:textId="42FFE475" w:rsidR="006568C3" w:rsidRPr="00F4666A" w:rsidRDefault="00A9736B" w:rsidP="00F4666A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El municipio con mayor proporción de personas con discapacidad es San Francisco </w:t>
      </w: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lastRenderedPageBreak/>
        <w:t xml:space="preserve">de Borja con 11.8 por ciento. </w:t>
      </w:r>
      <w:r w:rsidRPr="00F4666A">
        <w:rPr>
          <w:rStyle w:val="Refdenotaalpie"/>
          <w:rFonts w:ascii="Verdana" w:eastAsia="Verdana" w:hAnsi="Verdana" w:cstheme="minorHAnsi"/>
          <w:bCs/>
          <w:color w:val="000000" w:themeColor="text1"/>
          <w:sz w:val="20"/>
          <w:szCs w:val="20"/>
        </w:rPr>
        <w:footnoteReference w:id="2"/>
      </w:r>
    </w:p>
    <w:p w14:paraId="38D519EC" w14:textId="61A7CE96" w:rsidR="00C83EEA" w:rsidRPr="00C83EEA" w:rsidRDefault="005F676C" w:rsidP="00C83EEA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>La distribución de personas con discapacidad de todo el Estado, esta de la siguiente manera:</w:t>
      </w:r>
    </w:p>
    <w:p w14:paraId="02F069D5" w14:textId="77777777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3EAB2863" w14:textId="77777777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77C2DB27" w14:textId="77777777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059C5A18" w14:textId="1E944E0B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 wp14:anchorId="7CFBAFAE" wp14:editId="1FEE4C06">
            <wp:simplePos x="0" y="0"/>
            <wp:positionH relativeFrom="column">
              <wp:posOffset>967105</wp:posOffset>
            </wp:positionH>
            <wp:positionV relativeFrom="paragraph">
              <wp:posOffset>-636905</wp:posOffset>
            </wp:positionV>
            <wp:extent cx="4428475" cy="3315275"/>
            <wp:effectExtent l="0" t="0" r="0" b="0"/>
            <wp:wrapNone/>
            <wp:docPr id="16345173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75" cy="331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E4709" w14:textId="77777777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4471979C" w14:textId="77777777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19A73EBD" w14:textId="77777777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72E99EBB" w14:textId="77777777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2554E803" w14:textId="77777777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7CE67B29" w14:textId="3A82AFEC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7456122D" w14:textId="256086CA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031FB0FA" w14:textId="71D52622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5514F74A" w14:textId="25A98694" w:rsidR="00C83EEA" w:rsidRDefault="00C83EEA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39664456" w14:textId="77777777" w:rsidR="005B22E4" w:rsidRDefault="005B22E4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</w:p>
    <w:p w14:paraId="6518C6CC" w14:textId="028F700E" w:rsidR="002B1485" w:rsidRPr="00F4666A" w:rsidRDefault="005F676C" w:rsidP="00F466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 w:rsidRPr="00F4666A">
        <w:rPr>
          <w:rFonts w:ascii="Verdana" w:eastAsia="Verdana" w:hAnsi="Verdana" w:cstheme="minorHAnsi"/>
          <w:bCs/>
          <w:color w:val="000000" w:themeColor="text1"/>
          <w:sz w:val="20"/>
          <w:szCs w:val="20"/>
        </w:rPr>
        <w:t xml:space="preserve">Conociendo la información anterior, en el presente proyecto se propone reformar la Ley para Prevenir y Erradicar la Discriminación, como se muestra en el siguiente cuadro comparativo: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731F5" w:rsidRPr="00F4666A" w14:paraId="601C698D" w14:textId="77777777" w:rsidTr="00DC40A7">
        <w:tc>
          <w:tcPr>
            <w:tcW w:w="8828" w:type="dxa"/>
            <w:gridSpan w:val="2"/>
          </w:tcPr>
          <w:p w14:paraId="454AC2B5" w14:textId="3A6B026F" w:rsidR="008731F5" w:rsidRPr="00F4666A" w:rsidRDefault="008731F5" w:rsidP="00F466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466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Ley para Prevenir y Erradicar la Discriminación del Estado de Chihuahua</w:t>
            </w:r>
          </w:p>
        </w:tc>
      </w:tr>
      <w:tr w:rsidR="00131D70" w:rsidRPr="00F4666A" w14:paraId="0CF092F3" w14:textId="77777777" w:rsidTr="008731F5">
        <w:tc>
          <w:tcPr>
            <w:tcW w:w="4414" w:type="dxa"/>
          </w:tcPr>
          <w:p w14:paraId="2554F8A2" w14:textId="77F5F9E1" w:rsidR="00131D70" w:rsidRPr="00F4666A" w:rsidRDefault="00131D70" w:rsidP="00F466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>Texto actual</w:t>
            </w:r>
          </w:p>
        </w:tc>
        <w:tc>
          <w:tcPr>
            <w:tcW w:w="4414" w:type="dxa"/>
          </w:tcPr>
          <w:p w14:paraId="47D336F8" w14:textId="47170471" w:rsidR="00131D70" w:rsidRPr="00F4666A" w:rsidRDefault="00131D70" w:rsidP="00F4666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666A">
              <w:rPr>
                <w:rFonts w:ascii="Verdana" w:hAnsi="Verdana" w:cs="Arial"/>
                <w:sz w:val="20"/>
                <w:szCs w:val="20"/>
              </w:rPr>
              <w:t>Reforma</w:t>
            </w:r>
          </w:p>
        </w:tc>
      </w:tr>
      <w:tr w:rsidR="008731F5" w:rsidRPr="00F4666A" w14:paraId="1D604267" w14:textId="77777777" w:rsidTr="008731F5">
        <w:tc>
          <w:tcPr>
            <w:tcW w:w="4414" w:type="dxa"/>
          </w:tcPr>
          <w:p w14:paraId="76F91A8D" w14:textId="4C4609C1" w:rsidR="00C83EEA" w:rsidRDefault="00131D70" w:rsidP="00F466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t>Artículo 13. Los órganos públicos, las autoridades estatales y municipales, en el ámbito de su competencia, llevarán a cabo, entre otras, las siguientes medidas de nivelación, medidas de inclusión y acciones afirmativas a favor de la igualdad sustantiva para las personas con discapacidad:</w:t>
            </w:r>
          </w:p>
          <w:p w14:paraId="3D0A3139" w14:textId="72CE7F5D" w:rsidR="00131D70" w:rsidRPr="00F4666A" w:rsidRDefault="00131D70" w:rsidP="00F4666A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F4666A">
              <w:rPr>
                <w:rFonts w:ascii="Verdana" w:hAnsi="Verdana"/>
                <w:sz w:val="20"/>
                <w:szCs w:val="20"/>
              </w:rPr>
              <w:lastRenderedPageBreak/>
              <w:t xml:space="preserve">XI. </w:t>
            </w:r>
            <w:r w:rsidRPr="00F4666A">
              <w:rPr>
                <w:rFonts w:ascii="Verdana" w:hAnsi="Verdana"/>
                <w:strike/>
                <w:sz w:val="20"/>
                <w:szCs w:val="20"/>
              </w:rPr>
              <w:t>Promover que todos los espacios e inmuebles públicos o que presten servicios al público, tengan las adecuaciones físicas y de señalización para su acceso, libre desplazamiento y uso,</w:t>
            </w:r>
            <w:r w:rsidRPr="00F4666A">
              <w:rPr>
                <w:rFonts w:ascii="Verdana" w:hAnsi="Verdana"/>
                <w:sz w:val="20"/>
                <w:szCs w:val="20"/>
              </w:rPr>
              <w:t xml:space="preserve"> así como para que se permita en ellos el ingreso a los perros de asistencia de las personas que requieran de su apoyo;</w:t>
            </w:r>
          </w:p>
        </w:tc>
        <w:tc>
          <w:tcPr>
            <w:tcW w:w="4414" w:type="dxa"/>
          </w:tcPr>
          <w:p w14:paraId="3FF4058D" w14:textId="5DF99E98" w:rsidR="00C83EEA" w:rsidRDefault="00131D70" w:rsidP="00F4666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4666A">
              <w:rPr>
                <w:rFonts w:ascii="Verdana" w:hAnsi="Verdana" w:cs="Arial"/>
                <w:sz w:val="20"/>
                <w:szCs w:val="20"/>
              </w:rPr>
              <w:lastRenderedPageBreak/>
              <w:t>Artículo 13. Los órganos públicos, las autoridades estatales y municipales, en el ámbito de su competencia, llevarán a cabo, entre otras, las siguientes medidas de nivelación, medidas de inclusión y acciones afirmativas a favor de la igualdad sustantiva para las personas con discapacidad:</w:t>
            </w:r>
          </w:p>
          <w:p w14:paraId="4B0F19DE" w14:textId="58C634F9" w:rsidR="008731F5" w:rsidRPr="00F4666A" w:rsidRDefault="00131D70" w:rsidP="00F4666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4666A">
              <w:rPr>
                <w:rFonts w:ascii="Verdana" w:hAnsi="Verdana" w:cs="Arial"/>
                <w:sz w:val="20"/>
                <w:szCs w:val="20"/>
              </w:rPr>
              <w:lastRenderedPageBreak/>
              <w:t xml:space="preserve">XI. </w:t>
            </w:r>
            <w:r w:rsidRPr="00F4666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Efectuar las acciones necesarias para que tanto el entorno urbano, como las instalaciones de todos los inmuebles públicos implementen los </w:t>
            </w:r>
            <w:r w:rsidRPr="00441D5A">
              <w:rPr>
                <w:rFonts w:ascii="Verdana" w:hAnsi="Verdana" w:cs="Arial"/>
                <w:b/>
                <w:bCs/>
                <w:sz w:val="20"/>
                <w:szCs w:val="20"/>
              </w:rPr>
              <w:t>ajustes razonables</w:t>
            </w:r>
            <w:r w:rsidR="00E725A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con diseño universal</w:t>
            </w:r>
            <w:r w:rsidR="00CD0E38">
              <w:rPr>
                <w:rFonts w:ascii="Verdana" w:hAnsi="Verdana" w:cs="Arial"/>
                <w:b/>
                <w:bCs/>
                <w:sz w:val="20"/>
                <w:szCs w:val="20"/>
              </w:rPr>
              <w:t>,</w:t>
            </w:r>
            <w:r w:rsidRPr="00441D5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para garantizar el</w:t>
            </w:r>
            <w:r w:rsidRPr="00F4666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acceso y libre desplazamiento de las personas con discapacidad</w:t>
            </w:r>
            <w:r w:rsidRPr="00F4666A">
              <w:rPr>
                <w:rFonts w:ascii="Verdana" w:hAnsi="Verdana" w:cs="Arial"/>
                <w:sz w:val="20"/>
                <w:szCs w:val="20"/>
              </w:rPr>
              <w:t>; así como para que se permita en ellos el ingreso a los perros de asistencia de las personas que requieran de su apoyo;</w:t>
            </w:r>
          </w:p>
        </w:tc>
      </w:tr>
    </w:tbl>
    <w:p w14:paraId="2259F4E7" w14:textId="77777777" w:rsidR="00F73C8E" w:rsidRPr="00F4666A" w:rsidRDefault="00F73C8E" w:rsidP="002B1485">
      <w:pPr>
        <w:spacing w:line="240" w:lineRule="auto"/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</w:p>
    <w:p w14:paraId="1F932918" w14:textId="30CC8A5B" w:rsidR="006568C3" w:rsidRDefault="006568C3" w:rsidP="00F4666A">
      <w:pPr>
        <w:spacing w:line="240" w:lineRule="auto"/>
        <w:jc w:val="both"/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  <w:r w:rsidRPr="00F4666A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Por lo anteriormente expuesto, me permito someter a consideración de esta Soberanía, </w:t>
      </w:r>
      <w:r w:rsidR="00211B63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la presente Iniciativa</w:t>
      </w:r>
      <w:r w:rsidRPr="00F4666A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 con carácter de:</w:t>
      </w:r>
    </w:p>
    <w:p w14:paraId="31E481B7" w14:textId="77777777" w:rsidR="00211B63" w:rsidRPr="002B3284" w:rsidRDefault="00211B63" w:rsidP="00F4666A">
      <w:pPr>
        <w:spacing w:line="240" w:lineRule="auto"/>
        <w:jc w:val="both"/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</w:p>
    <w:p w14:paraId="111FC47A" w14:textId="1EBF6D30" w:rsidR="009F0E43" w:rsidRPr="00F4666A" w:rsidRDefault="009F0E43" w:rsidP="00F4666A">
      <w:pPr>
        <w:spacing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F4666A">
        <w:rPr>
          <w:rFonts w:ascii="Verdana" w:hAnsi="Verdana" w:cstheme="minorHAnsi"/>
          <w:b/>
          <w:bCs/>
          <w:sz w:val="20"/>
          <w:szCs w:val="20"/>
        </w:rPr>
        <w:t>D</w:t>
      </w:r>
      <w:r w:rsidR="00211B6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F4666A">
        <w:rPr>
          <w:rFonts w:ascii="Verdana" w:hAnsi="Verdana" w:cstheme="minorHAnsi"/>
          <w:b/>
          <w:bCs/>
          <w:sz w:val="20"/>
          <w:szCs w:val="20"/>
        </w:rPr>
        <w:t>E</w:t>
      </w:r>
      <w:r w:rsidR="00211B6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F4666A">
        <w:rPr>
          <w:rFonts w:ascii="Verdana" w:hAnsi="Verdana" w:cstheme="minorHAnsi"/>
          <w:b/>
          <w:bCs/>
          <w:sz w:val="20"/>
          <w:szCs w:val="20"/>
        </w:rPr>
        <w:t>C</w:t>
      </w:r>
      <w:r w:rsidR="00211B6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F4666A">
        <w:rPr>
          <w:rFonts w:ascii="Verdana" w:hAnsi="Verdana" w:cstheme="minorHAnsi"/>
          <w:b/>
          <w:bCs/>
          <w:sz w:val="20"/>
          <w:szCs w:val="20"/>
        </w:rPr>
        <w:t>R</w:t>
      </w:r>
      <w:r w:rsidR="00211B6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F4666A">
        <w:rPr>
          <w:rFonts w:ascii="Verdana" w:hAnsi="Verdana" w:cstheme="minorHAnsi"/>
          <w:b/>
          <w:bCs/>
          <w:sz w:val="20"/>
          <w:szCs w:val="20"/>
        </w:rPr>
        <w:t>E</w:t>
      </w:r>
      <w:r w:rsidR="00211B6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F4666A">
        <w:rPr>
          <w:rFonts w:ascii="Verdana" w:hAnsi="Verdana" w:cstheme="minorHAnsi"/>
          <w:b/>
          <w:bCs/>
          <w:sz w:val="20"/>
          <w:szCs w:val="20"/>
        </w:rPr>
        <w:t>T</w:t>
      </w:r>
      <w:r w:rsidR="00211B6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F4666A">
        <w:rPr>
          <w:rFonts w:ascii="Verdana" w:hAnsi="Verdana" w:cstheme="minorHAnsi"/>
          <w:b/>
          <w:bCs/>
          <w:sz w:val="20"/>
          <w:szCs w:val="20"/>
        </w:rPr>
        <w:t>O</w:t>
      </w:r>
    </w:p>
    <w:p w14:paraId="0F1D010D" w14:textId="77777777" w:rsidR="00211B63" w:rsidRDefault="00211B63" w:rsidP="00F4666A">
      <w:pPr>
        <w:spacing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1EDC1D98" w14:textId="39061D92" w:rsidR="009F0E43" w:rsidRDefault="00583216" w:rsidP="00F4666A">
      <w:pPr>
        <w:spacing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ÚNICO</w:t>
      </w:r>
      <w:r w:rsidR="006568C3" w:rsidRPr="00F4666A">
        <w:rPr>
          <w:rFonts w:ascii="Verdana" w:hAnsi="Verdana" w:cstheme="minorHAnsi"/>
          <w:b/>
          <w:bCs/>
          <w:sz w:val="20"/>
          <w:szCs w:val="20"/>
        </w:rPr>
        <w:t>.-</w:t>
      </w:r>
      <w:r w:rsidR="006568C3" w:rsidRPr="00F4666A">
        <w:rPr>
          <w:rFonts w:ascii="Verdana" w:hAnsi="Verdana" w:cstheme="minorHAnsi"/>
          <w:sz w:val="20"/>
          <w:szCs w:val="20"/>
        </w:rPr>
        <w:t xml:space="preserve">  </w:t>
      </w:r>
      <w:r w:rsidR="006568C3" w:rsidRPr="00F4666A">
        <w:rPr>
          <w:rFonts w:ascii="Verdana" w:hAnsi="Verdana"/>
          <w:sz w:val="20"/>
          <w:szCs w:val="20"/>
        </w:rPr>
        <w:t>L</w:t>
      </w:r>
      <w:r w:rsidR="00211B63">
        <w:rPr>
          <w:rFonts w:ascii="Verdana" w:hAnsi="Verdana"/>
          <w:sz w:val="20"/>
          <w:szCs w:val="20"/>
        </w:rPr>
        <w:t>a</w:t>
      </w:r>
      <w:r w:rsidR="006568C3" w:rsidRPr="00F4666A">
        <w:rPr>
          <w:rFonts w:ascii="Verdana" w:hAnsi="Verdana"/>
          <w:sz w:val="20"/>
          <w:szCs w:val="20"/>
        </w:rPr>
        <w:t xml:space="preserve"> S</w:t>
      </w:r>
      <w:r w:rsidR="00211B63" w:rsidRPr="00F4666A">
        <w:rPr>
          <w:rFonts w:ascii="Verdana" w:hAnsi="Verdana"/>
          <w:sz w:val="20"/>
          <w:szCs w:val="20"/>
        </w:rPr>
        <w:t>exagésima</w:t>
      </w:r>
      <w:r w:rsidR="006568C3" w:rsidRPr="00F4666A">
        <w:rPr>
          <w:rFonts w:ascii="Verdana" w:hAnsi="Verdana"/>
          <w:sz w:val="20"/>
          <w:szCs w:val="20"/>
        </w:rPr>
        <w:t xml:space="preserve"> O</w:t>
      </w:r>
      <w:r w:rsidR="00211B63" w:rsidRPr="00F4666A">
        <w:rPr>
          <w:rFonts w:ascii="Verdana" w:hAnsi="Verdana"/>
          <w:sz w:val="20"/>
          <w:szCs w:val="20"/>
        </w:rPr>
        <w:t>ctava</w:t>
      </w:r>
      <w:r w:rsidR="006568C3" w:rsidRPr="00F4666A">
        <w:rPr>
          <w:rFonts w:ascii="Verdana" w:hAnsi="Verdana"/>
          <w:sz w:val="20"/>
          <w:szCs w:val="20"/>
        </w:rPr>
        <w:t xml:space="preserve"> </w:t>
      </w:r>
      <w:r w:rsidR="00211B63">
        <w:rPr>
          <w:rFonts w:ascii="Verdana" w:hAnsi="Verdana"/>
          <w:sz w:val="20"/>
          <w:szCs w:val="20"/>
        </w:rPr>
        <w:t>L</w:t>
      </w:r>
      <w:r w:rsidR="00211B63" w:rsidRPr="00F4666A">
        <w:rPr>
          <w:rFonts w:ascii="Verdana" w:hAnsi="Verdana"/>
          <w:sz w:val="20"/>
          <w:szCs w:val="20"/>
        </w:rPr>
        <w:t xml:space="preserve">egislatura del </w:t>
      </w:r>
      <w:r w:rsidR="00211B63">
        <w:rPr>
          <w:rFonts w:ascii="Verdana" w:hAnsi="Verdana"/>
          <w:sz w:val="20"/>
          <w:szCs w:val="20"/>
        </w:rPr>
        <w:t>H</w:t>
      </w:r>
      <w:r w:rsidR="00211B63" w:rsidRPr="00F4666A">
        <w:rPr>
          <w:rFonts w:ascii="Verdana" w:hAnsi="Verdana"/>
          <w:sz w:val="20"/>
          <w:szCs w:val="20"/>
        </w:rPr>
        <w:t xml:space="preserve">. </w:t>
      </w:r>
      <w:r w:rsidR="00211B63">
        <w:rPr>
          <w:rFonts w:ascii="Verdana" w:hAnsi="Verdana"/>
          <w:sz w:val="20"/>
          <w:szCs w:val="20"/>
        </w:rPr>
        <w:t>C</w:t>
      </w:r>
      <w:r w:rsidR="00211B63" w:rsidRPr="00F4666A">
        <w:rPr>
          <w:rFonts w:ascii="Verdana" w:hAnsi="Verdana"/>
          <w:sz w:val="20"/>
          <w:szCs w:val="20"/>
        </w:rPr>
        <w:t xml:space="preserve">ongreso del </w:t>
      </w:r>
      <w:r w:rsidR="00211B63">
        <w:rPr>
          <w:rFonts w:ascii="Verdana" w:hAnsi="Verdana"/>
          <w:sz w:val="20"/>
          <w:szCs w:val="20"/>
        </w:rPr>
        <w:t>E</w:t>
      </w:r>
      <w:r w:rsidR="00211B63" w:rsidRPr="00F4666A">
        <w:rPr>
          <w:rFonts w:ascii="Verdana" w:hAnsi="Verdana"/>
          <w:sz w:val="20"/>
          <w:szCs w:val="20"/>
        </w:rPr>
        <w:t xml:space="preserve">stado de </w:t>
      </w:r>
      <w:r w:rsidR="00211B63">
        <w:rPr>
          <w:rFonts w:ascii="Verdana" w:hAnsi="Verdana"/>
          <w:sz w:val="20"/>
          <w:szCs w:val="20"/>
        </w:rPr>
        <w:t>C</w:t>
      </w:r>
      <w:r w:rsidR="00211B63" w:rsidRPr="00F4666A">
        <w:rPr>
          <w:rFonts w:ascii="Verdana" w:hAnsi="Verdana"/>
          <w:sz w:val="20"/>
          <w:szCs w:val="20"/>
        </w:rPr>
        <w:t>hihuahua</w:t>
      </w:r>
      <w:r w:rsidR="006568C3" w:rsidRPr="00F4666A">
        <w:rPr>
          <w:rFonts w:ascii="Verdana" w:hAnsi="Verdana" w:cstheme="minorHAnsi"/>
          <w:sz w:val="20"/>
          <w:szCs w:val="20"/>
        </w:rPr>
        <w:t xml:space="preserve"> </w:t>
      </w:r>
      <w:r w:rsidR="009F0E43" w:rsidRPr="00F4666A">
        <w:rPr>
          <w:rFonts w:ascii="Verdana" w:hAnsi="Verdana" w:cstheme="minorHAnsi"/>
          <w:b/>
          <w:bCs/>
          <w:sz w:val="20"/>
          <w:szCs w:val="20"/>
        </w:rPr>
        <w:t xml:space="preserve">REFORMA Y ADICIONA EL ARTÍCULO 13, FRACCIÓN XI DE LA LEY PARA PREVENIR Y </w:t>
      </w:r>
      <w:r w:rsidR="009F0E43" w:rsidRPr="00F4517C">
        <w:rPr>
          <w:rFonts w:ascii="Verdana" w:hAnsi="Verdana" w:cstheme="minorHAnsi"/>
          <w:b/>
          <w:bCs/>
          <w:sz w:val="20"/>
          <w:szCs w:val="20"/>
        </w:rPr>
        <w:t>ERRADICAR LA DISCRIMINACIÓN DEL ESTADO DE CHIHUAHUA</w:t>
      </w:r>
      <w:r w:rsidR="00F4517C" w:rsidRPr="00F4517C">
        <w:rPr>
          <w:rFonts w:ascii="Verdana" w:hAnsi="Verdana" w:cstheme="minorHAnsi"/>
          <w:b/>
          <w:bCs/>
          <w:sz w:val="20"/>
          <w:szCs w:val="20"/>
        </w:rPr>
        <w:t>;</w:t>
      </w:r>
      <w:r w:rsidR="00F4517C" w:rsidRPr="00F4517C">
        <w:rPr>
          <w:rFonts w:ascii="Verdana" w:hAnsi="Verdana" w:cstheme="minorHAnsi"/>
          <w:sz w:val="20"/>
          <w:szCs w:val="20"/>
        </w:rPr>
        <w:t xml:space="preserve"> para quedar redactado como se señala a continuación:</w:t>
      </w:r>
      <w:r w:rsidR="00F4517C">
        <w:rPr>
          <w:rFonts w:ascii="Verdana" w:hAnsi="Verdana" w:cstheme="minorHAnsi"/>
          <w:sz w:val="20"/>
          <w:szCs w:val="20"/>
        </w:rPr>
        <w:t xml:space="preserve"> </w:t>
      </w:r>
    </w:p>
    <w:p w14:paraId="6902B75F" w14:textId="53CA8ACC" w:rsidR="00211B63" w:rsidRDefault="00211B63" w:rsidP="00F4666A">
      <w:pPr>
        <w:spacing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B38293D" w14:textId="69C54920" w:rsidR="002B1485" w:rsidRPr="00F117CE" w:rsidRDefault="00F117CE" w:rsidP="002B1485">
      <w:pPr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b/>
          <w:bCs/>
          <w:i/>
          <w:iCs/>
          <w:sz w:val="20"/>
          <w:szCs w:val="20"/>
        </w:rPr>
        <w:t>“</w:t>
      </w:r>
      <w:r w:rsidR="002B1485" w:rsidRPr="00F117CE">
        <w:rPr>
          <w:rFonts w:ascii="Verdana" w:hAnsi="Verdana" w:cs="Arial"/>
          <w:b/>
          <w:bCs/>
          <w:i/>
          <w:iCs/>
          <w:sz w:val="20"/>
          <w:szCs w:val="20"/>
        </w:rPr>
        <w:t xml:space="preserve">Artículo 13.- </w:t>
      </w:r>
      <w:r w:rsidR="002B1485" w:rsidRPr="00F117CE">
        <w:rPr>
          <w:rFonts w:ascii="Verdana" w:hAnsi="Verdana" w:cs="Arial"/>
          <w:i/>
          <w:iCs/>
          <w:sz w:val="20"/>
          <w:szCs w:val="20"/>
        </w:rPr>
        <w:t>Los órganos públicos, las autoridades estatales y municipales, en el ámbito de su competencia, llevarán a cabo, entre otras, las siguientes medidas de nivelación, medidas de inclusión y acciones afirmativas a favor de la igualdad sustantiva para las personas con discapacidad:</w:t>
      </w:r>
    </w:p>
    <w:p w14:paraId="23F0B500" w14:textId="5982CAEB" w:rsidR="002B1485" w:rsidRPr="00F117CE" w:rsidRDefault="00583216" w:rsidP="002B1485">
      <w:pPr>
        <w:jc w:val="both"/>
        <w:rPr>
          <w:rFonts w:ascii="Verdana" w:hAnsi="Verdana" w:cs="Arial"/>
          <w:i/>
          <w:iCs/>
          <w:sz w:val="20"/>
          <w:szCs w:val="20"/>
        </w:rPr>
      </w:pPr>
      <w:r w:rsidRPr="00F117CE">
        <w:rPr>
          <w:rFonts w:ascii="Verdana" w:hAnsi="Verdana" w:cs="Arial"/>
          <w:i/>
          <w:iCs/>
          <w:sz w:val="20"/>
          <w:szCs w:val="20"/>
        </w:rPr>
        <w:t>I…</w:t>
      </w:r>
    </w:p>
    <w:p w14:paraId="38CFE68D" w14:textId="0DFAF148" w:rsidR="00583216" w:rsidRPr="00F117CE" w:rsidRDefault="00583216" w:rsidP="002B1485">
      <w:pPr>
        <w:jc w:val="both"/>
        <w:rPr>
          <w:rFonts w:ascii="Verdana" w:hAnsi="Verdana" w:cs="Arial"/>
          <w:i/>
          <w:iCs/>
          <w:sz w:val="20"/>
          <w:szCs w:val="20"/>
        </w:rPr>
      </w:pPr>
      <w:r w:rsidRPr="00F117CE">
        <w:rPr>
          <w:rFonts w:ascii="Verdana" w:hAnsi="Verdana" w:cs="Arial"/>
          <w:i/>
          <w:iCs/>
          <w:sz w:val="20"/>
          <w:szCs w:val="20"/>
        </w:rPr>
        <w:t>… X</w:t>
      </w:r>
    </w:p>
    <w:p w14:paraId="164168E3" w14:textId="6ACAB4D3" w:rsidR="002B1485" w:rsidRPr="00F117CE" w:rsidRDefault="002B1485" w:rsidP="002B1485">
      <w:pPr>
        <w:jc w:val="both"/>
        <w:rPr>
          <w:rFonts w:ascii="Verdana" w:hAnsi="Verdana" w:cs="Arial"/>
          <w:i/>
          <w:iCs/>
          <w:sz w:val="20"/>
          <w:szCs w:val="20"/>
        </w:rPr>
      </w:pPr>
      <w:r w:rsidRPr="00F117CE">
        <w:rPr>
          <w:rFonts w:ascii="Verdana" w:hAnsi="Verdana" w:cs="Arial"/>
          <w:b/>
          <w:bCs/>
          <w:i/>
          <w:iCs/>
          <w:sz w:val="20"/>
          <w:szCs w:val="20"/>
        </w:rPr>
        <w:t>XI.</w:t>
      </w:r>
      <w:r w:rsidRPr="00F117CE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F117CE">
        <w:rPr>
          <w:rFonts w:ascii="Verdana" w:hAnsi="Verdana" w:cs="Arial"/>
          <w:b/>
          <w:bCs/>
          <w:i/>
          <w:iCs/>
          <w:sz w:val="20"/>
          <w:szCs w:val="20"/>
        </w:rPr>
        <w:t>Efectuar las acciones necesarias para que tanto el entorno urbano, como las instalaciones de todos los inmuebles públicos implementen los ajustes razonables con diseño universal, para garantizar el acceso y libre desplazamiento de las personas con discapacidad</w:t>
      </w:r>
      <w:r w:rsidRPr="00F117CE">
        <w:rPr>
          <w:rFonts w:ascii="Verdana" w:hAnsi="Verdana" w:cs="Arial"/>
          <w:i/>
          <w:iCs/>
          <w:sz w:val="20"/>
          <w:szCs w:val="20"/>
        </w:rPr>
        <w:t>; así como para que se permita en ellos el ingreso a los perros de asistencia de las personas que requieran de su apoyo;</w:t>
      </w:r>
      <w:r w:rsidR="00F117CE">
        <w:rPr>
          <w:rFonts w:ascii="Verdana" w:hAnsi="Verdana" w:cs="Arial"/>
          <w:i/>
          <w:iCs/>
          <w:sz w:val="20"/>
          <w:szCs w:val="20"/>
        </w:rPr>
        <w:t>”</w:t>
      </w:r>
    </w:p>
    <w:p w14:paraId="7231D9F6" w14:textId="77777777" w:rsidR="00583216" w:rsidRDefault="00583216" w:rsidP="00F4517C">
      <w:pPr>
        <w:spacing w:before="240" w:after="0"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0CDD821" w14:textId="77777777" w:rsidR="00583216" w:rsidRDefault="00583216" w:rsidP="00F4517C">
      <w:pPr>
        <w:spacing w:before="240" w:after="0"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189C5984" w14:textId="290EBB04" w:rsidR="00583216" w:rsidRDefault="00583216" w:rsidP="00583216">
      <w:pPr>
        <w:spacing w:before="240" w:after="0" w:line="36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lastRenderedPageBreak/>
        <w:t>T R A N S I T O R I O</w:t>
      </w:r>
    </w:p>
    <w:p w14:paraId="48BAC8E8" w14:textId="33E94F84" w:rsidR="00F4517C" w:rsidRPr="00F4517C" w:rsidRDefault="00583216" w:rsidP="00F4517C">
      <w:pPr>
        <w:spacing w:before="240" w:after="0" w:line="360" w:lineRule="auto"/>
        <w:jc w:val="both"/>
        <w:rPr>
          <w:rFonts w:ascii="Verdana" w:eastAsia="Century Gothic" w:hAnsi="Verdana" w:cs="Century Gothic"/>
          <w:b/>
          <w:sz w:val="20"/>
          <w:szCs w:val="20"/>
          <w:lang w:eastAsia="es-MX"/>
        </w:rPr>
      </w:pPr>
      <w:r>
        <w:rPr>
          <w:rFonts w:ascii="Verdana" w:hAnsi="Verdana" w:cstheme="minorHAnsi"/>
          <w:b/>
          <w:bCs/>
          <w:sz w:val="20"/>
          <w:szCs w:val="20"/>
        </w:rPr>
        <w:t>ÚNICO</w:t>
      </w:r>
      <w:r w:rsidR="006568C3" w:rsidRPr="00F4517C">
        <w:rPr>
          <w:rFonts w:ascii="Verdana" w:hAnsi="Verdana" w:cstheme="minorHAnsi"/>
          <w:b/>
          <w:bCs/>
          <w:sz w:val="20"/>
          <w:szCs w:val="20"/>
        </w:rPr>
        <w:t>.-</w:t>
      </w:r>
      <w:r w:rsidR="006568C3" w:rsidRPr="00F4517C">
        <w:rPr>
          <w:rFonts w:ascii="Verdana" w:hAnsi="Verdana" w:cstheme="minorHAnsi"/>
          <w:sz w:val="20"/>
          <w:szCs w:val="20"/>
        </w:rPr>
        <w:t xml:space="preserve"> </w:t>
      </w:r>
      <w:r w:rsidR="00F4517C" w:rsidRPr="00F4517C">
        <w:rPr>
          <w:rFonts w:ascii="Verdana" w:eastAsia="Century Gothic" w:hAnsi="Verdana" w:cs="Century Gothic"/>
          <w:sz w:val="20"/>
          <w:szCs w:val="20"/>
          <w:lang w:eastAsia="es-MX"/>
        </w:rPr>
        <w:t>El presente Decreto entrará en vigor al día siguiente de su publicación en el Periódico Oficial del Estado.</w:t>
      </w:r>
    </w:p>
    <w:p w14:paraId="415890B8" w14:textId="42564F55" w:rsidR="00F4517C" w:rsidRPr="00F4517C" w:rsidRDefault="00F4517C" w:rsidP="00F4517C">
      <w:pPr>
        <w:spacing w:before="240" w:after="0" w:line="360" w:lineRule="auto"/>
        <w:jc w:val="both"/>
        <w:rPr>
          <w:rFonts w:ascii="Verdana" w:eastAsia="Century Gothic" w:hAnsi="Verdana" w:cs="Century Gothic"/>
          <w:sz w:val="20"/>
          <w:szCs w:val="20"/>
          <w:lang w:eastAsia="es-MX"/>
        </w:rPr>
      </w:pPr>
      <w:r w:rsidRPr="00F4517C">
        <w:rPr>
          <w:rFonts w:ascii="Verdana" w:eastAsia="Century Gothic" w:hAnsi="Verdana" w:cs="Century Gothic"/>
          <w:b/>
          <w:sz w:val="20"/>
          <w:szCs w:val="20"/>
          <w:lang w:eastAsia="es-MX"/>
        </w:rPr>
        <w:t xml:space="preserve">ECONÓMICO. </w:t>
      </w:r>
      <w:r w:rsidRPr="00F4517C">
        <w:rPr>
          <w:rFonts w:ascii="Verdana" w:eastAsia="Century Gothic" w:hAnsi="Verdana" w:cs="Century Gothic"/>
          <w:sz w:val="20"/>
          <w:szCs w:val="20"/>
          <w:lang w:eastAsia="es-MX"/>
        </w:rPr>
        <w:t>Aprobado que sea, túrnese a la Secretaría de Asuntos Legislativos para que elabore la minuta de Decreto, en los términos en que deba publicarse.</w:t>
      </w:r>
    </w:p>
    <w:p w14:paraId="7DB4C299" w14:textId="0B796D29" w:rsidR="00F4517C" w:rsidRPr="00F4517C" w:rsidRDefault="00F4517C" w:rsidP="00F117CE">
      <w:pPr>
        <w:spacing w:before="240" w:after="240"/>
        <w:jc w:val="both"/>
        <w:rPr>
          <w:rFonts w:ascii="Verdana" w:eastAsia="Century Gothic" w:hAnsi="Verdana" w:cs="Century Gothic"/>
          <w:b/>
          <w:sz w:val="20"/>
          <w:szCs w:val="20"/>
          <w:lang w:eastAsia="es-MX"/>
        </w:rPr>
      </w:pPr>
      <w:r w:rsidRPr="00F4517C">
        <w:rPr>
          <w:rFonts w:ascii="Verdana" w:eastAsia="Century Gothic" w:hAnsi="Verdana" w:cs="Century Gothic"/>
          <w:b/>
          <w:sz w:val="20"/>
          <w:szCs w:val="20"/>
          <w:lang w:eastAsia="es-MX"/>
        </w:rPr>
        <w:t xml:space="preserve">D A D O </w:t>
      </w:r>
      <w:r w:rsidRPr="00F4517C">
        <w:rPr>
          <w:rFonts w:ascii="Verdana" w:eastAsia="Century Gothic" w:hAnsi="Verdana" w:cs="Century Gothic"/>
          <w:sz w:val="20"/>
          <w:szCs w:val="20"/>
          <w:lang w:eastAsia="es-MX"/>
        </w:rPr>
        <w:t xml:space="preserve">en la sede del Poder Legislativo del Estado </w:t>
      </w:r>
      <w:r>
        <w:rPr>
          <w:rFonts w:ascii="Verdana" w:eastAsia="Century Gothic" w:hAnsi="Verdana" w:cs="Century Gothic"/>
          <w:sz w:val="20"/>
          <w:szCs w:val="20"/>
          <w:lang w:eastAsia="es-MX"/>
        </w:rPr>
        <w:t xml:space="preserve">de Chihuahua, </w:t>
      </w:r>
      <w:r w:rsidRPr="00F4517C">
        <w:rPr>
          <w:rFonts w:ascii="Verdana" w:eastAsia="Century Gothic" w:hAnsi="Verdana" w:cs="Century Gothic"/>
          <w:sz w:val="20"/>
          <w:szCs w:val="20"/>
          <w:lang w:eastAsia="es-MX"/>
        </w:rPr>
        <w:t>a los 12 días del mes de noviembre de 2024.</w:t>
      </w:r>
    </w:p>
    <w:p w14:paraId="7497899A" w14:textId="4996AC83" w:rsidR="00F4517C" w:rsidRPr="00F4517C" w:rsidRDefault="00F4517C" w:rsidP="00F4666A">
      <w:pPr>
        <w:spacing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F793C6B" w14:textId="7422767D" w:rsidR="006568C3" w:rsidRPr="00F4517C" w:rsidRDefault="006568C3" w:rsidP="002B3284">
      <w:pPr>
        <w:spacing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F4517C">
        <w:rPr>
          <w:rFonts w:ascii="Verdana" w:hAnsi="Verdana" w:cstheme="minorHAnsi"/>
          <w:b/>
          <w:sz w:val="20"/>
          <w:szCs w:val="20"/>
        </w:rPr>
        <w:t>ATENTAMENT</w:t>
      </w:r>
      <w:r w:rsidR="002B3284" w:rsidRPr="00F4517C">
        <w:rPr>
          <w:rFonts w:ascii="Verdana" w:hAnsi="Verdana" w:cstheme="minorHAnsi"/>
          <w:b/>
          <w:sz w:val="20"/>
          <w:szCs w:val="20"/>
        </w:rPr>
        <w:t>E</w:t>
      </w:r>
    </w:p>
    <w:p w14:paraId="090FA067" w14:textId="76DE5EC7" w:rsidR="006568C3" w:rsidRPr="00F4517C" w:rsidRDefault="006568C3" w:rsidP="00F4666A">
      <w:pPr>
        <w:spacing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3789467E" w14:textId="44D937D4" w:rsidR="006568C3" w:rsidRPr="00F4517C" w:rsidRDefault="006568C3" w:rsidP="00F4666A">
      <w:pPr>
        <w:spacing w:line="240" w:lineRule="auto"/>
        <w:rPr>
          <w:rFonts w:ascii="Verdana" w:hAnsi="Verdana" w:cstheme="minorHAnsi"/>
          <w:b/>
          <w:sz w:val="20"/>
          <w:szCs w:val="20"/>
        </w:rPr>
      </w:pPr>
    </w:p>
    <w:p w14:paraId="286216A8" w14:textId="713D5C5E" w:rsidR="006568C3" w:rsidRDefault="006568C3" w:rsidP="00F4666A">
      <w:pPr>
        <w:spacing w:line="240" w:lineRule="auto"/>
        <w:rPr>
          <w:rFonts w:ascii="Verdana" w:hAnsi="Verdana" w:cstheme="minorHAnsi"/>
          <w:b/>
          <w:sz w:val="20"/>
          <w:szCs w:val="20"/>
        </w:rPr>
      </w:pPr>
    </w:p>
    <w:p w14:paraId="7EB0BDAE" w14:textId="77777777" w:rsidR="00583216" w:rsidRPr="00F4666A" w:rsidRDefault="00583216" w:rsidP="00F4666A">
      <w:pPr>
        <w:spacing w:line="240" w:lineRule="auto"/>
        <w:rPr>
          <w:rFonts w:ascii="Verdana" w:hAnsi="Verdana" w:cstheme="minorHAnsi"/>
          <w:b/>
          <w:sz w:val="20"/>
          <w:szCs w:val="20"/>
        </w:rPr>
      </w:pPr>
    </w:p>
    <w:p w14:paraId="4ECB6892" w14:textId="4B8623D7" w:rsidR="006568C3" w:rsidRPr="002B3284" w:rsidRDefault="006568C3" w:rsidP="002B3284">
      <w:pPr>
        <w:pStyle w:val="BodyAA"/>
        <w:tabs>
          <w:tab w:val="left" w:pos="6120"/>
        </w:tabs>
        <w:spacing w:line="240" w:lineRule="auto"/>
        <w:jc w:val="center"/>
        <w:rPr>
          <w:rFonts w:ascii="Verdana" w:eastAsia="Arial" w:hAnsi="Verdana" w:cstheme="minorHAnsi"/>
          <w:b/>
          <w:bCs/>
          <w:sz w:val="20"/>
          <w:szCs w:val="20"/>
          <w:shd w:val="clear" w:color="auto" w:fill="FFFFFF"/>
        </w:rPr>
      </w:pPr>
      <w:r w:rsidRPr="00F4666A">
        <w:rPr>
          <w:rFonts w:ascii="Verdana" w:hAnsi="Verdana" w:cstheme="minorHAnsi"/>
          <w:b/>
          <w:bCs/>
          <w:sz w:val="20"/>
          <w:szCs w:val="20"/>
          <w:shd w:val="clear" w:color="auto" w:fill="FFFFFF"/>
        </w:rPr>
        <w:t xml:space="preserve">DIP. </w:t>
      </w:r>
      <w:r w:rsidRPr="00F4666A">
        <w:rPr>
          <w:rFonts w:ascii="Verdana" w:hAnsi="Verdana" w:cstheme="minorHAnsi"/>
          <w:b/>
          <w:bCs/>
          <w:sz w:val="20"/>
          <w:szCs w:val="20"/>
        </w:rPr>
        <w:t>JOSÉ LUIS VILLALOBOS GARCÍA.</w:t>
      </w:r>
    </w:p>
    <w:sectPr w:rsidR="006568C3" w:rsidRPr="002B3284" w:rsidSect="008F120D">
      <w:headerReference w:type="default" r:id="rId10"/>
      <w:footerReference w:type="default" r:id="rId11"/>
      <w:pgSz w:w="12240" w:h="15840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B3F3" w14:textId="77777777" w:rsidR="003806C9" w:rsidRDefault="003806C9" w:rsidP="006568C3">
      <w:pPr>
        <w:spacing w:after="0" w:line="240" w:lineRule="auto"/>
      </w:pPr>
      <w:r>
        <w:separator/>
      </w:r>
    </w:p>
  </w:endnote>
  <w:endnote w:type="continuationSeparator" w:id="0">
    <w:p w14:paraId="10FD6B4E" w14:textId="77777777" w:rsidR="003806C9" w:rsidRDefault="003806C9" w:rsidP="0065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</w:rPr>
      <w:id w:val="-1993321474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14:paraId="24862AAB" w14:textId="77777777" w:rsidR="00F7726F" w:rsidRPr="00E7403C" w:rsidRDefault="005F5EE3">
        <w:pPr>
          <w:pStyle w:val="Piedepgina"/>
          <w:jc w:val="right"/>
          <w:rPr>
            <w:b/>
            <w:bCs/>
            <w:sz w:val="24"/>
            <w:szCs w:val="24"/>
          </w:rPr>
        </w:pPr>
        <w:r w:rsidRPr="00E7403C">
          <w:rPr>
            <w:b/>
            <w:bCs/>
            <w:sz w:val="24"/>
            <w:szCs w:val="24"/>
          </w:rPr>
          <w:fldChar w:fldCharType="begin"/>
        </w:r>
        <w:r w:rsidRPr="00E7403C">
          <w:rPr>
            <w:b/>
            <w:bCs/>
            <w:sz w:val="24"/>
            <w:szCs w:val="24"/>
          </w:rPr>
          <w:instrText>PAGE   \* MERGEFORMAT</w:instrText>
        </w:r>
        <w:r w:rsidRPr="00E7403C">
          <w:rPr>
            <w:b/>
            <w:bCs/>
            <w:sz w:val="24"/>
            <w:szCs w:val="24"/>
          </w:rPr>
          <w:fldChar w:fldCharType="separate"/>
        </w:r>
        <w:r w:rsidRPr="00E7403C">
          <w:rPr>
            <w:b/>
            <w:bCs/>
            <w:sz w:val="24"/>
            <w:szCs w:val="24"/>
          </w:rPr>
          <w:t>2</w:t>
        </w:r>
        <w:r w:rsidRPr="00E7403C">
          <w:rPr>
            <w:b/>
            <w:bCs/>
            <w:sz w:val="24"/>
            <w:szCs w:val="24"/>
          </w:rPr>
          <w:fldChar w:fldCharType="end"/>
        </w:r>
      </w:p>
    </w:sdtContent>
  </w:sdt>
  <w:p w14:paraId="4A1F9F6A" w14:textId="77777777" w:rsidR="00F7726F" w:rsidRDefault="00F77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5C7A" w14:textId="77777777" w:rsidR="003806C9" w:rsidRDefault="003806C9" w:rsidP="006568C3">
      <w:pPr>
        <w:spacing w:after="0" w:line="240" w:lineRule="auto"/>
      </w:pPr>
      <w:r>
        <w:separator/>
      </w:r>
    </w:p>
  </w:footnote>
  <w:footnote w:type="continuationSeparator" w:id="0">
    <w:p w14:paraId="7DDFEDDF" w14:textId="77777777" w:rsidR="003806C9" w:rsidRDefault="003806C9" w:rsidP="006568C3">
      <w:pPr>
        <w:spacing w:after="0" w:line="240" w:lineRule="auto"/>
      </w:pPr>
      <w:r>
        <w:continuationSeparator/>
      </w:r>
    </w:p>
  </w:footnote>
  <w:footnote w:id="1">
    <w:p w14:paraId="76F0E2B5" w14:textId="35F11777" w:rsidR="005F676C" w:rsidRPr="00C83EEA" w:rsidRDefault="005F676C" w:rsidP="00C83E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theme="minorHAnsi"/>
          <w:bCs/>
          <w:color w:val="000000" w:themeColor="text1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5F676C">
        <w:rPr>
          <w:sz w:val="20"/>
          <w:szCs w:val="20"/>
        </w:rPr>
        <w:t>Fuente:</w:t>
      </w:r>
      <w:hyperlink r:id="rId1" w:history="1">
        <w:r w:rsidRPr="005F676C">
          <w:rPr>
            <w:rStyle w:val="Hipervnculo"/>
            <w:rFonts w:ascii="Verdana" w:eastAsia="Verdana" w:hAnsi="Verdana" w:cstheme="minorHAnsi"/>
            <w:bCs/>
            <w:sz w:val="18"/>
            <w:szCs w:val="18"/>
          </w:rPr>
          <w:t>https://www.inegi.org.mx/contenidos/programas/enadis/2022/doc/enadis2022_resultados.pdf</w:t>
        </w:r>
      </w:hyperlink>
    </w:p>
  </w:footnote>
  <w:footnote w:id="2">
    <w:p w14:paraId="00EB04EF" w14:textId="1E1B4267" w:rsidR="00A9736B" w:rsidRPr="00A9736B" w:rsidRDefault="00A9736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Fuente: </w:t>
      </w:r>
      <w:hyperlink r:id="rId2" w:history="1">
        <w:r w:rsidRPr="00E401E0">
          <w:rPr>
            <w:rStyle w:val="Hipervnculo"/>
          </w:rPr>
          <w:t>https://www.inegi.org.mx/contenidos/productos/prod_serv/contenidos/espanol/bvinegi/productos/nueva_estruc/702825198145.pdf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D692" w14:textId="2E374DBE" w:rsidR="00F7726F" w:rsidRDefault="004E2F8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53C34F3" wp14:editId="3ADE7098">
          <wp:simplePos x="0" y="0"/>
          <wp:positionH relativeFrom="page">
            <wp:posOffset>57150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EE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0" wp14:anchorId="624226AE" wp14:editId="649727B3">
              <wp:simplePos x="0" y="0"/>
              <wp:positionH relativeFrom="margin">
                <wp:posOffset>2415540</wp:posOffset>
              </wp:positionH>
              <wp:positionV relativeFrom="page">
                <wp:posOffset>990600</wp:posOffset>
              </wp:positionV>
              <wp:extent cx="3189600" cy="428400"/>
              <wp:effectExtent l="0" t="0" r="11430" b="101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0" cy="42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724BE" w14:textId="77777777" w:rsidR="00F7726F" w:rsidRDefault="005F5EE3" w:rsidP="008F120D">
                          <w:pPr>
                            <w:pStyle w:val="Encabezado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0DA94D64" w14:textId="77777777" w:rsidR="00F7726F" w:rsidRDefault="00F772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226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0.2pt;margin-top:78pt;width:251.1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" o:allowoverlap="f" fillcolor="white [3212]" strokecolor="white [3212]">
              <v:textbox>
                <w:txbxContent>
                  <w:p w14:paraId="39D724BE" w14:textId="77777777" w:rsidR="00F7726F" w:rsidRDefault="005F5EE3" w:rsidP="008F120D">
                    <w:pPr>
                      <w:pStyle w:val="Encabezado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0DA94D64" w14:textId="77777777" w:rsidR="00F7726F" w:rsidRDefault="00F7726F"/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10B8"/>
    <w:multiLevelType w:val="hybridMultilevel"/>
    <w:tmpl w:val="DF568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00C3D"/>
    <w:multiLevelType w:val="hybridMultilevel"/>
    <w:tmpl w:val="8ECE1D16"/>
    <w:lvl w:ilvl="0" w:tplc="CDFA8E1E">
      <w:numFmt w:val="bullet"/>
      <w:lvlText w:val="-"/>
      <w:lvlJc w:val="left"/>
      <w:pPr>
        <w:ind w:left="720" w:hanging="360"/>
      </w:pPr>
      <w:rPr>
        <w:rFonts w:ascii="Verdana" w:eastAsia="Arial" w:hAnsi="Verdana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D420C"/>
    <w:multiLevelType w:val="hybridMultilevel"/>
    <w:tmpl w:val="F586B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4678A"/>
    <w:multiLevelType w:val="hybridMultilevel"/>
    <w:tmpl w:val="ED78A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4313A"/>
    <w:multiLevelType w:val="hybridMultilevel"/>
    <w:tmpl w:val="70A62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C3"/>
    <w:rsid w:val="000E1FBE"/>
    <w:rsid w:val="00100093"/>
    <w:rsid w:val="00131D70"/>
    <w:rsid w:val="00211B63"/>
    <w:rsid w:val="002B1485"/>
    <w:rsid w:val="002B312A"/>
    <w:rsid w:val="002B3284"/>
    <w:rsid w:val="003806C9"/>
    <w:rsid w:val="003C39D5"/>
    <w:rsid w:val="00441D5A"/>
    <w:rsid w:val="0045141B"/>
    <w:rsid w:val="004C5DAF"/>
    <w:rsid w:val="004E2F81"/>
    <w:rsid w:val="0051167A"/>
    <w:rsid w:val="00537213"/>
    <w:rsid w:val="00583216"/>
    <w:rsid w:val="005B22E4"/>
    <w:rsid w:val="005F5EE3"/>
    <w:rsid w:val="005F676C"/>
    <w:rsid w:val="00644DB6"/>
    <w:rsid w:val="006568C3"/>
    <w:rsid w:val="006662E3"/>
    <w:rsid w:val="006F066A"/>
    <w:rsid w:val="0077240C"/>
    <w:rsid w:val="007A1A70"/>
    <w:rsid w:val="008731F5"/>
    <w:rsid w:val="009F0E43"/>
    <w:rsid w:val="00A9689F"/>
    <w:rsid w:val="00A9736B"/>
    <w:rsid w:val="00B26399"/>
    <w:rsid w:val="00C11AB7"/>
    <w:rsid w:val="00C37826"/>
    <w:rsid w:val="00C83EEA"/>
    <w:rsid w:val="00CD0E38"/>
    <w:rsid w:val="00D53EBD"/>
    <w:rsid w:val="00D60406"/>
    <w:rsid w:val="00E47661"/>
    <w:rsid w:val="00E560CB"/>
    <w:rsid w:val="00E676EB"/>
    <w:rsid w:val="00E725AA"/>
    <w:rsid w:val="00F117CE"/>
    <w:rsid w:val="00F4517C"/>
    <w:rsid w:val="00F4666A"/>
    <w:rsid w:val="00F73C8E"/>
    <w:rsid w:val="00F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A78C0"/>
  <w15:chartTrackingRefBased/>
  <w15:docId w15:val="{D31A2CDA-D342-44C3-BD76-44A7D2FF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C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8C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568C3"/>
  </w:style>
  <w:style w:type="paragraph" w:styleId="Piedepgina">
    <w:name w:val="footer"/>
    <w:basedOn w:val="Normal"/>
    <w:link w:val="PiedepginaCar"/>
    <w:uiPriority w:val="99"/>
    <w:unhideWhenUsed/>
    <w:rsid w:val="006568C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68C3"/>
  </w:style>
  <w:style w:type="paragraph" w:styleId="NormalWeb">
    <w:name w:val="Normal (Web)"/>
    <w:basedOn w:val="Normal"/>
    <w:uiPriority w:val="99"/>
    <w:unhideWhenUsed/>
    <w:rsid w:val="00656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568C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BodyAA">
    <w:name w:val="Body A A"/>
    <w:rsid w:val="006568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8C3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s-ES_tradnl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8C3"/>
    <w:rPr>
      <w:kern w:val="2"/>
      <w:sz w:val="20"/>
      <w:szCs w:val="20"/>
      <w:lang w:val="es-ES_tradnl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6568C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973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736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7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egi.org.mx/contenidos/productos/prod_serv/contenidos/espanol/bvinegi/productos/nueva_estruc/702825198145.pdf" TargetMode="External"/><Relationship Id="rId1" Type="http://schemas.openxmlformats.org/officeDocument/2006/relationships/hyperlink" Target="https://www.inegi.org.mx/contenidos/programas/enadis/2022/doc/enadis2022_resultad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323F-0698-42B5-B71D-A7781B4E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Rivera</dc:creator>
  <cp:keywords/>
  <dc:description/>
  <cp:lastModifiedBy>German</cp:lastModifiedBy>
  <cp:revision>3</cp:revision>
  <cp:lastPrinted>2024-11-12T08:00:00Z</cp:lastPrinted>
  <dcterms:created xsi:type="dcterms:W3CDTF">2024-11-12T08:00:00Z</dcterms:created>
  <dcterms:modified xsi:type="dcterms:W3CDTF">2024-11-12T08:00:00Z</dcterms:modified>
</cp:coreProperties>
</file>