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B7F09" w14:textId="77777777" w:rsidR="00B05008" w:rsidRPr="00ED5AF2" w:rsidRDefault="0000547A" w:rsidP="001A4EBF">
      <w:pPr>
        <w:spacing w:afterLines="100" w:after="240" w:line="480" w:lineRule="auto"/>
        <w:jc w:val="both"/>
        <w:rPr>
          <w:rFonts w:ascii="Century Gothic" w:eastAsia="Century Gothic" w:hAnsi="Century Gothic" w:cs="Century Gothic"/>
          <w:b/>
          <w:sz w:val="24"/>
          <w:szCs w:val="24"/>
        </w:rPr>
      </w:pPr>
      <w:r w:rsidRPr="00ED5AF2">
        <w:rPr>
          <w:rFonts w:ascii="Century Gothic" w:eastAsia="Century Gothic" w:hAnsi="Century Gothic" w:cs="Century Gothic"/>
          <w:b/>
          <w:sz w:val="24"/>
          <w:szCs w:val="24"/>
        </w:rPr>
        <w:t>H. CONGRESO DEL ESTADO DE CHIHUAHUA</w:t>
      </w:r>
    </w:p>
    <w:p w14:paraId="36E52E66" w14:textId="77777777" w:rsidR="00B05008" w:rsidRPr="00ED5AF2" w:rsidRDefault="0000547A" w:rsidP="001A4EBF">
      <w:pPr>
        <w:spacing w:afterLines="100" w:after="240" w:line="480" w:lineRule="auto"/>
        <w:jc w:val="both"/>
        <w:rPr>
          <w:rFonts w:ascii="Century Gothic" w:eastAsia="Century Gothic" w:hAnsi="Century Gothic" w:cs="Century Gothic"/>
          <w:b/>
          <w:sz w:val="24"/>
          <w:szCs w:val="24"/>
        </w:rPr>
      </w:pPr>
      <w:r w:rsidRPr="00ED5AF2">
        <w:rPr>
          <w:rFonts w:ascii="Century Gothic" w:eastAsia="Century Gothic" w:hAnsi="Century Gothic" w:cs="Century Gothic"/>
          <w:b/>
          <w:sz w:val="24"/>
          <w:szCs w:val="24"/>
        </w:rPr>
        <w:t xml:space="preserve">P R E S E N T E. </w:t>
      </w:r>
      <w:bookmarkStart w:id="0" w:name="_GoBack"/>
      <w:bookmarkEnd w:id="0"/>
    </w:p>
    <w:p w14:paraId="1131C664" w14:textId="1AF34CA0" w:rsidR="00B05008" w:rsidRPr="00744E12" w:rsidRDefault="0000547A" w:rsidP="001A4EBF">
      <w:pPr>
        <w:spacing w:afterLines="120" w:after="288" w:line="480" w:lineRule="auto"/>
        <w:jc w:val="both"/>
        <w:rPr>
          <w:rFonts w:ascii="Century Gothic" w:eastAsia="Century Gothic" w:hAnsi="Century Gothic" w:cs="Century Gothic"/>
          <w:b/>
          <w:bCs/>
          <w:sz w:val="24"/>
          <w:szCs w:val="24"/>
        </w:rPr>
      </w:pPr>
      <w:r w:rsidRPr="00ED5AF2">
        <w:rPr>
          <w:rFonts w:ascii="Century Gothic" w:eastAsia="Century Gothic" w:hAnsi="Century Gothic" w:cs="Century Gothic"/>
          <w:sz w:val="24"/>
          <w:szCs w:val="24"/>
        </w:rPr>
        <w:t xml:space="preserve">Los que suscriben </w:t>
      </w:r>
      <w:r w:rsidRPr="00ED5AF2">
        <w:rPr>
          <w:rFonts w:ascii="Century Gothic" w:eastAsia="Century Gothic" w:hAnsi="Century Gothic" w:cs="Century Gothic"/>
          <w:b/>
          <w:sz w:val="24"/>
          <w:szCs w:val="24"/>
        </w:rPr>
        <w:t>Edin Cuauhtémoc Estrada Sotelo, Óscar Daniel Avitia Arellanes, Rosana Díaz Reyes, Gustavo De la Rosa Hickerson, Magdalena Rentería Pérez, María Antonieta Pérez Reyes, Benjamín Carrera Chávez</w:t>
      </w:r>
      <w:r w:rsidR="008A2FA2">
        <w:rPr>
          <w:rFonts w:ascii="Century Gothic" w:eastAsia="Century Gothic" w:hAnsi="Century Gothic" w:cs="Century Gothic"/>
          <w:b/>
          <w:sz w:val="24"/>
          <w:szCs w:val="24"/>
        </w:rPr>
        <w:t>,</w:t>
      </w:r>
      <w:r w:rsidR="0020395B" w:rsidRPr="00ED5AF2">
        <w:rPr>
          <w:rFonts w:ascii="Century Gothic" w:eastAsia="Century Gothic" w:hAnsi="Century Gothic" w:cs="Century Gothic"/>
          <w:b/>
          <w:sz w:val="24"/>
          <w:szCs w:val="24"/>
        </w:rPr>
        <w:t xml:space="preserve"> </w:t>
      </w:r>
      <w:r w:rsidRPr="00ED5AF2">
        <w:rPr>
          <w:rFonts w:ascii="Century Gothic" w:eastAsia="Century Gothic" w:hAnsi="Century Gothic" w:cs="Century Gothic"/>
          <w:b/>
          <w:sz w:val="24"/>
          <w:szCs w:val="24"/>
        </w:rPr>
        <w:t>David Óscar Castrejón Rivas</w:t>
      </w:r>
      <w:r w:rsidR="00830A8B">
        <w:rPr>
          <w:rFonts w:ascii="Century Gothic" w:eastAsia="Century Gothic" w:hAnsi="Century Gothic" w:cs="Century Gothic"/>
          <w:b/>
          <w:sz w:val="24"/>
          <w:szCs w:val="24"/>
        </w:rPr>
        <w:t xml:space="preserve">, </w:t>
      </w:r>
      <w:r w:rsidR="008A2FA2">
        <w:rPr>
          <w:rFonts w:ascii="Century Gothic" w:eastAsia="Century Gothic" w:hAnsi="Century Gothic" w:cs="Century Gothic"/>
          <w:b/>
          <w:sz w:val="24"/>
          <w:szCs w:val="24"/>
        </w:rPr>
        <w:t>América García Soto</w:t>
      </w:r>
      <w:r w:rsidR="00830A8B">
        <w:rPr>
          <w:rFonts w:ascii="Century Gothic" w:eastAsia="Century Gothic" w:hAnsi="Century Gothic" w:cs="Century Gothic"/>
          <w:b/>
          <w:sz w:val="24"/>
          <w:szCs w:val="24"/>
        </w:rPr>
        <w:t xml:space="preserve"> y </w:t>
      </w:r>
      <w:r w:rsidR="00830A8B" w:rsidRPr="00ED5AF2">
        <w:rPr>
          <w:rFonts w:ascii="Century Gothic" w:eastAsia="Century Gothic" w:hAnsi="Century Gothic" w:cs="Century Gothic"/>
          <w:b/>
          <w:sz w:val="24"/>
          <w:szCs w:val="24"/>
        </w:rPr>
        <w:t>Leticia Ortega Máynez</w:t>
      </w:r>
      <w:r w:rsidRPr="00ED5AF2">
        <w:rPr>
          <w:rFonts w:ascii="Century Gothic" w:eastAsia="Century Gothic" w:hAnsi="Century Gothic" w:cs="Century Gothic"/>
          <w:b/>
          <w:sz w:val="24"/>
          <w:szCs w:val="24"/>
        </w:rPr>
        <w:t xml:space="preserve">, </w:t>
      </w:r>
      <w:r w:rsidRPr="00ED5AF2">
        <w:rPr>
          <w:rFonts w:ascii="Century Gothic" w:eastAsia="Century Gothic" w:hAnsi="Century Gothic" w:cs="Century Gothic"/>
          <w:sz w:val="24"/>
          <w:szCs w:val="24"/>
        </w:rPr>
        <w:t>en nuestro carácter de Diputadas y Diputados de la Sexagésima Séptima Legislatura del Honorable Congreso del Estado de Chihuahua e integrantes d</w:t>
      </w:r>
      <w:r w:rsidR="00681A87" w:rsidRPr="00ED5AF2">
        <w:rPr>
          <w:rFonts w:ascii="Century Gothic" w:eastAsia="Century Gothic" w:hAnsi="Century Gothic" w:cs="Century Gothic"/>
          <w:sz w:val="24"/>
          <w:szCs w:val="24"/>
        </w:rPr>
        <w:t>e</w:t>
      </w:r>
      <w:r w:rsidR="00113DE2" w:rsidRPr="00ED5AF2">
        <w:rPr>
          <w:rFonts w:ascii="Century Gothic" w:eastAsia="Century Gothic" w:hAnsi="Century Gothic" w:cs="Century Gothic"/>
          <w:sz w:val="24"/>
          <w:szCs w:val="24"/>
        </w:rPr>
        <w:t xml:space="preserve">l </w:t>
      </w:r>
      <w:r w:rsidR="00681A87" w:rsidRPr="00ED5AF2">
        <w:rPr>
          <w:rFonts w:ascii="Century Gothic" w:eastAsia="Century Gothic" w:hAnsi="Century Gothic" w:cs="Century Gothic"/>
          <w:b/>
          <w:bCs/>
          <w:sz w:val="24"/>
          <w:szCs w:val="24"/>
        </w:rPr>
        <w:t>Grupos</w:t>
      </w:r>
      <w:r w:rsidR="00681A87" w:rsidRPr="00ED5AF2">
        <w:rPr>
          <w:rFonts w:ascii="Century Gothic" w:eastAsia="Century Gothic" w:hAnsi="Century Gothic" w:cs="Century Gothic"/>
          <w:b/>
          <w:sz w:val="24"/>
          <w:szCs w:val="24"/>
        </w:rPr>
        <w:t xml:space="preserve"> P</w:t>
      </w:r>
      <w:r w:rsidRPr="00ED5AF2">
        <w:rPr>
          <w:rFonts w:ascii="Century Gothic" w:eastAsia="Century Gothic" w:hAnsi="Century Gothic" w:cs="Century Gothic"/>
          <w:b/>
          <w:sz w:val="24"/>
          <w:szCs w:val="24"/>
        </w:rPr>
        <w:t>arlamentario de MORENA</w:t>
      </w:r>
      <w:r w:rsidRPr="00ED5AF2">
        <w:rPr>
          <w:rFonts w:ascii="Century Gothic" w:eastAsia="Century Gothic" w:hAnsi="Century Gothic" w:cs="Century Gothic"/>
          <w:sz w:val="24"/>
          <w:szCs w:val="24"/>
        </w:rPr>
        <w:t>,</w:t>
      </w:r>
      <w:r w:rsidR="0020395B" w:rsidRPr="00ED5AF2">
        <w:rPr>
          <w:rFonts w:ascii="Century Gothic" w:eastAsia="Century Gothic" w:hAnsi="Century Gothic" w:cs="Century Gothic"/>
          <w:sz w:val="24"/>
          <w:szCs w:val="24"/>
        </w:rPr>
        <w:t xml:space="preserve"> </w:t>
      </w:r>
      <w:r w:rsidRPr="00ED5AF2">
        <w:rPr>
          <w:rFonts w:ascii="Century Gothic" w:eastAsia="Century Gothic" w:hAnsi="Century Gothic" w:cs="Century Gothic"/>
          <w:sz w:val="24"/>
          <w:szCs w:val="24"/>
        </w:rPr>
        <w:t xml:space="preserve">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Pr="00ED5AF2">
        <w:rPr>
          <w:rFonts w:ascii="Century Gothic" w:eastAsia="Century Gothic" w:hAnsi="Century Gothic" w:cs="Century Gothic"/>
          <w:b/>
          <w:sz w:val="24"/>
          <w:szCs w:val="24"/>
        </w:rPr>
        <w:t>carácter de DECRETO</w:t>
      </w:r>
      <w:r w:rsidRPr="00ED5AF2">
        <w:rPr>
          <w:rFonts w:ascii="Century Gothic" w:eastAsia="Century Gothic" w:hAnsi="Century Gothic" w:cs="Century Gothic"/>
          <w:sz w:val="24"/>
          <w:szCs w:val="24"/>
        </w:rPr>
        <w:t xml:space="preserve">, </w:t>
      </w:r>
      <w:r w:rsidRPr="00ED5AF2">
        <w:rPr>
          <w:rFonts w:ascii="Century Gothic" w:eastAsia="Century Gothic" w:hAnsi="Century Gothic" w:cs="Century Gothic"/>
          <w:b/>
          <w:sz w:val="24"/>
          <w:szCs w:val="24"/>
        </w:rPr>
        <w:t>por medio del cual</w:t>
      </w:r>
      <w:r w:rsidR="00C5028B" w:rsidRPr="00ED5AF2">
        <w:rPr>
          <w:rFonts w:ascii="Century Gothic" w:eastAsia="Century Gothic" w:hAnsi="Century Gothic" w:cs="Century Gothic"/>
          <w:b/>
          <w:sz w:val="24"/>
          <w:szCs w:val="24"/>
        </w:rPr>
        <w:t xml:space="preserve"> </w:t>
      </w:r>
      <w:r w:rsidR="00744E12" w:rsidRPr="00007A28">
        <w:rPr>
          <w:rFonts w:ascii="Century Gothic" w:eastAsia="Century Gothic" w:hAnsi="Century Gothic" w:cs="Century Gothic"/>
          <w:b/>
          <w:sz w:val="24"/>
          <w:szCs w:val="24"/>
        </w:rPr>
        <w:t>s</w:t>
      </w:r>
      <w:r w:rsidR="00744E12">
        <w:rPr>
          <w:rFonts w:ascii="Century Gothic" w:eastAsia="Century Gothic" w:hAnsi="Century Gothic" w:cs="Century Gothic"/>
          <w:b/>
          <w:sz w:val="24"/>
          <w:szCs w:val="24"/>
        </w:rPr>
        <w:t>e</w:t>
      </w:r>
      <w:r w:rsidR="00830A8B">
        <w:rPr>
          <w:rFonts w:ascii="Century Gothic" w:eastAsia="Century Gothic" w:hAnsi="Century Gothic" w:cs="Century Gothic"/>
          <w:b/>
          <w:sz w:val="24"/>
          <w:szCs w:val="24"/>
        </w:rPr>
        <w:t xml:space="preserve"> </w:t>
      </w:r>
      <w:r w:rsidR="00444F28">
        <w:rPr>
          <w:rFonts w:ascii="Century Gothic" w:eastAsia="Century Gothic" w:hAnsi="Century Gothic" w:cs="Century Gothic"/>
          <w:b/>
          <w:sz w:val="24"/>
          <w:szCs w:val="24"/>
        </w:rPr>
        <w:t>reforman</w:t>
      </w:r>
      <w:r w:rsidR="00830A8B">
        <w:rPr>
          <w:rFonts w:ascii="Century Gothic" w:eastAsia="Century Gothic" w:hAnsi="Century Gothic" w:cs="Century Gothic"/>
          <w:b/>
          <w:sz w:val="24"/>
          <w:szCs w:val="24"/>
        </w:rPr>
        <w:t xml:space="preserve"> los artículos 44 y 45 de la Ley de Bienes del Estado de Chihuahua</w:t>
      </w:r>
      <w:r w:rsidR="00C5028B" w:rsidRPr="00ED5AF2">
        <w:rPr>
          <w:rFonts w:ascii="Century Gothic" w:eastAsia="Century Gothic" w:hAnsi="Century Gothic" w:cs="Century Gothic"/>
          <w:b/>
          <w:bCs/>
          <w:sz w:val="24"/>
          <w:szCs w:val="24"/>
        </w:rPr>
        <w:t>,</w:t>
      </w:r>
      <w:r w:rsidRPr="00ED5AF2">
        <w:rPr>
          <w:rFonts w:ascii="Century Gothic" w:eastAsia="Century Gothic" w:hAnsi="Century Gothic" w:cs="Century Gothic"/>
          <w:sz w:val="24"/>
          <w:szCs w:val="24"/>
        </w:rPr>
        <w:t xml:space="preserve"> con sustento en la siguiente:</w:t>
      </w:r>
    </w:p>
    <w:p w14:paraId="70E46BE9" w14:textId="77777777" w:rsidR="00FD6878" w:rsidRPr="00ED5AF2" w:rsidRDefault="00FD6878" w:rsidP="001A4EBF">
      <w:pPr>
        <w:spacing w:afterLines="100" w:after="240" w:line="480" w:lineRule="auto"/>
        <w:jc w:val="both"/>
        <w:rPr>
          <w:rFonts w:ascii="Century Gothic" w:eastAsia="Century Gothic" w:hAnsi="Century Gothic" w:cs="Century Gothic"/>
          <w:b/>
          <w:sz w:val="24"/>
          <w:szCs w:val="24"/>
        </w:rPr>
      </w:pPr>
    </w:p>
    <w:p w14:paraId="0903BEAF" w14:textId="46817EA5" w:rsidR="00B05008" w:rsidRPr="00001978" w:rsidRDefault="0000547A" w:rsidP="001A4EBF">
      <w:pPr>
        <w:spacing w:afterLines="100" w:after="240" w:line="480" w:lineRule="auto"/>
        <w:jc w:val="center"/>
        <w:rPr>
          <w:rFonts w:ascii="Century Gothic" w:eastAsia="Century Gothic" w:hAnsi="Century Gothic" w:cs="Century Gothic"/>
          <w:b/>
          <w:sz w:val="24"/>
          <w:szCs w:val="24"/>
        </w:rPr>
      </w:pPr>
      <w:r w:rsidRPr="00001978">
        <w:rPr>
          <w:rFonts w:ascii="Century Gothic" w:eastAsia="Century Gothic" w:hAnsi="Century Gothic" w:cs="Century Gothic"/>
          <w:b/>
          <w:sz w:val="24"/>
          <w:szCs w:val="24"/>
        </w:rPr>
        <w:lastRenderedPageBreak/>
        <w:t>EXPOSICIÓN DE MOTIVOS:</w:t>
      </w:r>
    </w:p>
    <w:p w14:paraId="7FF8FA90" w14:textId="77777777" w:rsidR="00830A8B" w:rsidRPr="00830A8B" w:rsidRDefault="00830A8B" w:rsidP="00830A8B">
      <w:pPr>
        <w:spacing w:line="480" w:lineRule="auto"/>
        <w:jc w:val="both"/>
        <w:rPr>
          <w:rFonts w:ascii="Century Gothic" w:hAnsi="Century Gothic" w:cs="Calibri"/>
          <w:sz w:val="24"/>
          <w:szCs w:val="24"/>
        </w:rPr>
      </w:pPr>
      <w:bookmarkStart w:id="1" w:name="_gjdgxs" w:colFirst="0" w:colLast="0"/>
      <w:bookmarkEnd w:id="1"/>
      <w:r w:rsidRPr="00830A8B">
        <w:rPr>
          <w:rFonts w:ascii="Century Gothic" w:hAnsi="Century Gothic" w:cs="Calibri"/>
          <w:sz w:val="24"/>
          <w:szCs w:val="24"/>
        </w:rPr>
        <w:t>Las instituciones gubernamentales no deben ser usadas para el servicio de los intereses corporativos ni para consolidar fortunas. El patrimonio del Estado debe aplicarse fundamentalmente a la realización de las funciones de tales entidades públicas, básicamente, para la prestación de los servicios públicos que tienen encomendados. Debe existir una frontera entre el poder económico y poder el político. El gobierno es para todos.</w:t>
      </w:r>
    </w:p>
    <w:p w14:paraId="0DB153F0" w14:textId="77777777" w:rsidR="00830A8B" w:rsidRPr="00830A8B" w:rsidRDefault="00830A8B" w:rsidP="00830A8B">
      <w:pPr>
        <w:spacing w:line="480" w:lineRule="auto"/>
        <w:jc w:val="both"/>
        <w:rPr>
          <w:rFonts w:ascii="Century Gothic" w:hAnsi="Century Gothic" w:cs="Calibri"/>
          <w:sz w:val="24"/>
          <w:szCs w:val="24"/>
        </w:rPr>
      </w:pPr>
      <w:r w:rsidRPr="00830A8B">
        <w:rPr>
          <w:rFonts w:ascii="Century Gothic" w:hAnsi="Century Gothic" w:cs="Calibri"/>
          <w:sz w:val="24"/>
          <w:szCs w:val="24"/>
        </w:rPr>
        <w:t>Hace más de dos años, entró en vigor la Ley de Bienes del Estado de Chihuahua, ordenamiento que contiene las normas para regular los actos de administración, conservación, uso, aprovechamiento, destino, y enajenación de los bienes del Estado. El propósito de dicha ley fue lograr un control, protección y administración del patrimonio del Estado, en beneficio de la sociedad. Sin embargo, a la fecha han surgido casos en los que se ha torcido la normatividad contenida en la Ley de Bienes del Estado de Chihuahua para el beneficio de algunos y han dejado de percibirse recursos que deberían ser recaudados por el Estado.</w:t>
      </w:r>
    </w:p>
    <w:p w14:paraId="66EDC7C5" w14:textId="77777777" w:rsidR="00830A8B" w:rsidRPr="00830A8B" w:rsidRDefault="00830A8B" w:rsidP="00830A8B">
      <w:pPr>
        <w:spacing w:line="480" w:lineRule="auto"/>
        <w:jc w:val="both"/>
        <w:rPr>
          <w:rFonts w:ascii="Century Gothic" w:hAnsi="Century Gothic" w:cs="Calibri"/>
          <w:sz w:val="24"/>
          <w:szCs w:val="24"/>
        </w:rPr>
      </w:pPr>
      <w:r w:rsidRPr="00830A8B">
        <w:rPr>
          <w:rFonts w:ascii="Century Gothic" w:hAnsi="Century Gothic" w:cs="Calibri"/>
          <w:sz w:val="24"/>
          <w:szCs w:val="24"/>
        </w:rPr>
        <w:t xml:space="preserve">La enajenación de los bienes inmuebles de dominio privado de la Administración Pública del Estado que ya no resulten útiles o necesarios deben llevarse a cabo preservando los principios de oportunidad y transparencia que aseguren para el Estado las mejores condiciones </w:t>
      </w:r>
      <w:r w:rsidRPr="00830A8B">
        <w:rPr>
          <w:rFonts w:ascii="Century Gothic" w:hAnsi="Century Gothic" w:cs="Calibri"/>
          <w:sz w:val="24"/>
          <w:szCs w:val="24"/>
        </w:rPr>
        <w:lastRenderedPageBreak/>
        <w:t>disponibles en cuanto a precio, oportunidad y demás circunstancias pertinentes. Esto no se ha cumplido actualmente.</w:t>
      </w:r>
    </w:p>
    <w:p w14:paraId="4B15C980" w14:textId="77777777" w:rsidR="00830A8B" w:rsidRPr="00830A8B" w:rsidRDefault="00830A8B" w:rsidP="00830A8B">
      <w:pPr>
        <w:spacing w:line="480" w:lineRule="auto"/>
        <w:jc w:val="both"/>
        <w:rPr>
          <w:rFonts w:ascii="Century Gothic" w:hAnsi="Century Gothic" w:cs="Calibri"/>
          <w:sz w:val="24"/>
          <w:szCs w:val="24"/>
        </w:rPr>
      </w:pPr>
      <w:r w:rsidRPr="00830A8B">
        <w:rPr>
          <w:rFonts w:ascii="Century Gothic" w:hAnsi="Century Gothic" w:cs="Calibri"/>
          <w:sz w:val="24"/>
          <w:szCs w:val="24"/>
        </w:rPr>
        <w:t>Se ha abusado de la figura de enajenación directa y se han hecho condonaciones y donaciones injustificadas, con lo que se amplía el riesgo de corrupción entre el poder público y los entes privados que se ven beneficiados, dejando que una enorme cantidad de recursos nunca lleguen a las arcas públicas.</w:t>
      </w:r>
    </w:p>
    <w:p w14:paraId="1DE013C9" w14:textId="77777777" w:rsidR="00830A8B" w:rsidRPr="00830A8B" w:rsidRDefault="00830A8B" w:rsidP="00830A8B">
      <w:pPr>
        <w:spacing w:line="480" w:lineRule="auto"/>
        <w:jc w:val="both"/>
        <w:rPr>
          <w:rFonts w:ascii="Century Gothic" w:hAnsi="Century Gothic" w:cs="Calibri"/>
          <w:sz w:val="24"/>
          <w:szCs w:val="24"/>
        </w:rPr>
      </w:pPr>
      <w:r w:rsidRPr="00830A8B">
        <w:rPr>
          <w:rFonts w:ascii="Century Gothic" w:hAnsi="Century Gothic" w:cs="Calibri"/>
          <w:sz w:val="24"/>
          <w:szCs w:val="24"/>
        </w:rPr>
        <w:t xml:space="preserve">El procedimiento de enajenación de bienes de dominio privado que debe privilegiarse es uno competitivo por medio de subastas objetivas que tengan por objeto obtener recursos de forma eficiente con un proceso transparente y benéfico para las finanzas del estado. Las enajenaciones directas, al igual que las adjudicaciones directas en los procesos de contratación, deben ser utilizadas solo de manera excepcional. </w:t>
      </w:r>
    </w:p>
    <w:p w14:paraId="3863C928" w14:textId="77777777" w:rsidR="00830A8B" w:rsidRPr="00830A8B" w:rsidRDefault="00830A8B" w:rsidP="00830A8B">
      <w:pPr>
        <w:spacing w:line="480" w:lineRule="auto"/>
        <w:jc w:val="both"/>
        <w:rPr>
          <w:rFonts w:ascii="Century Gothic" w:hAnsi="Century Gothic" w:cs="Calibri"/>
          <w:color w:val="222222"/>
          <w:sz w:val="24"/>
          <w:szCs w:val="24"/>
          <w:shd w:val="clear" w:color="auto" w:fill="FFFFFF"/>
        </w:rPr>
      </w:pPr>
      <w:r w:rsidRPr="00830A8B">
        <w:rPr>
          <w:rFonts w:ascii="Century Gothic" w:hAnsi="Century Gothic" w:cs="Calibri"/>
          <w:sz w:val="24"/>
          <w:szCs w:val="24"/>
        </w:rPr>
        <w:t xml:space="preserve">En esta legislatura ya se han concedido tres enajenaciones de manera directa y por debajo del precio comercial. Uno de ellos </w:t>
      </w:r>
      <w:r w:rsidRPr="00830A8B">
        <w:rPr>
          <w:rFonts w:ascii="Century Gothic" w:hAnsi="Century Gothic" w:cs="Calibri"/>
          <w:color w:val="222222"/>
          <w:sz w:val="24"/>
          <w:szCs w:val="24"/>
        </w:rPr>
        <w:t xml:space="preserve">es el caso del terreno enajenado a LEAR Mexican, con una superficie de 13,952.40 metros cuadrados. A pesar de que el avalúo presentado en la iniciativa establecía que este terreno tenía un valor comercial de 5 millones 215 mil pesos, se solicitó a Lear solamente el pago de 2.6 millones de pesos mexicanos, lo que representa un descuento de casi el cincuenta por ciento. Otro caso fue el </w:t>
      </w:r>
      <w:r w:rsidRPr="00830A8B">
        <w:rPr>
          <w:rFonts w:ascii="Century Gothic" w:hAnsi="Century Gothic" w:cs="Calibri"/>
          <w:color w:val="222222"/>
          <w:sz w:val="24"/>
          <w:szCs w:val="24"/>
        </w:rPr>
        <w:lastRenderedPageBreak/>
        <w:t xml:space="preserve">terreno enajenado a Perfiles Reales S.A de C.V, este es un inmueble con una superficie de 24,296.68 metros, cuyo precio </w:t>
      </w:r>
      <w:r w:rsidRPr="00830A8B">
        <w:rPr>
          <w:rFonts w:ascii="Century Gothic" w:hAnsi="Century Gothic" w:cs="Calibri"/>
          <w:color w:val="222222"/>
          <w:sz w:val="24"/>
          <w:szCs w:val="24"/>
          <w:shd w:val="clear" w:color="auto" w:fill="FFFFFF"/>
        </w:rPr>
        <w:t>comercial fue de 6 millones 845 mil pesos y la empresa solo pagó 5 millones 141 mil 926 pesos por el terreno. Por último, el caso más grave fue el caso de terreno de 159,823.989 metros cuadrados, vendido a la empresa Parques American Industries que pago solamente 3.4 millones de pesos, a pesar de que el terreno fue valuado en 137 millones 546 mil pesos; es decir, una donación disfrazada de compraventa.</w:t>
      </w:r>
    </w:p>
    <w:p w14:paraId="6728D3C7" w14:textId="77777777" w:rsidR="00830A8B" w:rsidRPr="00830A8B" w:rsidRDefault="00830A8B" w:rsidP="00830A8B">
      <w:pPr>
        <w:spacing w:line="480" w:lineRule="auto"/>
        <w:jc w:val="both"/>
        <w:rPr>
          <w:rFonts w:ascii="Century Gothic" w:hAnsi="Century Gothic" w:cs="Calibri"/>
          <w:color w:val="000000"/>
          <w:sz w:val="24"/>
          <w:szCs w:val="24"/>
          <w:shd w:val="clear" w:color="auto" w:fill="FFFFFF"/>
        </w:rPr>
      </w:pPr>
      <w:r w:rsidRPr="00830A8B">
        <w:rPr>
          <w:rFonts w:ascii="Century Gothic" w:hAnsi="Century Gothic" w:cs="Calibri"/>
          <w:color w:val="000000"/>
          <w:sz w:val="24"/>
          <w:szCs w:val="24"/>
          <w:shd w:val="clear" w:color="auto" w:fill="FFFFFF"/>
        </w:rPr>
        <w:t xml:space="preserve">La presente iniciativa tiene el objetivo de establecer medidas de protección de los bienes inmuebles de dominio privado, para poner a salvo la titularidad pública de las agresiones y usurpaciones que desvirtúan el cumplimiento de los fines de interés público de los bienes del Estado. La función de los bienes patrimoniales del Estado es la satisfacción del interés general, así como la obtención de un beneficio económico para el erario público; no los negocios, no las dádivas.  </w:t>
      </w:r>
    </w:p>
    <w:p w14:paraId="245167BD" w14:textId="77777777" w:rsidR="00830A8B" w:rsidRPr="00830A8B" w:rsidRDefault="00830A8B" w:rsidP="00830A8B">
      <w:pPr>
        <w:spacing w:line="480" w:lineRule="auto"/>
        <w:jc w:val="both"/>
        <w:rPr>
          <w:rFonts w:ascii="Century Gothic" w:hAnsi="Century Gothic" w:cs="Calibri"/>
          <w:color w:val="000000"/>
          <w:sz w:val="24"/>
          <w:szCs w:val="24"/>
          <w:shd w:val="clear" w:color="auto" w:fill="FFFFFF"/>
        </w:rPr>
      </w:pPr>
      <w:r w:rsidRPr="00830A8B">
        <w:rPr>
          <w:rFonts w:ascii="Century Gothic" w:hAnsi="Century Gothic" w:cs="Calibri"/>
          <w:color w:val="000000"/>
          <w:sz w:val="24"/>
          <w:szCs w:val="24"/>
          <w:shd w:val="clear" w:color="auto" w:fill="FFFFFF"/>
        </w:rPr>
        <w:t xml:space="preserve">La iniciativa plantea los siguientes puntos: </w:t>
      </w:r>
    </w:p>
    <w:p w14:paraId="62058D75" w14:textId="77777777" w:rsidR="00830A8B" w:rsidRPr="00830A8B" w:rsidRDefault="00830A8B" w:rsidP="00830A8B">
      <w:pPr>
        <w:pStyle w:val="Prrafodelista"/>
        <w:numPr>
          <w:ilvl w:val="0"/>
          <w:numId w:val="13"/>
        </w:numPr>
        <w:spacing w:after="160" w:line="480" w:lineRule="auto"/>
        <w:contextualSpacing/>
        <w:jc w:val="both"/>
        <w:rPr>
          <w:rFonts w:ascii="Century Gothic" w:hAnsi="Century Gothic" w:cs="Calibri"/>
          <w:sz w:val="24"/>
          <w:szCs w:val="24"/>
        </w:rPr>
      </w:pPr>
      <w:r w:rsidRPr="00830A8B">
        <w:rPr>
          <w:rFonts w:ascii="Century Gothic" w:hAnsi="Century Gothic" w:cs="Calibri"/>
          <w:sz w:val="24"/>
          <w:szCs w:val="24"/>
        </w:rPr>
        <w:t>Establecer en la Ley que los inmuebles de dominio privado deben destinarse prioritariamente al servicio de las distintas Dependencias y Entidades, y demás órganos desconcentrados. En este caso, deberán ser incorporados al dominio público.</w:t>
      </w:r>
    </w:p>
    <w:p w14:paraId="0A10AC81" w14:textId="77777777" w:rsidR="00830A8B" w:rsidRPr="00830A8B" w:rsidRDefault="00830A8B" w:rsidP="00830A8B">
      <w:pPr>
        <w:pStyle w:val="Prrafodelista"/>
        <w:numPr>
          <w:ilvl w:val="0"/>
          <w:numId w:val="13"/>
        </w:numPr>
        <w:spacing w:after="160" w:line="480" w:lineRule="auto"/>
        <w:contextualSpacing/>
        <w:jc w:val="both"/>
        <w:rPr>
          <w:rFonts w:ascii="Century Gothic" w:hAnsi="Century Gothic" w:cs="Calibri"/>
          <w:sz w:val="24"/>
          <w:szCs w:val="24"/>
        </w:rPr>
      </w:pPr>
      <w:r w:rsidRPr="00830A8B">
        <w:rPr>
          <w:rFonts w:ascii="Century Gothic" w:hAnsi="Century Gothic" w:cs="Calibri"/>
          <w:sz w:val="24"/>
          <w:szCs w:val="24"/>
        </w:rPr>
        <w:t xml:space="preserve">Establecer que la enajenación de los bienes inmuebles del dominio privado se realizará a través de subasta pública, y solo de manera excepcional por enajenación directa. </w:t>
      </w:r>
    </w:p>
    <w:p w14:paraId="3CB69307" w14:textId="77777777" w:rsidR="00830A8B" w:rsidRPr="00830A8B" w:rsidRDefault="00830A8B" w:rsidP="00830A8B">
      <w:pPr>
        <w:pStyle w:val="Prrafodelista"/>
        <w:numPr>
          <w:ilvl w:val="0"/>
          <w:numId w:val="13"/>
        </w:numPr>
        <w:spacing w:after="160" w:line="480" w:lineRule="auto"/>
        <w:contextualSpacing/>
        <w:jc w:val="both"/>
        <w:rPr>
          <w:rFonts w:ascii="Century Gothic" w:hAnsi="Century Gothic" w:cs="Calibri"/>
          <w:sz w:val="24"/>
          <w:szCs w:val="24"/>
        </w:rPr>
      </w:pPr>
      <w:r w:rsidRPr="00830A8B">
        <w:rPr>
          <w:rFonts w:ascii="Century Gothic" w:hAnsi="Century Gothic" w:cs="Calibri"/>
          <w:sz w:val="24"/>
          <w:szCs w:val="24"/>
        </w:rPr>
        <w:t>Se propone establecer supuestos concretos para que proceda la enajenación directa. La actual legislación sobre la enajenación directa es vaga y peligrosa, ya que señala que este mecanismo se justifica cuando se determina que se cumplen con criterios de economía, eficiencia, imparcialidad y honradez.</w:t>
      </w:r>
    </w:p>
    <w:p w14:paraId="433335EE" w14:textId="77777777" w:rsidR="00830A8B" w:rsidRPr="00830A8B" w:rsidRDefault="00830A8B" w:rsidP="00830A8B">
      <w:pPr>
        <w:pStyle w:val="Prrafodelista"/>
        <w:numPr>
          <w:ilvl w:val="0"/>
          <w:numId w:val="13"/>
        </w:numPr>
        <w:spacing w:after="120" w:line="480" w:lineRule="auto"/>
        <w:contextualSpacing/>
        <w:jc w:val="both"/>
        <w:rPr>
          <w:rFonts w:ascii="Century Gothic" w:hAnsi="Century Gothic" w:cs="Calibri"/>
          <w:sz w:val="24"/>
          <w:szCs w:val="24"/>
        </w:rPr>
      </w:pPr>
      <w:r w:rsidRPr="00830A8B">
        <w:rPr>
          <w:rFonts w:ascii="Century Gothic" w:hAnsi="Century Gothic" w:cs="Calibri"/>
          <w:sz w:val="24"/>
          <w:szCs w:val="24"/>
        </w:rPr>
        <w:t xml:space="preserve">Se propone involucrar la participación ciudadana en los procedimientos de enajenación directa. </w:t>
      </w:r>
    </w:p>
    <w:p w14:paraId="1EA8C2C1" w14:textId="77777777" w:rsidR="00830A8B" w:rsidRPr="00830A8B" w:rsidRDefault="00830A8B" w:rsidP="00830A8B">
      <w:pPr>
        <w:pStyle w:val="Prrafodelista"/>
        <w:numPr>
          <w:ilvl w:val="0"/>
          <w:numId w:val="13"/>
        </w:numPr>
        <w:spacing w:after="120" w:line="480" w:lineRule="auto"/>
        <w:contextualSpacing/>
        <w:jc w:val="both"/>
        <w:rPr>
          <w:rFonts w:ascii="Century Gothic" w:hAnsi="Century Gothic" w:cs="Calibri"/>
          <w:b/>
          <w:bCs/>
          <w:sz w:val="24"/>
          <w:szCs w:val="24"/>
          <w:lang w:eastAsia="es-ES"/>
        </w:rPr>
      </w:pPr>
      <w:r w:rsidRPr="00830A8B">
        <w:rPr>
          <w:rFonts w:ascii="Century Gothic" w:hAnsi="Century Gothic" w:cs="Calibri"/>
          <w:sz w:val="24"/>
          <w:szCs w:val="24"/>
        </w:rPr>
        <w:t xml:space="preserve">Se prohíben los precios preferenciales, por lo que en ningún caso la enajenación a título oneroso podrá ser inferior al avalúo comercial con una antigüedad no mayor a un año. </w:t>
      </w:r>
    </w:p>
    <w:p w14:paraId="53CF98B5" w14:textId="77777777" w:rsidR="00830A8B" w:rsidRDefault="00830A8B" w:rsidP="001A4EBF">
      <w:pPr>
        <w:spacing w:afterLines="100" w:after="240" w:line="480" w:lineRule="auto"/>
        <w:jc w:val="both"/>
        <w:rPr>
          <w:rFonts w:ascii="Century Gothic" w:eastAsia="Arial" w:hAnsi="Century Gothic" w:cs="Arial"/>
          <w:sz w:val="24"/>
          <w:szCs w:val="24"/>
        </w:rPr>
      </w:pPr>
    </w:p>
    <w:p w14:paraId="65D446D5" w14:textId="19EA7D24" w:rsidR="001A4EBF" w:rsidRDefault="0089213D" w:rsidP="001A4EBF">
      <w:pPr>
        <w:spacing w:afterLines="100" w:after="240" w:line="480" w:lineRule="auto"/>
        <w:jc w:val="both"/>
        <w:rPr>
          <w:rFonts w:ascii="Century Gothic" w:eastAsia="Arial" w:hAnsi="Century Gothic" w:cs="Arial"/>
          <w:sz w:val="24"/>
          <w:szCs w:val="24"/>
        </w:rPr>
      </w:pPr>
      <w:r w:rsidRPr="00ED5AF2">
        <w:rPr>
          <w:rFonts w:ascii="Century Gothic" w:eastAsia="Arial" w:hAnsi="Century Gothic" w:cs="Arial"/>
          <w:sz w:val="24"/>
          <w:szCs w:val="24"/>
        </w:rPr>
        <w:t>Por lo anteriormente y fundado, se somete a esta soberanía la siguiente iniciativa</w:t>
      </w:r>
      <w:r w:rsidR="001A4EBF">
        <w:rPr>
          <w:rFonts w:ascii="Century Gothic" w:eastAsia="Arial" w:hAnsi="Century Gothic" w:cs="Arial"/>
          <w:sz w:val="24"/>
          <w:szCs w:val="24"/>
        </w:rPr>
        <w:t>:</w:t>
      </w:r>
    </w:p>
    <w:p w14:paraId="072323AC" w14:textId="0040EB6C" w:rsidR="001A4EBF" w:rsidRDefault="001A4EBF" w:rsidP="001A4EBF">
      <w:pPr>
        <w:spacing w:afterLines="100" w:after="240" w:line="480" w:lineRule="auto"/>
        <w:jc w:val="center"/>
        <w:rPr>
          <w:rFonts w:ascii="Century Gothic" w:eastAsia="Arial" w:hAnsi="Century Gothic" w:cs="Arial"/>
          <w:sz w:val="24"/>
          <w:szCs w:val="24"/>
        </w:rPr>
      </w:pPr>
    </w:p>
    <w:p w14:paraId="55944921" w14:textId="77777777" w:rsidR="00444F28" w:rsidRDefault="00444F28" w:rsidP="001A4EBF">
      <w:pPr>
        <w:spacing w:afterLines="100" w:after="240" w:line="480" w:lineRule="auto"/>
        <w:jc w:val="center"/>
        <w:rPr>
          <w:rFonts w:ascii="Century Gothic" w:eastAsia="Arial" w:hAnsi="Century Gothic" w:cs="Arial"/>
          <w:sz w:val="24"/>
          <w:szCs w:val="24"/>
        </w:rPr>
      </w:pPr>
    </w:p>
    <w:p w14:paraId="31D2C7EB" w14:textId="1BAE41E8" w:rsidR="00B05008" w:rsidRPr="00007A28" w:rsidRDefault="0000547A" w:rsidP="001A4EBF">
      <w:pPr>
        <w:spacing w:afterLines="100" w:after="240" w:line="480" w:lineRule="auto"/>
        <w:jc w:val="center"/>
        <w:rPr>
          <w:rFonts w:ascii="Century Gothic" w:eastAsia="Century Gothic" w:hAnsi="Century Gothic" w:cs="Century Gothic"/>
          <w:b/>
          <w:sz w:val="24"/>
          <w:szCs w:val="24"/>
          <w:highlight w:val="white"/>
        </w:rPr>
      </w:pPr>
      <w:r w:rsidRPr="00007A28">
        <w:rPr>
          <w:rFonts w:ascii="Century Gothic" w:eastAsia="Century Gothic" w:hAnsi="Century Gothic" w:cs="Century Gothic"/>
          <w:b/>
          <w:sz w:val="24"/>
          <w:szCs w:val="24"/>
          <w:highlight w:val="white"/>
        </w:rPr>
        <w:t>D E C R E T O</w:t>
      </w:r>
    </w:p>
    <w:p w14:paraId="022D4F43" w14:textId="3417CEB6" w:rsidR="00C5028B" w:rsidRPr="00007A28" w:rsidRDefault="0000547A" w:rsidP="001A4EBF">
      <w:pPr>
        <w:spacing w:afterLines="120" w:after="288" w:line="480" w:lineRule="auto"/>
        <w:jc w:val="both"/>
        <w:rPr>
          <w:rFonts w:ascii="Century Gothic" w:eastAsia="Century Gothic" w:hAnsi="Century Gothic" w:cs="Century Gothic"/>
          <w:b/>
          <w:bCs/>
          <w:sz w:val="24"/>
          <w:szCs w:val="24"/>
        </w:rPr>
      </w:pPr>
      <w:r w:rsidRPr="00007A28">
        <w:rPr>
          <w:rFonts w:ascii="Century Gothic" w:eastAsia="Century Gothic" w:hAnsi="Century Gothic" w:cs="Century Gothic"/>
          <w:b/>
          <w:sz w:val="24"/>
          <w:szCs w:val="24"/>
        </w:rPr>
        <w:t xml:space="preserve">ARTÍCULO </w:t>
      </w:r>
      <w:r w:rsidR="00467D72" w:rsidRPr="00007A28">
        <w:rPr>
          <w:rFonts w:ascii="Century Gothic" w:eastAsia="Century Gothic" w:hAnsi="Century Gothic" w:cs="Century Gothic"/>
          <w:b/>
          <w:sz w:val="24"/>
          <w:szCs w:val="24"/>
        </w:rPr>
        <w:t>PRIMERO</w:t>
      </w:r>
      <w:r w:rsidR="00467D72" w:rsidRPr="00007A28">
        <w:rPr>
          <w:rFonts w:ascii="Century Gothic" w:eastAsia="Century Gothic" w:hAnsi="Century Gothic" w:cs="Century Gothic"/>
          <w:b/>
          <w:sz w:val="24"/>
          <w:szCs w:val="24"/>
          <w:highlight w:val="white"/>
        </w:rPr>
        <w:t xml:space="preserve">. </w:t>
      </w:r>
      <w:r w:rsidR="003320ED">
        <w:rPr>
          <w:rFonts w:ascii="Century Gothic" w:eastAsia="Century Gothic" w:hAnsi="Century Gothic" w:cs="Century Gothic"/>
          <w:b/>
          <w:sz w:val="24"/>
          <w:szCs w:val="24"/>
          <w:highlight w:val="white"/>
        </w:rPr>
        <w:t>–</w:t>
      </w:r>
      <w:r w:rsidRPr="00007A28">
        <w:rPr>
          <w:rFonts w:ascii="Century Gothic" w:eastAsia="Century Gothic" w:hAnsi="Century Gothic" w:cs="Century Gothic"/>
          <w:b/>
          <w:sz w:val="24"/>
          <w:szCs w:val="24"/>
          <w:highlight w:val="white"/>
        </w:rPr>
        <w:t xml:space="preserve"> </w:t>
      </w:r>
      <w:r w:rsidR="00C5028B" w:rsidRPr="00007A28">
        <w:rPr>
          <w:rFonts w:ascii="Century Gothic" w:eastAsia="Century Gothic" w:hAnsi="Century Gothic" w:cs="Century Gothic"/>
          <w:b/>
          <w:sz w:val="24"/>
          <w:szCs w:val="24"/>
        </w:rPr>
        <w:t>se</w:t>
      </w:r>
      <w:r w:rsidR="00830A8B">
        <w:rPr>
          <w:rFonts w:ascii="Century Gothic" w:eastAsia="Century Gothic" w:hAnsi="Century Gothic" w:cs="Century Gothic"/>
          <w:b/>
          <w:sz w:val="24"/>
          <w:szCs w:val="24"/>
        </w:rPr>
        <w:t xml:space="preserve"> </w:t>
      </w:r>
      <w:r w:rsidR="00444F28">
        <w:rPr>
          <w:rFonts w:ascii="Century Gothic" w:eastAsia="Century Gothic" w:hAnsi="Century Gothic" w:cs="Century Gothic"/>
          <w:b/>
          <w:sz w:val="24"/>
          <w:szCs w:val="24"/>
        </w:rPr>
        <w:t>reforman</w:t>
      </w:r>
      <w:r w:rsidR="00830A8B">
        <w:rPr>
          <w:rFonts w:ascii="Century Gothic" w:eastAsia="Century Gothic" w:hAnsi="Century Gothic" w:cs="Century Gothic"/>
          <w:b/>
          <w:sz w:val="24"/>
          <w:szCs w:val="24"/>
        </w:rPr>
        <w:t xml:space="preserve"> los artículos</w:t>
      </w:r>
      <w:r w:rsidR="00744E12">
        <w:rPr>
          <w:rFonts w:ascii="Century Gothic" w:eastAsia="Century Gothic" w:hAnsi="Century Gothic" w:cs="Century Gothic"/>
          <w:b/>
          <w:sz w:val="24"/>
          <w:szCs w:val="24"/>
        </w:rPr>
        <w:t xml:space="preserve"> </w:t>
      </w:r>
      <w:r w:rsidR="00830A8B">
        <w:rPr>
          <w:rFonts w:ascii="Century Gothic" w:eastAsia="Century Gothic" w:hAnsi="Century Gothic" w:cs="Century Gothic"/>
          <w:b/>
          <w:sz w:val="24"/>
          <w:szCs w:val="24"/>
        </w:rPr>
        <w:t xml:space="preserve">44 y 45 </w:t>
      </w:r>
      <w:r w:rsidR="00744E12">
        <w:rPr>
          <w:rFonts w:ascii="Century Gothic" w:eastAsia="Century Gothic" w:hAnsi="Century Gothic" w:cs="Century Gothic"/>
          <w:b/>
          <w:sz w:val="24"/>
          <w:szCs w:val="24"/>
        </w:rPr>
        <w:t xml:space="preserve">de la Ley de </w:t>
      </w:r>
      <w:r w:rsidR="00830A8B">
        <w:rPr>
          <w:rFonts w:ascii="Century Gothic" w:eastAsia="Century Gothic" w:hAnsi="Century Gothic" w:cs="Century Gothic"/>
          <w:b/>
          <w:sz w:val="24"/>
          <w:szCs w:val="24"/>
        </w:rPr>
        <w:t xml:space="preserve">Bienes del Estado de Chihuahua </w:t>
      </w:r>
      <w:r w:rsidR="00C5028B" w:rsidRPr="00007A28">
        <w:rPr>
          <w:rFonts w:ascii="Century Gothic" w:eastAsia="Century Gothic" w:hAnsi="Century Gothic" w:cs="Century Gothic"/>
          <w:b/>
          <w:bCs/>
          <w:sz w:val="24"/>
          <w:szCs w:val="24"/>
        </w:rPr>
        <w:t>para quedar en los siguientes términos:</w:t>
      </w:r>
    </w:p>
    <w:p w14:paraId="25AB5469" w14:textId="5F379DA9" w:rsidR="00830A8B" w:rsidRPr="00830A8B" w:rsidRDefault="00830A8B" w:rsidP="00830A8B">
      <w:pPr>
        <w:spacing w:line="480" w:lineRule="auto"/>
        <w:jc w:val="both"/>
        <w:rPr>
          <w:rFonts w:ascii="Century Gothic" w:hAnsi="Century Gothic"/>
          <w:sz w:val="24"/>
          <w:szCs w:val="24"/>
        </w:rPr>
      </w:pPr>
      <w:r w:rsidRPr="00830A8B">
        <w:rPr>
          <w:rFonts w:ascii="Century Gothic" w:hAnsi="Century Gothic"/>
          <w:sz w:val="24"/>
          <w:szCs w:val="24"/>
        </w:rPr>
        <w:t>Artículo 44. Los bienes inmuebles del dominio privado del Estado pueden ser objeto de todos los contratos que regula el derecho común, cumpliendo con los requisitos previstos en esta Sección.</w:t>
      </w:r>
    </w:p>
    <w:p w14:paraId="6B283929" w14:textId="73A832DC" w:rsidR="00830A8B" w:rsidRPr="00830A8B" w:rsidRDefault="00830A8B" w:rsidP="00830A8B">
      <w:pPr>
        <w:spacing w:line="480" w:lineRule="auto"/>
        <w:jc w:val="both"/>
        <w:rPr>
          <w:rFonts w:ascii="Century Gothic" w:hAnsi="Century Gothic"/>
          <w:sz w:val="24"/>
          <w:szCs w:val="24"/>
        </w:rPr>
      </w:pPr>
      <w:r w:rsidRPr="00830A8B">
        <w:rPr>
          <w:rFonts w:ascii="Century Gothic" w:hAnsi="Century Gothic"/>
          <w:b/>
          <w:bCs/>
          <w:sz w:val="24"/>
          <w:szCs w:val="24"/>
        </w:rPr>
        <w:t>Los inmuebles de dominio privado se destinarán prioritariamente al servicio de las distintas Dependencias y Entidades, y demás órganos desconcentrados. En este caso deberán ser incorporados al dominio público</w:t>
      </w:r>
      <w:r w:rsidRPr="00830A8B">
        <w:rPr>
          <w:rFonts w:ascii="Century Gothic" w:hAnsi="Century Gothic"/>
          <w:sz w:val="24"/>
          <w:szCs w:val="24"/>
        </w:rPr>
        <w:t xml:space="preserve">. </w:t>
      </w:r>
    </w:p>
    <w:p w14:paraId="2412E412" w14:textId="16B4134B" w:rsidR="00830A8B" w:rsidRPr="00830A8B" w:rsidRDefault="00830A8B" w:rsidP="00830A8B">
      <w:pPr>
        <w:spacing w:line="480" w:lineRule="auto"/>
        <w:jc w:val="both"/>
        <w:rPr>
          <w:rFonts w:ascii="Century Gothic" w:hAnsi="Century Gothic" w:cstheme="minorHAnsi"/>
          <w:b/>
          <w:bCs/>
          <w:color w:val="000000"/>
          <w:sz w:val="24"/>
          <w:szCs w:val="24"/>
        </w:rPr>
      </w:pPr>
      <w:r w:rsidRPr="00830A8B">
        <w:rPr>
          <w:rFonts w:ascii="Century Gothic" w:hAnsi="Century Gothic" w:cstheme="minorHAnsi"/>
          <w:b/>
          <w:bCs/>
          <w:color w:val="000000"/>
          <w:sz w:val="24"/>
          <w:szCs w:val="24"/>
        </w:rPr>
        <w:t>Cuando los inmuebles de dominio privado no sean adecuados para destinarlos a los fines a que se refiere el párrafo anterior, podrán ser objeto de enajenación.</w:t>
      </w:r>
    </w:p>
    <w:p w14:paraId="1BC7138D" w14:textId="1554D0FB" w:rsidR="00830A8B" w:rsidRPr="00830A8B" w:rsidRDefault="00830A8B" w:rsidP="00830A8B">
      <w:pPr>
        <w:spacing w:line="480" w:lineRule="auto"/>
        <w:jc w:val="both"/>
        <w:rPr>
          <w:rFonts w:ascii="Century Gothic" w:hAnsi="Century Gothic"/>
          <w:b/>
          <w:bCs/>
          <w:sz w:val="24"/>
          <w:szCs w:val="24"/>
        </w:rPr>
      </w:pPr>
      <w:r w:rsidRPr="00830A8B">
        <w:rPr>
          <w:rFonts w:ascii="Century Gothic" w:hAnsi="Century Gothic"/>
          <w:b/>
          <w:bCs/>
          <w:sz w:val="24"/>
          <w:szCs w:val="24"/>
        </w:rPr>
        <w:t>La enajenación de los bienes inmuebles del dominio privado se realizará a través de subasta pública, y excepcionalmente por enajenación directa.</w:t>
      </w:r>
    </w:p>
    <w:p w14:paraId="12BB946C" w14:textId="03FB47F9" w:rsidR="00F02D05" w:rsidRPr="00830A8B" w:rsidRDefault="00830A8B" w:rsidP="00830A8B">
      <w:pPr>
        <w:spacing w:line="480" w:lineRule="auto"/>
        <w:jc w:val="both"/>
        <w:rPr>
          <w:rFonts w:ascii="Century Gothic" w:hAnsi="Century Gothic"/>
          <w:b/>
          <w:bCs/>
          <w:sz w:val="24"/>
          <w:szCs w:val="24"/>
        </w:rPr>
      </w:pPr>
      <w:r w:rsidRPr="00830A8B">
        <w:rPr>
          <w:rFonts w:ascii="Century Gothic" w:hAnsi="Century Gothic"/>
          <w:b/>
          <w:bCs/>
          <w:sz w:val="24"/>
          <w:szCs w:val="24"/>
        </w:rPr>
        <w:t>La enajenación directa solamente procederá en los supuestos establecidos en esta Ley, mediante autorización del Congreso del Estado o del Comité del Patrimonio Inmobiliario Estatal, según sea el caso.</w:t>
      </w:r>
    </w:p>
    <w:p w14:paraId="5A04C80A" w14:textId="77777777" w:rsidR="00830A8B" w:rsidRPr="00830A8B" w:rsidRDefault="00830A8B" w:rsidP="00830A8B">
      <w:pPr>
        <w:spacing w:line="480" w:lineRule="auto"/>
        <w:jc w:val="both"/>
        <w:rPr>
          <w:rFonts w:ascii="Century Gothic" w:hAnsi="Century Gothic"/>
          <w:b/>
          <w:bCs/>
          <w:sz w:val="24"/>
          <w:szCs w:val="24"/>
        </w:rPr>
      </w:pPr>
    </w:p>
    <w:p w14:paraId="44D7EB03" w14:textId="5A05872D" w:rsidR="00830A8B" w:rsidRPr="00830A8B" w:rsidRDefault="00830A8B" w:rsidP="00830A8B">
      <w:pPr>
        <w:spacing w:line="480" w:lineRule="auto"/>
        <w:jc w:val="both"/>
        <w:rPr>
          <w:rFonts w:ascii="Century Gothic" w:hAnsi="Century Gothic"/>
          <w:b/>
          <w:bCs/>
          <w:sz w:val="24"/>
          <w:szCs w:val="24"/>
        </w:rPr>
      </w:pPr>
      <w:r w:rsidRPr="00830A8B">
        <w:rPr>
          <w:rFonts w:ascii="Century Gothic" w:hAnsi="Century Gothic"/>
          <w:sz w:val="24"/>
          <w:szCs w:val="24"/>
        </w:rPr>
        <w:t xml:space="preserve">Artículo 45. </w:t>
      </w:r>
      <w:r w:rsidRPr="00830A8B">
        <w:rPr>
          <w:rFonts w:ascii="Century Gothic" w:hAnsi="Century Gothic"/>
          <w:b/>
          <w:bCs/>
          <w:sz w:val="24"/>
          <w:szCs w:val="24"/>
        </w:rPr>
        <w:t>Los siguientes actos de administración y disposición</w:t>
      </w:r>
      <w:r>
        <w:rPr>
          <w:rFonts w:ascii="Century Gothic" w:hAnsi="Century Gothic"/>
          <w:b/>
          <w:bCs/>
          <w:sz w:val="24"/>
          <w:szCs w:val="24"/>
        </w:rPr>
        <w:t xml:space="preserve"> sobre bienes inmuebles de dominio privado</w:t>
      </w:r>
      <w:r w:rsidRPr="00830A8B">
        <w:rPr>
          <w:rFonts w:ascii="Century Gothic" w:hAnsi="Century Gothic"/>
          <w:b/>
          <w:bCs/>
          <w:sz w:val="24"/>
          <w:szCs w:val="24"/>
        </w:rPr>
        <w:t xml:space="preserve"> pueden proceder sin subasta pública, con autorización del Congreso del Estado:  </w:t>
      </w:r>
    </w:p>
    <w:p w14:paraId="2A5FBB24" w14:textId="77777777" w:rsidR="00830A8B" w:rsidRPr="00830A8B" w:rsidRDefault="00830A8B" w:rsidP="00830A8B">
      <w:pPr>
        <w:pStyle w:val="Prrafodelista"/>
        <w:numPr>
          <w:ilvl w:val="0"/>
          <w:numId w:val="14"/>
        </w:numPr>
        <w:spacing w:after="160" w:line="480" w:lineRule="auto"/>
        <w:contextualSpacing/>
        <w:rPr>
          <w:rFonts w:ascii="Century Gothic" w:hAnsi="Century Gothic"/>
          <w:b/>
          <w:bCs/>
          <w:sz w:val="24"/>
          <w:szCs w:val="24"/>
        </w:rPr>
      </w:pPr>
      <w:r w:rsidRPr="00830A8B">
        <w:rPr>
          <w:rFonts w:ascii="Century Gothic" w:hAnsi="Century Gothic"/>
          <w:b/>
          <w:bCs/>
          <w:sz w:val="24"/>
          <w:szCs w:val="24"/>
        </w:rPr>
        <w:t xml:space="preserve">Permuta de inmuebles que por su ubicación y características satisfagan necesidades de las partes; </w:t>
      </w:r>
    </w:p>
    <w:p w14:paraId="359B20E1" w14:textId="77777777" w:rsidR="00830A8B" w:rsidRPr="00830A8B" w:rsidRDefault="00830A8B" w:rsidP="00830A8B">
      <w:pPr>
        <w:pStyle w:val="Prrafodelista"/>
        <w:numPr>
          <w:ilvl w:val="0"/>
          <w:numId w:val="14"/>
        </w:numPr>
        <w:spacing w:after="160" w:line="480" w:lineRule="auto"/>
        <w:contextualSpacing/>
        <w:rPr>
          <w:rFonts w:ascii="Century Gothic" w:hAnsi="Century Gothic"/>
          <w:b/>
          <w:bCs/>
          <w:sz w:val="24"/>
          <w:szCs w:val="24"/>
        </w:rPr>
      </w:pPr>
      <w:r w:rsidRPr="00830A8B">
        <w:rPr>
          <w:rFonts w:ascii="Century Gothic" w:hAnsi="Century Gothic"/>
          <w:b/>
          <w:bCs/>
          <w:sz w:val="24"/>
          <w:szCs w:val="24"/>
        </w:rPr>
        <w:t xml:space="preserve">El comodato en favor de asociaciones o instituciones privadas que realicen actividades de interés social sin fines de lucro; </w:t>
      </w:r>
    </w:p>
    <w:p w14:paraId="1B49388C" w14:textId="77777777" w:rsidR="00830A8B" w:rsidRPr="00830A8B" w:rsidRDefault="00830A8B" w:rsidP="00830A8B">
      <w:pPr>
        <w:pStyle w:val="Prrafodelista"/>
        <w:numPr>
          <w:ilvl w:val="0"/>
          <w:numId w:val="14"/>
        </w:numPr>
        <w:spacing w:after="160" w:line="480" w:lineRule="auto"/>
        <w:contextualSpacing/>
        <w:rPr>
          <w:rFonts w:ascii="Century Gothic" w:hAnsi="Century Gothic"/>
          <w:b/>
          <w:bCs/>
          <w:sz w:val="24"/>
          <w:szCs w:val="24"/>
        </w:rPr>
      </w:pPr>
      <w:r w:rsidRPr="00830A8B">
        <w:rPr>
          <w:rFonts w:ascii="Century Gothic" w:hAnsi="Century Gothic"/>
          <w:b/>
          <w:bCs/>
          <w:sz w:val="24"/>
          <w:szCs w:val="24"/>
        </w:rPr>
        <w:t>Enajenación a título oneroso, para la adquisición de otros inmuebles que se requieran para la atención de los servicios a cargo de las Dependencias o Entidades, o para el pago de pasivos inmobiliarios;</w:t>
      </w:r>
    </w:p>
    <w:p w14:paraId="630B2069" w14:textId="77777777" w:rsidR="00830A8B" w:rsidRPr="00830A8B" w:rsidRDefault="00830A8B" w:rsidP="00830A8B">
      <w:pPr>
        <w:pStyle w:val="Prrafodelista"/>
        <w:numPr>
          <w:ilvl w:val="0"/>
          <w:numId w:val="14"/>
        </w:numPr>
        <w:spacing w:after="120" w:line="480" w:lineRule="auto"/>
        <w:contextualSpacing/>
        <w:jc w:val="both"/>
        <w:rPr>
          <w:rFonts w:ascii="Century Gothic" w:hAnsi="Century Gothic"/>
          <w:b/>
          <w:bCs/>
          <w:sz w:val="24"/>
          <w:szCs w:val="24"/>
        </w:rPr>
      </w:pPr>
      <w:r w:rsidRPr="00830A8B">
        <w:rPr>
          <w:rFonts w:ascii="Century Gothic" w:hAnsi="Century Gothic"/>
          <w:b/>
          <w:bCs/>
          <w:sz w:val="24"/>
          <w:szCs w:val="24"/>
        </w:rPr>
        <w:t>Enajenación a título oneroso en favor de personas físicas o morales que requieran disponer de estos inmuebles para la creación o ampliación de una empresa que beneficie a la colectividad.</w:t>
      </w:r>
    </w:p>
    <w:p w14:paraId="3CE735E9" w14:textId="77777777" w:rsidR="00830A8B" w:rsidRPr="00830A8B" w:rsidRDefault="00830A8B" w:rsidP="00830A8B">
      <w:pPr>
        <w:spacing w:after="120" w:line="480" w:lineRule="auto"/>
        <w:jc w:val="both"/>
        <w:rPr>
          <w:rFonts w:ascii="Century Gothic" w:hAnsi="Century Gothic"/>
          <w:b/>
          <w:bCs/>
          <w:sz w:val="24"/>
          <w:szCs w:val="24"/>
        </w:rPr>
      </w:pPr>
      <w:r w:rsidRPr="00830A8B">
        <w:rPr>
          <w:rFonts w:ascii="Century Gothic" w:hAnsi="Century Gothic"/>
          <w:b/>
          <w:bCs/>
          <w:sz w:val="24"/>
          <w:szCs w:val="24"/>
        </w:rPr>
        <w:t>En los anteriores supuestos es obligatorio consultar de manera previa, y eficaz a la ciudadanía. Para ello, el poder legislativo deberá convocar a audiencias públicas en términos del artículo 65 de la Ley de Participación Ciudadana.</w:t>
      </w:r>
    </w:p>
    <w:p w14:paraId="0D0BF65A" w14:textId="77777777" w:rsidR="00830A8B" w:rsidRPr="00830A8B" w:rsidRDefault="00830A8B" w:rsidP="00830A8B">
      <w:pPr>
        <w:spacing w:after="120" w:line="480" w:lineRule="auto"/>
        <w:jc w:val="both"/>
        <w:rPr>
          <w:rFonts w:ascii="Century Gothic" w:hAnsi="Century Gothic"/>
          <w:b/>
          <w:bCs/>
          <w:sz w:val="24"/>
          <w:szCs w:val="24"/>
          <w:lang w:eastAsia="es-ES"/>
        </w:rPr>
      </w:pPr>
      <w:r w:rsidRPr="00830A8B">
        <w:rPr>
          <w:rFonts w:ascii="Century Gothic" w:hAnsi="Century Gothic"/>
          <w:b/>
          <w:bCs/>
          <w:sz w:val="24"/>
          <w:szCs w:val="24"/>
        </w:rPr>
        <w:t xml:space="preserve">En los supuestos III y IV están prohibidos los precios preferenciales, por lo que en ningún caso la enajenación a título oneroso podrá ser inferior al avalúo comercial con una antigüedad no mayor a un año. </w:t>
      </w:r>
    </w:p>
    <w:p w14:paraId="7445D951" w14:textId="7E646B95" w:rsidR="00830A8B" w:rsidRPr="00830A8B" w:rsidRDefault="00830A8B" w:rsidP="00830A8B">
      <w:pPr>
        <w:spacing w:after="120" w:line="480" w:lineRule="auto"/>
        <w:rPr>
          <w:rFonts w:ascii="Century Gothic" w:hAnsi="Century Gothic"/>
          <w:sz w:val="24"/>
          <w:szCs w:val="24"/>
        </w:rPr>
      </w:pPr>
      <w:r w:rsidRPr="00830A8B">
        <w:rPr>
          <w:rFonts w:ascii="Century Gothic" w:hAnsi="Century Gothic"/>
          <w:b/>
          <w:bCs/>
          <w:sz w:val="24"/>
          <w:szCs w:val="24"/>
        </w:rPr>
        <w:t>Los actos de administración y disposición</w:t>
      </w:r>
      <w:r w:rsidRPr="00830A8B">
        <w:rPr>
          <w:rFonts w:ascii="Century Gothic" w:hAnsi="Century Gothic"/>
          <w:sz w:val="24"/>
          <w:szCs w:val="24"/>
        </w:rPr>
        <w:t xml:space="preserve"> a que se refiere este artículo solo podrá hacerse cumpliendo con los siguientes requisitos: </w:t>
      </w:r>
    </w:p>
    <w:p w14:paraId="36AEEE10" w14:textId="77777777" w:rsidR="00830A8B" w:rsidRPr="00830A8B" w:rsidRDefault="00830A8B" w:rsidP="00830A8B">
      <w:pPr>
        <w:pStyle w:val="Prrafodelista"/>
        <w:numPr>
          <w:ilvl w:val="0"/>
          <w:numId w:val="14"/>
        </w:numPr>
        <w:spacing w:after="160" w:line="480" w:lineRule="auto"/>
        <w:contextualSpacing/>
        <w:rPr>
          <w:rFonts w:ascii="Century Gothic" w:hAnsi="Century Gothic"/>
          <w:sz w:val="24"/>
          <w:szCs w:val="24"/>
        </w:rPr>
      </w:pPr>
      <w:r w:rsidRPr="00830A8B">
        <w:rPr>
          <w:rFonts w:ascii="Century Gothic" w:hAnsi="Century Gothic"/>
          <w:sz w:val="24"/>
          <w:szCs w:val="24"/>
        </w:rPr>
        <w:t xml:space="preserve">Acreditar la propiedad del inmueble que se pretende enajenar. </w:t>
      </w:r>
    </w:p>
    <w:p w14:paraId="6FEFBC8B" w14:textId="77777777" w:rsidR="00830A8B" w:rsidRPr="00830A8B" w:rsidRDefault="00830A8B" w:rsidP="00830A8B">
      <w:pPr>
        <w:pStyle w:val="Prrafodelista"/>
        <w:numPr>
          <w:ilvl w:val="0"/>
          <w:numId w:val="14"/>
        </w:numPr>
        <w:spacing w:after="160" w:line="480" w:lineRule="auto"/>
        <w:contextualSpacing/>
        <w:rPr>
          <w:rFonts w:ascii="Century Gothic" w:hAnsi="Century Gothic"/>
          <w:sz w:val="24"/>
          <w:szCs w:val="24"/>
        </w:rPr>
      </w:pPr>
      <w:r w:rsidRPr="00830A8B">
        <w:rPr>
          <w:rFonts w:ascii="Century Gothic" w:hAnsi="Century Gothic"/>
          <w:sz w:val="24"/>
          <w:szCs w:val="24"/>
        </w:rPr>
        <w:t xml:space="preserve">Presentar la descripción y ubicación exacta del inmueble, con el plano catastral correspondiente y fotografías recientes. </w:t>
      </w:r>
    </w:p>
    <w:p w14:paraId="5B210D71" w14:textId="77777777" w:rsidR="00830A8B" w:rsidRPr="00830A8B" w:rsidRDefault="00830A8B" w:rsidP="00830A8B">
      <w:pPr>
        <w:pStyle w:val="Prrafodelista"/>
        <w:numPr>
          <w:ilvl w:val="0"/>
          <w:numId w:val="14"/>
        </w:numPr>
        <w:spacing w:after="160" w:line="480" w:lineRule="auto"/>
        <w:contextualSpacing/>
        <w:rPr>
          <w:rFonts w:ascii="Century Gothic" w:hAnsi="Century Gothic"/>
          <w:sz w:val="24"/>
          <w:szCs w:val="24"/>
        </w:rPr>
      </w:pPr>
      <w:r w:rsidRPr="00830A8B">
        <w:rPr>
          <w:rFonts w:ascii="Century Gothic" w:hAnsi="Century Gothic"/>
          <w:sz w:val="24"/>
          <w:szCs w:val="24"/>
        </w:rPr>
        <w:t>Presentar el valor catastral del inmueble, así como un avalúo comercial con una antigüedad no mayor a un año, elaborado de forma colegiada por al menos tres valuadores certificados.</w:t>
      </w:r>
    </w:p>
    <w:p w14:paraId="07DDD243" w14:textId="3DAB4B89" w:rsidR="00830A8B" w:rsidRPr="00830A8B" w:rsidRDefault="00830A8B" w:rsidP="00830A8B">
      <w:pPr>
        <w:pStyle w:val="Prrafodelista"/>
        <w:numPr>
          <w:ilvl w:val="0"/>
          <w:numId w:val="14"/>
        </w:numPr>
        <w:spacing w:after="160" w:line="480" w:lineRule="auto"/>
        <w:contextualSpacing/>
        <w:rPr>
          <w:rFonts w:ascii="Century Gothic" w:hAnsi="Century Gothic"/>
          <w:sz w:val="24"/>
          <w:szCs w:val="24"/>
        </w:rPr>
      </w:pPr>
      <w:r w:rsidRPr="00830A8B">
        <w:rPr>
          <w:rFonts w:ascii="Century Gothic" w:hAnsi="Century Gothic"/>
          <w:sz w:val="24"/>
          <w:szCs w:val="24"/>
        </w:rPr>
        <w:t>Especificar en favor de quién se va a enajenar. Cuando la autorización tenga por objeto la donación del inmueble, las personas beneficiarias tendrán el deber de no cambiar el destino del mismo y terminar, en su caso, las obras de construcción en un plazo no mayor de dos años, con la consecuencia que de no cumplir con estos requisitos, el bien se revertirá al patrimonio del Estado.</w:t>
      </w:r>
    </w:p>
    <w:p w14:paraId="63D806C4" w14:textId="77777777" w:rsidR="00830A8B" w:rsidRPr="00830A8B" w:rsidRDefault="00830A8B" w:rsidP="00830A8B">
      <w:pPr>
        <w:spacing w:line="480" w:lineRule="auto"/>
        <w:jc w:val="both"/>
        <w:rPr>
          <w:rFonts w:ascii="Century Gothic" w:hAnsi="Century Gothic"/>
          <w:sz w:val="24"/>
          <w:szCs w:val="24"/>
        </w:rPr>
      </w:pPr>
      <w:r w:rsidRPr="00830A8B">
        <w:rPr>
          <w:rFonts w:ascii="Century Gothic" w:hAnsi="Century Gothic"/>
          <w:sz w:val="24"/>
          <w:szCs w:val="24"/>
        </w:rPr>
        <w:t>Cuando la autorización tenga por objeto la donación del inmueble, las personas beneficiarias tendrán el deber de no cambiar el destino del mismo y terminar, en su caso, las obras de construcción en un plazo no mayor de dos años, con la consecuencia que de no cumplir con estos requisitos, el bien se revertirá al patrimonio del Estado.</w:t>
      </w:r>
    </w:p>
    <w:p w14:paraId="5953AAF4" w14:textId="77777777" w:rsidR="005D4BA1" w:rsidRPr="00ED5AF2" w:rsidRDefault="005D4BA1" w:rsidP="00830A8B">
      <w:pPr>
        <w:spacing w:line="480" w:lineRule="auto"/>
        <w:rPr>
          <w:rFonts w:ascii="Century Gothic" w:hAnsi="Century Gothic"/>
          <w:sz w:val="24"/>
          <w:szCs w:val="24"/>
        </w:rPr>
      </w:pPr>
    </w:p>
    <w:p w14:paraId="13092EC7" w14:textId="77777777" w:rsidR="00B05008" w:rsidRPr="00ED5AF2" w:rsidRDefault="0000547A" w:rsidP="001A4EBF">
      <w:pPr>
        <w:pBdr>
          <w:top w:val="nil"/>
          <w:left w:val="nil"/>
          <w:bottom w:val="nil"/>
          <w:right w:val="nil"/>
          <w:between w:val="nil"/>
        </w:pBdr>
        <w:spacing w:afterLines="100" w:after="240" w:line="480" w:lineRule="auto"/>
        <w:jc w:val="center"/>
        <w:rPr>
          <w:rFonts w:ascii="Century Gothic" w:eastAsia="Century Gothic" w:hAnsi="Century Gothic" w:cs="Century Gothic"/>
          <w:b/>
          <w:color w:val="000000"/>
          <w:sz w:val="24"/>
          <w:szCs w:val="24"/>
        </w:rPr>
      </w:pPr>
      <w:r w:rsidRPr="00ED5AF2">
        <w:rPr>
          <w:rFonts w:ascii="Century Gothic" w:eastAsia="Century Gothic" w:hAnsi="Century Gothic" w:cs="Century Gothic"/>
          <w:b/>
          <w:color w:val="000000"/>
          <w:sz w:val="24"/>
          <w:szCs w:val="24"/>
        </w:rPr>
        <w:t>T R A N S I T O R I O S:</w:t>
      </w:r>
    </w:p>
    <w:p w14:paraId="31FA1090" w14:textId="26991321" w:rsidR="00744E12" w:rsidRPr="00744E12" w:rsidRDefault="00744E12" w:rsidP="001A4EBF">
      <w:pPr>
        <w:spacing w:line="480" w:lineRule="auto"/>
        <w:jc w:val="both"/>
        <w:rPr>
          <w:rFonts w:ascii="Century Gothic" w:hAnsi="Century Gothic"/>
          <w:b/>
          <w:sz w:val="24"/>
        </w:rPr>
      </w:pPr>
      <w:r>
        <w:rPr>
          <w:rFonts w:ascii="Century Gothic" w:hAnsi="Century Gothic"/>
          <w:b/>
          <w:sz w:val="24"/>
        </w:rPr>
        <w:t>ÚN</w:t>
      </w:r>
      <w:r w:rsidRPr="00744E12">
        <w:rPr>
          <w:rFonts w:ascii="Century Gothic" w:hAnsi="Century Gothic"/>
          <w:b/>
          <w:sz w:val="24"/>
        </w:rPr>
        <w:t xml:space="preserve">ICO.- </w:t>
      </w:r>
      <w:r w:rsidRPr="00744E12">
        <w:rPr>
          <w:rFonts w:ascii="Century Gothic" w:hAnsi="Century Gothic"/>
          <w:bCs/>
          <w:sz w:val="24"/>
        </w:rPr>
        <w:t>El presente Decreto entrará en vigor al día siguiente de su publicación en el Periódico Oficial del Estado.</w:t>
      </w:r>
    </w:p>
    <w:p w14:paraId="78F11213" w14:textId="77777777" w:rsidR="00744E12" w:rsidRPr="00744E12" w:rsidRDefault="00744E12" w:rsidP="001A4EBF">
      <w:pPr>
        <w:spacing w:line="480" w:lineRule="auto"/>
        <w:jc w:val="both"/>
        <w:rPr>
          <w:rFonts w:ascii="Century Gothic" w:hAnsi="Century Gothic"/>
          <w:b/>
          <w:sz w:val="24"/>
        </w:rPr>
      </w:pPr>
    </w:p>
    <w:p w14:paraId="720943F5" w14:textId="7876C413" w:rsidR="00B05008" w:rsidRPr="00744E12" w:rsidRDefault="0000547A" w:rsidP="001A4EBF">
      <w:pPr>
        <w:pBdr>
          <w:top w:val="nil"/>
          <w:left w:val="nil"/>
          <w:bottom w:val="nil"/>
          <w:right w:val="nil"/>
          <w:between w:val="nil"/>
        </w:pBdr>
        <w:spacing w:afterLines="100" w:after="240" w:line="480" w:lineRule="auto"/>
        <w:jc w:val="both"/>
        <w:rPr>
          <w:rFonts w:ascii="Century Gothic" w:eastAsia="Century Gothic" w:hAnsi="Century Gothic" w:cs="Century Gothic"/>
          <w:color w:val="000000"/>
          <w:sz w:val="24"/>
          <w:szCs w:val="24"/>
        </w:rPr>
      </w:pPr>
      <w:r w:rsidRPr="00744E12">
        <w:rPr>
          <w:rFonts w:ascii="Century Gothic" w:eastAsia="Century Gothic" w:hAnsi="Century Gothic" w:cs="Century Gothic"/>
          <w:b/>
          <w:color w:val="000000"/>
          <w:sz w:val="24"/>
          <w:szCs w:val="24"/>
        </w:rPr>
        <w:t xml:space="preserve">ECONÓMICO. - </w:t>
      </w:r>
      <w:r w:rsidRPr="00744E12">
        <w:rPr>
          <w:rFonts w:ascii="Century Gothic" w:eastAsia="Century Gothic" w:hAnsi="Century Gothic" w:cs="Century Gothic"/>
          <w:color w:val="000000"/>
          <w:sz w:val="24"/>
          <w:szCs w:val="24"/>
        </w:rPr>
        <w:t>Aprobado que sea túrnese a la Secretaría de Asuntos Legislativos y Jurídicos para que elabore la minuta de Decreto en los términos que deba publicarse.</w:t>
      </w:r>
    </w:p>
    <w:p w14:paraId="021950B4" w14:textId="5B0A56E5" w:rsidR="00B05008" w:rsidRDefault="0000547A" w:rsidP="00830A8B">
      <w:pPr>
        <w:pBdr>
          <w:top w:val="nil"/>
          <w:left w:val="nil"/>
          <w:bottom w:val="nil"/>
          <w:right w:val="nil"/>
          <w:between w:val="nil"/>
        </w:pBdr>
        <w:spacing w:afterLines="100" w:after="240" w:line="480" w:lineRule="auto"/>
        <w:jc w:val="both"/>
        <w:rPr>
          <w:rFonts w:ascii="Century Gothic" w:eastAsia="Century Gothic" w:hAnsi="Century Gothic" w:cs="Century Gothic"/>
          <w:color w:val="000000"/>
          <w:sz w:val="24"/>
          <w:szCs w:val="24"/>
        </w:rPr>
      </w:pPr>
      <w:r w:rsidRPr="00744E12">
        <w:rPr>
          <w:rFonts w:ascii="Century Gothic" w:eastAsia="Century Gothic" w:hAnsi="Century Gothic" w:cs="Century Gothic"/>
          <w:b/>
          <w:color w:val="000000"/>
          <w:sz w:val="24"/>
          <w:szCs w:val="24"/>
        </w:rPr>
        <w:t>D A D O</w:t>
      </w:r>
      <w:r w:rsidRPr="00744E12">
        <w:rPr>
          <w:rFonts w:ascii="Century Gothic" w:eastAsia="Century Gothic" w:hAnsi="Century Gothic" w:cs="Century Gothic"/>
          <w:color w:val="000000"/>
          <w:sz w:val="24"/>
          <w:szCs w:val="24"/>
        </w:rPr>
        <w:t xml:space="preserve"> en el salón de sesiones del Poder Legislativo a los </w:t>
      </w:r>
      <w:r w:rsidR="00082D53" w:rsidRPr="00744E12">
        <w:rPr>
          <w:rFonts w:ascii="Century Gothic" w:eastAsia="Century Gothic" w:hAnsi="Century Gothic" w:cs="Century Gothic"/>
          <w:color w:val="000000"/>
          <w:sz w:val="24"/>
          <w:szCs w:val="24"/>
        </w:rPr>
        <w:t>1</w:t>
      </w:r>
      <w:r w:rsidR="00830A8B">
        <w:rPr>
          <w:rFonts w:ascii="Century Gothic" w:eastAsia="Century Gothic" w:hAnsi="Century Gothic" w:cs="Century Gothic"/>
          <w:color w:val="000000"/>
          <w:sz w:val="24"/>
          <w:szCs w:val="24"/>
        </w:rPr>
        <w:t>1</w:t>
      </w:r>
      <w:r w:rsidRPr="00744E12">
        <w:rPr>
          <w:rFonts w:ascii="Century Gothic" w:eastAsia="Century Gothic" w:hAnsi="Century Gothic" w:cs="Century Gothic"/>
          <w:color w:val="000000"/>
          <w:sz w:val="24"/>
          <w:szCs w:val="24"/>
        </w:rPr>
        <w:t xml:space="preserve"> días del mes de </w:t>
      </w:r>
      <w:r w:rsidR="00830A8B">
        <w:rPr>
          <w:rFonts w:ascii="Century Gothic" w:eastAsia="Century Gothic" w:hAnsi="Century Gothic" w:cs="Century Gothic"/>
          <w:color w:val="000000"/>
          <w:sz w:val="24"/>
          <w:szCs w:val="24"/>
        </w:rPr>
        <w:t xml:space="preserve">octubre </w:t>
      </w:r>
      <w:r w:rsidRPr="00744E12">
        <w:rPr>
          <w:rFonts w:ascii="Century Gothic" w:eastAsia="Century Gothic" w:hAnsi="Century Gothic" w:cs="Century Gothic"/>
          <w:color w:val="000000"/>
          <w:sz w:val="24"/>
          <w:szCs w:val="24"/>
        </w:rPr>
        <w:t xml:space="preserve">del año dos mil </w:t>
      </w:r>
      <w:r w:rsidR="00C5028B" w:rsidRPr="00744E12">
        <w:rPr>
          <w:rFonts w:ascii="Century Gothic" w:eastAsia="Century Gothic" w:hAnsi="Century Gothic" w:cs="Century Gothic"/>
          <w:color w:val="000000"/>
          <w:sz w:val="24"/>
          <w:szCs w:val="24"/>
        </w:rPr>
        <w:t>veintidós.</w:t>
      </w:r>
    </w:p>
    <w:p w14:paraId="6962A1CF" w14:textId="77777777" w:rsidR="00830A8B" w:rsidRPr="00830A8B" w:rsidRDefault="00830A8B" w:rsidP="00830A8B">
      <w:pPr>
        <w:jc w:val="center"/>
        <w:rPr>
          <w:rFonts w:ascii="Century Gothic" w:hAnsi="Century Gothic" w:cstheme="majorHAnsi"/>
          <w:b/>
          <w:sz w:val="24"/>
          <w:szCs w:val="24"/>
        </w:rPr>
      </w:pPr>
      <w:r w:rsidRPr="00830A8B">
        <w:rPr>
          <w:rFonts w:ascii="Century Gothic" w:hAnsi="Century Gothic" w:cstheme="majorHAnsi"/>
          <w:b/>
          <w:sz w:val="24"/>
          <w:szCs w:val="24"/>
        </w:rPr>
        <w:t>A T E N T A M E N T E</w:t>
      </w:r>
    </w:p>
    <w:p w14:paraId="07E66A94" w14:textId="77777777" w:rsidR="00830A8B" w:rsidRPr="00830A8B" w:rsidRDefault="00830A8B" w:rsidP="00830A8B">
      <w:pPr>
        <w:pStyle w:val="Prrafodelista"/>
        <w:ind w:left="0"/>
        <w:rPr>
          <w:rFonts w:ascii="Century Gothic" w:hAnsi="Century Gothic" w:cstheme="majorHAnsi"/>
          <w:b/>
          <w:sz w:val="24"/>
          <w:szCs w:val="24"/>
          <w:shd w:val="clear" w:color="auto" w:fill="FFFFFF"/>
        </w:rPr>
      </w:pPr>
    </w:p>
    <w:p w14:paraId="2D936438" w14:textId="77777777" w:rsidR="00830A8B" w:rsidRPr="00830A8B" w:rsidRDefault="00830A8B" w:rsidP="00830A8B">
      <w:pPr>
        <w:spacing w:after="160"/>
        <w:contextualSpacing/>
        <w:jc w:val="center"/>
        <w:rPr>
          <w:rFonts w:ascii="Century Gothic" w:eastAsiaTheme="minorHAnsi" w:hAnsi="Century Gothic" w:cstheme="majorHAnsi"/>
          <w:b/>
          <w:bCs/>
          <w:sz w:val="24"/>
          <w:szCs w:val="24"/>
          <w:lang w:eastAsia="en-US"/>
        </w:rPr>
      </w:pPr>
    </w:p>
    <w:p w14:paraId="0A787185" w14:textId="77777777" w:rsidR="00830A8B" w:rsidRPr="00830A8B" w:rsidRDefault="00830A8B" w:rsidP="00830A8B">
      <w:pPr>
        <w:spacing w:after="160"/>
        <w:contextualSpacing/>
        <w:jc w:val="center"/>
        <w:rPr>
          <w:rFonts w:ascii="Century Gothic" w:eastAsiaTheme="minorHAnsi" w:hAnsi="Century Gothic" w:cstheme="majorHAnsi"/>
          <w:b/>
          <w:bCs/>
          <w:sz w:val="24"/>
          <w:szCs w:val="24"/>
          <w:lang w:eastAsia="en-US"/>
        </w:rPr>
      </w:pPr>
    </w:p>
    <w:p w14:paraId="3E90AE73" w14:textId="714FBE8C" w:rsidR="00830A8B" w:rsidRPr="00830A8B" w:rsidRDefault="00830A8B" w:rsidP="00830A8B">
      <w:pPr>
        <w:spacing w:after="160"/>
        <w:contextualSpacing/>
        <w:jc w:val="center"/>
        <w:rPr>
          <w:rFonts w:ascii="Century Gothic" w:eastAsiaTheme="minorHAnsi" w:hAnsi="Century Gothic" w:cstheme="majorHAnsi"/>
          <w:b/>
          <w:bCs/>
          <w:sz w:val="24"/>
          <w:szCs w:val="24"/>
          <w:lang w:eastAsia="en-US"/>
        </w:rPr>
      </w:pPr>
      <w:r w:rsidRPr="00830A8B">
        <w:rPr>
          <w:rFonts w:ascii="Century Gothic" w:eastAsiaTheme="minorHAnsi" w:hAnsi="Century Gothic" w:cstheme="majorHAnsi"/>
          <w:b/>
          <w:bCs/>
          <w:sz w:val="24"/>
          <w:szCs w:val="24"/>
          <w:lang w:eastAsia="en-US"/>
        </w:rPr>
        <w:t>DIP. LETICIA ORTEGA MÁYNEZ</w:t>
      </w:r>
    </w:p>
    <w:p w14:paraId="4F81361C" w14:textId="77777777" w:rsidR="00830A8B" w:rsidRPr="00830A8B" w:rsidRDefault="00830A8B" w:rsidP="00830A8B">
      <w:pPr>
        <w:spacing w:after="160"/>
        <w:contextualSpacing/>
        <w:jc w:val="center"/>
        <w:rPr>
          <w:rFonts w:ascii="Century Gothic" w:eastAsiaTheme="minorHAnsi" w:hAnsi="Century Gothic" w:cstheme="majorHAnsi"/>
          <w:b/>
          <w:bCs/>
          <w:sz w:val="24"/>
          <w:szCs w:val="24"/>
          <w:lang w:eastAsia="en-US"/>
        </w:rPr>
      </w:pPr>
    </w:p>
    <w:p w14:paraId="2B05C330" w14:textId="77777777" w:rsidR="00830A8B" w:rsidRPr="00830A8B" w:rsidRDefault="00830A8B" w:rsidP="00830A8B">
      <w:pPr>
        <w:spacing w:after="160"/>
        <w:contextualSpacing/>
        <w:jc w:val="center"/>
        <w:rPr>
          <w:rFonts w:ascii="Century Gothic" w:eastAsiaTheme="minorHAnsi" w:hAnsi="Century Gothic" w:cstheme="majorHAnsi"/>
          <w:b/>
          <w:sz w:val="24"/>
          <w:szCs w:val="24"/>
          <w:shd w:val="clear" w:color="auto" w:fill="FFFFFF"/>
          <w:lang w:eastAsia="en-US"/>
        </w:rPr>
      </w:pPr>
    </w:p>
    <w:tbl>
      <w:tblPr>
        <w:tblStyle w:val="Tablaconcuadrcula1"/>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443"/>
      </w:tblGrid>
      <w:tr w:rsidR="00830A8B" w:rsidRPr="00830A8B" w14:paraId="4455FC21" w14:textId="77777777" w:rsidTr="00830A8B">
        <w:trPr>
          <w:trHeight w:val="1640"/>
        </w:trPr>
        <w:tc>
          <w:tcPr>
            <w:tcW w:w="4443" w:type="dxa"/>
            <w:vAlign w:val="bottom"/>
          </w:tcPr>
          <w:p w14:paraId="5C07CD3E" w14:textId="77777777" w:rsidR="00830A8B" w:rsidRPr="00830A8B" w:rsidRDefault="00830A8B" w:rsidP="00830A8B">
            <w:pPr>
              <w:spacing w:after="160"/>
              <w:contextualSpacing/>
              <w:jc w:val="center"/>
              <w:rPr>
                <w:rFonts w:ascii="Century Gothic" w:hAnsi="Century Gothic" w:cstheme="majorHAnsi"/>
                <w:b/>
                <w:bCs/>
                <w:sz w:val="24"/>
                <w:szCs w:val="24"/>
              </w:rPr>
            </w:pPr>
          </w:p>
          <w:p w14:paraId="36D95DB6" w14:textId="77777777" w:rsidR="00830A8B" w:rsidRPr="00830A8B" w:rsidRDefault="00830A8B" w:rsidP="00830A8B">
            <w:pPr>
              <w:spacing w:after="160"/>
              <w:contextualSpacing/>
              <w:jc w:val="center"/>
              <w:rPr>
                <w:rFonts w:ascii="Century Gothic" w:hAnsi="Century Gothic" w:cstheme="majorHAnsi"/>
                <w:b/>
                <w:bCs/>
                <w:sz w:val="24"/>
                <w:szCs w:val="24"/>
              </w:rPr>
            </w:pPr>
          </w:p>
          <w:p w14:paraId="59A95C93" w14:textId="77777777" w:rsidR="00830A8B" w:rsidRPr="00830A8B" w:rsidRDefault="00830A8B" w:rsidP="00830A8B">
            <w:pPr>
              <w:spacing w:after="160"/>
              <w:contextualSpacing/>
              <w:jc w:val="center"/>
              <w:rPr>
                <w:rFonts w:ascii="Century Gothic" w:hAnsi="Century Gothic" w:cstheme="majorHAnsi"/>
                <w:b/>
                <w:bCs/>
                <w:sz w:val="24"/>
                <w:szCs w:val="24"/>
              </w:rPr>
            </w:pPr>
          </w:p>
          <w:p w14:paraId="4293C0D4" w14:textId="77777777" w:rsidR="00830A8B" w:rsidRPr="00830A8B" w:rsidRDefault="00830A8B" w:rsidP="00830A8B">
            <w:pPr>
              <w:spacing w:after="160"/>
              <w:contextualSpacing/>
              <w:jc w:val="center"/>
              <w:rPr>
                <w:rFonts w:ascii="Century Gothic" w:hAnsi="Century Gothic" w:cstheme="majorHAnsi"/>
                <w:b/>
                <w:bCs/>
                <w:sz w:val="24"/>
                <w:szCs w:val="24"/>
              </w:rPr>
            </w:pPr>
          </w:p>
          <w:p w14:paraId="7DBAD7A6" w14:textId="780A6A0F" w:rsidR="00830A8B" w:rsidRPr="00830A8B" w:rsidRDefault="00830A8B" w:rsidP="00830A8B">
            <w:pPr>
              <w:spacing w:after="160"/>
              <w:contextualSpacing/>
              <w:jc w:val="center"/>
              <w:rPr>
                <w:rFonts w:ascii="Century Gothic" w:hAnsi="Century Gothic" w:cstheme="majorHAnsi"/>
                <w:b/>
                <w:bCs/>
                <w:sz w:val="24"/>
                <w:szCs w:val="24"/>
              </w:rPr>
            </w:pPr>
            <w:r w:rsidRPr="00830A8B">
              <w:rPr>
                <w:rFonts w:ascii="Century Gothic" w:hAnsi="Century Gothic" w:cstheme="majorHAnsi"/>
                <w:b/>
                <w:bCs/>
                <w:sz w:val="24"/>
                <w:szCs w:val="24"/>
              </w:rPr>
              <w:t>DIP.MARIA ANTONIETA PÉREZ REYES</w:t>
            </w:r>
          </w:p>
          <w:p w14:paraId="6F733B7D" w14:textId="03EFECD3" w:rsidR="00830A8B" w:rsidRPr="00830A8B" w:rsidRDefault="00830A8B" w:rsidP="00830A8B">
            <w:pPr>
              <w:jc w:val="center"/>
              <w:rPr>
                <w:rFonts w:ascii="Century Gothic" w:hAnsi="Century Gothic" w:cstheme="majorHAnsi"/>
                <w:b/>
                <w:bCs/>
                <w:sz w:val="24"/>
                <w:szCs w:val="24"/>
              </w:rPr>
            </w:pPr>
          </w:p>
        </w:tc>
        <w:tc>
          <w:tcPr>
            <w:tcW w:w="4443" w:type="dxa"/>
            <w:vAlign w:val="center"/>
          </w:tcPr>
          <w:p w14:paraId="33625733" w14:textId="77777777" w:rsidR="00830A8B" w:rsidRPr="00830A8B" w:rsidRDefault="00830A8B" w:rsidP="00830A8B">
            <w:pPr>
              <w:jc w:val="center"/>
              <w:rPr>
                <w:rFonts w:ascii="Century Gothic" w:hAnsi="Century Gothic" w:cstheme="majorHAnsi"/>
                <w:b/>
                <w:bCs/>
                <w:sz w:val="24"/>
                <w:szCs w:val="24"/>
              </w:rPr>
            </w:pPr>
          </w:p>
          <w:p w14:paraId="555657FA" w14:textId="77777777" w:rsidR="00830A8B" w:rsidRPr="00830A8B" w:rsidRDefault="00830A8B" w:rsidP="00830A8B">
            <w:pPr>
              <w:jc w:val="center"/>
              <w:rPr>
                <w:rFonts w:ascii="Century Gothic" w:hAnsi="Century Gothic" w:cstheme="majorHAnsi"/>
                <w:b/>
                <w:bCs/>
                <w:sz w:val="24"/>
                <w:szCs w:val="24"/>
              </w:rPr>
            </w:pPr>
          </w:p>
          <w:p w14:paraId="1F775FDC" w14:textId="77777777" w:rsidR="00830A8B" w:rsidRPr="00830A8B" w:rsidRDefault="00830A8B" w:rsidP="00830A8B">
            <w:pPr>
              <w:jc w:val="center"/>
              <w:rPr>
                <w:rFonts w:ascii="Century Gothic" w:hAnsi="Century Gothic" w:cstheme="majorHAnsi"/>
                <w:b/>
                <w:bCs/>
                <w:sz w:val="24"/>
                <w:szCs w:val="24"/>
              </w:rPr>
            </w:pPr>
          </w:p>
          <w:p w14:paraId="32BE29CA" w14:textId="6C7A00A3" w:rsidR="00830A8B" w:rsidRPr="00830A8B" w:rsidRDefault="00830A8B" w:rsidP="00830A8B">
            <w:pPr>
              <w:jc w:val="center"/>
              <w:rPr>
                <w:rFonts w:ascii="Century Gothic" w:hAnsi="Century Gothic" w:cstheme="majorHAnsi"/>
                <w:b/>
                <w:bCs/>
                <w:sz w:val="24"/>
                <w:szCs w:val="24"/>
              </w:rPr>
            </w:pPr>
            <w:r w:rsidRPr="00830A8B">
              <w:rPr>
                <w:rFonts w:ascii="Century Gothic" w:hAnsi="Century Gothic" w:cstheme="majorHAnsi"/>
                <w:b/>
                <w:bCs/>
                <w:sz w:val="24"/>
                <w:szCs w:val="24"/>
              </w:rPr>
              <w:t>DIP. ÓSCAR DANIEL AVITIA ARELLANES</w:t>
            </w:r>
          </w:p>
        </w:tc>
      </w:tr>
      <w:tr w:rsidR="00830A8B" w:rsidRPr="00830A8B" w14:paraId="3605D462" w14:textId="77777777" w:rsidTr="00830A8B">
        <w:trPr>
          <w:trHeight w:val="1640"/>
        </w:trPr>
        <w:tc>
          <w:tcPr>
            <w:tcW w:w="4443" w:type="dxa"/>
            <w:vAlign w:val="bottom"/>
          </w:tcPr>
          <w:p w14:paraId="31B65E59"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bCs/>
                <w:sz w:val="24"/>
                <w:szCs w:val="24"/>
              </w:rPr>
              <w:t xml:space="preserve">DIP. ROSANA DÍAZ </w:t>
            </w:r>
          </w:p>
          <w:p w14:paraId="3C4E4670"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bCs/>
                <w:sz w:val="24"/>
                <w:szCs w:val="24"/>
              </w:rPr>
              <w:t>REYES</w:t>
            </w:r>
          </w:p>
        </w:tc>
        <w:tc>
          <w:tcPr>
            <w:tcW w:w="4443" w:type="dxa"/>
            <w:vAlign w:val="bottom"/>
          </w:tcPr>
          <w:p w14:paraId="21F102D1"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bCs/>
                <w:sz w:val="24"/>
                <w:szCs w:val="24"/>
              </w:rPr>
              <w:t>DIP. GUSTAVO DE LA ROSA HICKERSON</w:t>
            </w:r>
          </w:p>
        </w:tc>
      </w:tr>
      <w:tr w:rsidR="00830A8B" w:rsidRPr="00830A8B" w14:paraId="132F2964" w14:textId="77777777" w:rsidTr="00830A8B">
        <w:trPr>
          <w:trHeight w:val="1640"/>
        </w:trPr>
        <w:tc>
          <w:tcPr>
            <w:tcW w:w="4443" w:type="dxa"/>
            <w:vAlign w:val="bottom"/>
          </w:tcPr>
          <w:p w14:paraId="18B17FE2"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sz w:val="24"/>
                <w:szCs w:val="24"/>
              </w:rPr>
              <w:t>DIP.</w:t>
            </w:r>
            <w:r w:rsidRPr="00830A8B">
              <w:rPr>
                <w:rFonts w:ascii="Century Gothic" w:eastAsia="Times New Roman" w:hAnsi="Century Gothic" w:cstheme="majorHAnsi"/>
                <w:b/>
                <w:sz w:val="24"/>
                <w:szCs w:val="24"/>
              </w:rPr>
              <w:t xml:space="preserve"> EDIN CUAUHTÉMOC ESTRADA SOTELO</w:t>
            </w:r>
          </w:p>
        </w:tc>
        <w:tc>
          <w:tcPr>
            <w:tcW w:w="4443" w:type="dxa"/>
            <w:vAlign w:val="bottom"/>
          </w:tcPr>
          <w:p w14:paraId="6C83B121" w14:textId="77777777" w:rsidR="00830A8B" w:rsidRPr="00830A8B" w:rsidRDefault="00830A8B" w:rsidP="007A68A1">
            <w:pPr>
              <w:jc w:val="center"/>
              <w:rPr>
                <w:rFonts w:ascii="Century Gothic" w:hAnsi="Century Gothic" w:cstheme="majorHAnsi"/>
                <w:b/>
                <w:bCs/>
                <w:sz w:val="24"/>
                <w:szCs w:val="24"/>
              </w:rPr>
            </w:pPr>
            <w:r w:rsidRPr="00830A8B">
              <w:rPr>
                <w:rFonts w:ascii="Century Gothic" w:eastAsia="Times New Roman" w:hAnsi="Century Gothic" w:cstheme="majorHAnsi"/>
                <w:b/>
                <w:sz w:val="24"/>
                <w:szCs w:val="24"/>
              </w:rPr>
              <w:t>DIP. MAGDALENA RENTERÍA PÉREZ</w:t>
            </w:r>
          </w:p>
        </w:tc>
      </w:tr>
      <w:tr w:rsidR="00830A8B" w:rsidRPr="00830A8B" w14:paraId="1FFEEACE" w14:textId="77777777" w:rsidTr="00830A8B">
        <w:trPr>
          <w:trHeight w:val="1640"/>
        </w:trPr>
        <w:tc>
          <w:tcPr>
            <w:tcW w:w="4443" w:type="dxa"/>
            <w:vAlign w:val="bottom"/>
          </w:tcPr>
          <w:p w14:paraId="1353921C" w14:textId="77777777" w:rsidR="00830A8B" w:rsidRPr="00830A8B" w:rsidRDefault="00830A8B" w:rsidP="007A68A1">
            <w:pPr>
              <w:jc w:val="center"/>
              <w:rPr>
                <w:rFonts w:ascii="Century Gothic" w:hAnsi="Century Gothic" w:cstheme="majorHAnsi"/>
                <w:b/>
                <w:bCs/>
                <w:sz w:val="24"/>
                <w:szCs w:val="24"/>
              </w:rPr>
            </w:pPr>
          </w:p>
          <w:p w14:paraId="0818F92B" w14:textId="77777777" w:rsidR="00830A8B" w:rsidRPr="00830A8B" w:rsidRDefault="00830A8B" w:rsidP="007A68A1">
            <w:pPr>
              <w:jc w:val="center"/>
              <w:rPr>
                <w:rFonts w:ascii="Century Gothic" w:hAnsi="Century Gothic" w:cstheme="majorHAnsi"/>
                <w:b/>
                <w:bCs/>
                <w:sz w:val="24"/>
                <w:szCs w:val="24"/>
              </w:rPr>
            </w:pPr>
          </w:p>
          <w:p w14:paraId="411B948D" w14:textId="77777777" w:rsidR="00830A8B" w:rsidRPr="00830A8B" w:rsidRDefault="00830A8B" w:rsidP="007A68A1">
            <w:pPr>
              <w:jc w:val="center"/>
              <w:rPr>
                <w:rFonts w:ascii="Century Gothic" w:hAnsi="Century Gothic" w:cstheme="majorHAnsi"/>
                <w:b/>
                <w:bCs/>
                <w:sz w:val="24"/>
                <w:szCs w:val="24"/>
              </w:rPr>
            </w:pPr>
          </w:p>
          <w:p w14:paraId="5A1ECC53" w14:textId="77777777" w:rsidR="00830A8B" w:rsidRPr="00830A8B" w:rsidRDefault="00830A8B" w:rsidP="007A68A1">
            <w:pPr>
              <w:jc w:val="center"/>
              <w:rPr>
                <w:rFonts w:ascii="Century Gothic" w:hAnsi="Century Gothic" w:cstheme="majorHAnsi"/>
                <w:b/>
                <w:bCs/>
                <w:sz w:val="24"/>
                <w:szCs w:val="24"/>
              </w:rPr>
            </w:pPr>
          </w:p>
          <w:p w14:paraId="6A916397"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bCs/>
                <w:sz w:val="24"/>
                <w:szCs w:val="24"/>
              </w:rPr>
              <w:t xml:space="preserve">DIP. ILSE AMÉRICA GARCÍA SOTO </w:t>
            </w:r>
          </w:p>
        </w:tc>
        <w:tc>
          <w:tcPr>
            <w:tcW w:w="4443" w:type="dxa"/>
            <w:vAlign w:val="bottom"/>
          </w:tcPr>
          <w:p w14:paraId="66A69715"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bCs/>
                <w:sz w:val="24"/>
                <w:szCs w:val="24"/>
              </w:rPr>
              <w:t>DIP. BENJAMÍN CARRERA CHÁVEZ</w:t>
            </w:r>
          </w:p>
        </w:tc>
      </w:tr>
      <w:tr w:rsidR="00830A8B" w:rsidRPr="00830A8B" w14:paraId="10B98C26" w14:textId="77777777" w:rsidTr="00830A8B">
        <w:trPr>
          <w:trHeight w:val="1640"/>
        </w:trPr>
        <w:tc>
          <w:tcPr>
            <w:tcW w:w="4443" w:type="dxa"/>
            <w:vAlign w:val="bottom"/>
          </w:tcPr>
          <w:p w14:paraId="1182A313" w14:textId="77777777" w:rsidR="00830A8B" w:rsidRPr="00830A8B" w:rsidRDefault="00830A8B" w:rsidP="007A68A1">
            <w:pPr>
              <w:jc w:val="center"/>
              <w:rPr>
                <w:rFonts w:ascii="Century Gothic" w:hAnsi="Century Gothic" w:cstheme="majorHAnsi"/>
                <w:b/>
                <w:bCs/>
                <w:sz w:val="24"/>
                <w:szCs w:val="24"/>
              </w:rPr>
            </w:pPr>
            <w:r w:rsidRPr="00830A8B">
              <w:rPr>
                <w:rFonts w:ascii="Century Gothic" w:hAnsi="Century Gothic" w:cstheme="majorHAnsi"/>
                <w:b/>
                <w:bCs/>
                <w:sz w:val="24"/>
                <w:szCs w:val="24"/>
              </w:rPr>
              <w:t>DIP. DAVID OSCAR CASTREJÓN RIVAS</w:t>
            </w:r>
          </w:p>
        </w:tc>
        <w:tc>
          <w:tcPr>
            <w:tcW w:w="4443" w:type="dxa"/>
          </w:tcPr>
          <w:p w14:paraId="5BB6D941" w14:textId="2732464E" w:rsidR="00830A8B" w:rsidRPr="00830A8B" w:rsidRDefault="00830A8B" w:rsidP="007A68A1">
            <w:pPr>
              <w:jc w:val="center"/>
              <w:rPr>
                <w:rFonts w:ascii="Century Gothic" w:hAnsi="Century Gothic" w:cstheme="majorHAnsi"/>
                <w:sz w:val="24"/>
                <w:szCs w:val="24"/>
              </w:rPr>
            </w:pPr>
          </w:p>
        </w:tc>
      </w:tr>
    </w:tbl>
    <w:p w14:paraId="546E01C4" w14:textId="375D10C8" w:rsidR="00830A8B" w:rsidRPr="00830A8B" w:rsidRDefault="00830A8B" w:rsidP="00830A8B">
      <w:pPr>
        <w:pBdr>
          <w:top w:val="nil"/>
          <w:left w:val="nil"/>
          <w:bottom w:val="nil"/>
          <w:right w:val="nil"/>
          <w:between w:val="nil"/>
        </w:pBdr>
        <w:spacing w:afterLines="100" w:after="240" w:line="480" w:lineRule="auto"/>
        <w:jc w:val="both"/>
        <w:rPr>
          <w:rFonts w:ascii="Century Gothic" w:eastAsia="Century Gothic" w:hAnsi="Century Gothic" w:cs="Century Gothic"/>
          <w:b/>
          <w:sz w:val="24"/>
          <w:szCs w:val="24"/>
        </w:rPr>
      </w:pPr>
    </w:p>
    <w:sectPr w:rsidR="00830A8B" w:rsidRPr="00830A8B">
      <w:headerReference w:type="default" r:id="rId8"/>
      <w:footerReference w:type="default" r:id="rId9"/>
      <w:pgSz w:w="12240" w:h="15840"/>
      <w:pgMar w:top="2552" w:right="1701" w:bottom="1418" w:left="1701" w:header="426" w:footer="3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8AB7B" w14:textId="77777777" w:rsidR="00002528" w:rsidRDefault="00002528">
      <w:r>
        <w:separator/>
      </w:r>
    </w:p>
  </w:endnote>
  <w:endnote w:type="continuationSeparator" w:id="0">
    <w:p w14:paraId="72734F39" w14:textId="77777777" w:rsidR="00002528" w:rsidRDefault="0000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inyon Script">
    <w:altName w:val="Calibri"/>
    <w:charset w:val="00"/>
    <w:family w:val="auto"/>
    <w:pitch w:val="variable"/>
    <w:sig w:usb0="A00000AF" w:usb1="00000002"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9BADD" w14:textId="77777777" w:rsidR="00B05008" w:rsidRDefault="0000547A">
    <w:pPr>
      <w:pBdr>
        <w:top w:val="nil"/>
        <w:left w:val="nil"/>
        <w:bottom w:val="nil"/>
        <w:right w:val="nil"/>
        <w:between w:val="nil"/>
      </w:pBdr>
      <w:tabs>
        <w:tab w:val="center" w:pos="4419"/>
        <w:tab w:val="right" w:pos="8838"/>
      </w:tabs>
      <w:jc w:val="right"/>
      <w:rPr>
        <w:color w:val="525252"/>
      </w:rPr>
    </w:pPr>
    <w:r>
      <w:rPr>
        <w:rFonts w:ascii="Century Gothic" w:eastAsia="Century Gothic" w:hAnsi="Century Gothic" w:cs="Century Gothic"/>
        <w:color w:val="525252"/>
        <w:sz w:val="16"/>
        <w:szCs w:val="16"/>
      </w:rPr>
      <w:t xml:space="preserve">Página </w:t>
    </w:r>
    <w:r>
      <w:rPr>
        <w:rFonts w:ascii="Century Gothic" w:eastAsia="Century Gothic" w:hAnsi="Century Gothic" w:cs="Century Gothic"/>
        <w:b/>
        <w:color w:val="525252"/>
        <w:sz w:val="16"/>
        <w:szCs w:val="16"/>
      </w:rPr>
      <w:fldChar w:fldCharType="begin"/>
    </w:r>
    <w:r>
      <w:rPr>
        <w:rFonts w:ascii="Century Gothic" w:eastAsia="Century Gothic" w:hAnsi="Century Gothic" w:cs="Century Gothic"/>
        <w:b/>
        <w:color w:val="525252"/>
        <w:sz w:val="16"/>
        <w:szCs w:val="16"/>
      </w:rPr>
      <w:instrText>PAGE</w:instrText>
    </w:r>
    <w:r>
      <w:rPr>
        <w:rFonts w:ascii="Century Gothic" w:eastAsia="Century Gothic" w:hAnsi="Century Gothic" w:cs="Century Gothic"/>
        <w:b/>
        <w:color w:val="525252"/>
        <w:sz w:val="16"/>
        <w:szCs w:val="16"/>
      </w:rPr>
      <w:fldChar w:fldCharType="separate"/>
    </w:r>
    <w:r w:rsidR="00CB505F">
      <w:rPr>
        <w:rFonts w:ascii="Century Gothic" w:eastAsia="Century Gothic" w:hAnsi="Century Gothic" w:cs="Century Gothic"/>
        <w:b/>
        <w:noProof/>
        <w:color w:val="525252"/>
        <w:sz w:val="16"/>
        <w:szCs w:val="16"/>
      </w:rPr>
      <w:t>2</w:t>
    </w:r>
    <w:r>
      <w:rPr>
        <w:rFonts w:ascii="Century Gothic" w:eastAsia="Century Gothic" w:hAnsi="Century Gothic" w:cs="Century Gothic"/>
        <w:b/>
        <w:color w:val="525252"/>
        <w:sz w:val="16"/>
        <w:szCs w:val="16"/>
      </w:rPr>
      <w:fldChar w:fldCharType="end"/>
    </w:r>
    <w:r>
      <w:rPr>
        <w:rFonts w:ascii="Century Gothic" w:eastAsia="Century Gothic" w:hAnsi="Century Gothic" w:cs="Century Gothic"/>
        <w:color w:val="525252"/>
        <w:sz w:val="16"/>
        <w:szCs w:val="16"/>
      </w:rPr>
      <w:t xml:space="preserve"> de </w:t>
    </w:r>
    <w:r>
      <w:rPr>
        <w:rFonts w:ascii="Century Gothic" w:eastAsia="Century Gothic" w:hAnsi="Century Gothic" w:cs="Century Gothic"/>
        <w:b/>
        <w:color w:val="525252"/>
        <w:sz w:val="16"/>
        <w:szCs w:val="16"/>
      </w:rPr>
      <w:fldChar w:fldCharType="begin"/>
    </w:r>
    <w:r>
      <w:rPr>
        <w:rFonts w:ascii="Century Gothic" w:eastAsia="Century Gothic" w:hAnsi="Century Gothic" w:cs="Century Gothic"/>
        <w:b/>
        <w:color w:val="525252"/>
        <w:sz w:val="16"/>
        <w:szCs w:val="16"/>
      </w:rPr>
      <w:instrText>NUMPAGES</w:instrText>
    </w:r>
    <w:r>
      <w:rPr>
        <w:rFonts w:ascii="Century Gothic" w:eastAsia="Century Gothic" w:hAnsi="Century Gothic" w:cs="Century Gothic"/>
        <w:b/>
        <w:color w:val="525252"/>
        <w:sz w:val="16"/>
        <w:szCs w:val="16"/>
      </w:rPr>
      <w:fldChar w:fldCharType="separate"/>
    </w:r>
    <w:r w:rsidR="00CB505F">
      <w:rPr>
        <w:rFonts w:ascii="Century Gothic" w:eastAsia="Century Gothic" w:hAnsi="Century Gothic" w:cs="Century Gothic"/>
        <w:b/>
        <w:noProof/>
        <w:color w:val="525252"/>
        <w:sz w:val="16"/>
        <w:szCs w:val="16"/>
      </w:rPr>
      <w:t>10</w:t>
    </w:r>
    <w:r>
      <w:rPr>
        <w:rFonts w:ascii="Century Gothic" w:eastAsia="Century Gothic" w:hAnsi="Century Gothic" w:cs="Century Gothic"/>
        <w:b/>
        <w:color w:val="525252"/>
        <w:sz w:val="16"/>
        <w:szCs w:val="16"/>
      </w:rPr>
      <w:fldChar w:fldCharType="end"/>
    </w:r>
  </w:p>
  <w:p w14:paraId="02125EF8" w14:textId="77777777" w:rsidR="00B05008" w:rsidRDefault="00B0500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1BDFD" w14:textId="77777777" w:rsidR="00002528" w:rsidRDefault="00002528">
      <w:r>
        <w:separator/>
      </w:r>
    </w:p>
  </w:footnote>
  <w:footnote w:type="continuationSeparator" w:id="0">
    <w:p w14:paraId="29D95C29" w14:textId="77777777" w:rsidR="00002528" w:rsidRDefault="00002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3176E" w14:textId="77777777" w:rsidR="00325B88" w:rsidRPr="00325B88" w:rsidRDefault="00325B88" w:rsidP="00325B88">
    <w:pPr>
      <w:jc w:val="right"/>
      <w:rPr>
        <w:rFonts w:ascii="Pinyon Script" w:eastAsia="Pinyon Script" w:hAnsi="Pinyon Script" w:cs="Pinyon Script"/>
        <w:b/>
        <w:i/>
      </w:rPr>
    </w:pPr>
    <w:r w:rsidRPr="00325B88">
      <w:rPr>
        <w:rFonts w:ascii="Pinyon Script" w:eastAsia="Pinyon Script" w:hAnsi="Pinyon Script" w:cs="Pinyon Script"/>
        <w:b/>
        <w:i/>
      </w:rPr>
      <w:t>"2022, Año del Centenario de la llegada de la Comunidad Menonita a Chihuahua”</w:t>
    </w:r>
  </w:p>
  <w:p w14:paraId="65A2C1A0" w14:textId="77777777" w:rsidR="00B05008" w:rsidRDefault="00B05008">
    <w:pPr>
      <w:pBdr>
        <w:top w:val="nil"/>
        <w:left w:val="nil"/>
        <w:bottom w:val="nil"/>
        <w:right w:val="nil"/>
        <w:between w:val="nil"/>
      </w:pBdr>
      <w:tabs>
        <w:tab w:val="center" w:pos="4419"/>
        <w:tab w:val="right" w:pos="8838"/>
      </w:tabs>
      <w:rPr>
        <w:color w:val="000000"/>
        <w:sz w:val="24"/>
        <w:szCs w:val="24"/>
      </w:rPr>
    </w:pPr>
  </w:p>
  <w:p w14:paraId="2FEAF589" w14:textId="77777777" w:rsidR="00B05008" w:rsidRDefault="00B05008">
    <w:pPr>
      <w:pBdr>
        <w:top w:val="nil"/>
        <w:left w:val="nil"/>
        <w:bottom w:val="nil"/>
        <w:right w:val="nil"/>
        <w:between w:val="nil"/>
      </w:pBdr>
      <w:tabs>
        <w:tab w:val="center" w:pos="4419"/>
        <w:tab w:val="right" w:pos="8838"/>
      </w:tabs>
      <w:rPr>
        <w:color w:val="000000"/>
        <w:sz w:val="24"/>
        <w:szCs w:val="24"/>
      </w:rPr>
    </w:pPr>
  </w:p>
  <w:p w14:paraId="63DA5D83" w14:textId="77777777" w:rsidR="00B05008" w:rsidRDefault="00B05008">
    <w:pPr>
      <w:pBdr>
        <w:top w:val="nil"/>
        <w:left w:val="nil"/>
        <w:bottom w:val="nil"/>
        <w:right w:val="nil"/>
        <w:between w:val="nil"/>
      </w:pBdr>
      <w:tabs>
        <w:tab w:val="center" w:pos="4419"/>
        <w:tab w:val="right" w:pos="8838"/>
      </w:tabs>
      <w:rPr>
        <w:color w:val="000000"/>
        <w:sz w:val="24"/>
        <w:szCs w:val="24"/>
      </w:rPr>
    </w:pPr>
  </w:p>
  <w:p w14:paraId="4B425523" w14:textId="445A14C6" w:rsidR="00B05008" w:rsidRDefault="00B05008" w:rsidP="00E87DE3">
    <w:pPr>
      <w:pBdr>
        <w:top w:val="nil"/>
        <w:left w:val="nil"/>
        <w:bottom w:val="nil"/>
        <w:right w:val="nil"/>
        <w:between w:val="nil"/>
      </w:pBdr>
      <w:tabs>
        <w:tab w:val="center" w:pos="4419"/>
        <w:tab w:val="right" w:pos="8838"/>
      </w:tabs>
      <w:jc w:val="center"/>
      <w:rPr>
        <w:rFonts w:ascii="Century Gothic" w:eastAsia="Century Gothic" w:hAnsi="Century Gothic" w:cs="Century Gothic"/>
        <w:b/>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27CDF1E"/>
    <w:lvl w:ilvl="0">
      <w:start w:val="1"/>
      <w:numFmt w:val="decimal"/>
      <w:lvlText w:val="%1."/>
      <w:lvlJc w:val="left"/>
      <w:pPr>
        <w:tabs>
          <w:tab w:val="num" w:pos="360"/>
        </w:tabs>
        <w:ind w:left="360" w:hanging="360"/>
      </w:pPr>
    </w:lvl>
  </w:abstractNum>
  <w:abstractNum w:abstractNumId="1" w15:restartNumberingAfterBreak="0">
    <w:nsid w:val="08C931FD"/>
    <w:multiLevelType w:val="hybridMultilevel"/>
    <w:tmpl w:val="0BD44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B7156B"/>
    <w:multiLevelType w:val="hybridMultilevel"/>
    <w:tmpl w:val="89B8F392"/>
    <w:lvl w:ilvl="0" w:tplc="91D40BA2">
      <w:start w:val="1"/>
      <w:numFmt w:val="decimal"/>
      <w:lvlText w:val="%1."/>
      <w:lvlJc w:val="left"/>
      <w:pPr>
        <w:ind w:left="720" w:hanging="360"/>
      </w:pPr>
      <w:rPr>
        <w:rFonts w:eastAsia="Arial" w:cs="Arial"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C43E2"/>
    <w:multiLevelType w:val="hybridMultilevel"/>
    <w:tmpl w:val="779E638E"/>
    <w:lvl w:ilvl="0" w:tplc="3C4C7B3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B210BB"/>
    <w:multiLevelType w:val="hybridMultilevel"/>
    <w:tmpl w:val="9ED021CC"/>
    <w:lvl w:ilvl="0" w:tplc="3A5AF8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3A607C"/>
    <w:multiLevelType w:val="hybridMultilevel"/>
    <w:tmpl w:val="A5D8F476"/>
    <w:lvl w:ilvl="0" w:tplc="AE7677C0">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F825E7"/>
    <w:multiLevelType w:val="hybridMultilevel"/>
    <w:tmpl w:val="46E2B80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5B3FF0"/>
    <w:multiLevelType w:val="hybridMultilevel"/>
    <w:tmpl w:val="EC1C8A84"/>
    <w:lvl w:ilvl="0" w:tplc="8C10CAF8">
      <w:start w:val="1"/>
      <w:numFmt w:val="bullet"/>
      <w:lvlText w:val=""/>
      <w:lvlJc w:val="left"/>
      <w:pPr>
        <w:ind w:left="720" w:hanging="360"/>
      </w:pPr>
      <w:rPr>
        <w:rFonts w:ascii="Wingdings" w:hAnsi="Wingdings" w:hint="default"/>
        <w:color w:val="00B050"/>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850065"/>
    <w:multiLevelType w:val="hybridMultilevel"/>
    <w:tmpl w:val="C39A9D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9920D8"/>
    <w:multiLevelType w:val="hybridMultilevel"/>
    <w:tmpl w:val="72E8C20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673D5F92"/>
    <w:multiLevelType w:val="multilevel"/>
    <w:tmpl w:val="4AAE8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330A0E"/>
    <w:multiLevelType w:val="hybridMultilevel"/>
    <w:tmpl w:val="EF6A7614"/>
    <w:lvl w:ilvl="0" w:tplc="6602B45A">
      <w:start w:val="1"/>
      <w:numFmt w:val="decimal"/>
      <w:lvlText w:val="%1."/>
      <w:lvlJc w:val="left"/>
      <w:pPr>
        <w:ind w:left="720" w:hanging="360"/>
      </w:pPr>
      <w:rPr>
        <w:rFonts w:ascii="Arial" w:hAnsi="Arial" w:cs="Arial" w:hint="default"/>
        <w:b w:val="0"/>
        <w:bCs w:val="0"/>
        <w:i w:val="0"/>
        <w:iCs w:val="0"/>
        <w:sz w:val="28"/>
        <w:szCs w:val="28"/>
      </w:rPr>
    </w:lvl>
    <w:lvl w:ilvl="1" w:tplc="AFC82B2E">
      <w:start w:val="96"/>
      <w:numFmt w:val="bullet"/>
      <w:lvlText w:val=""/>
      <w:lvlJc w:val="left"/>
      <w:pPr>
        <w:ind w:left="1440" w:hanging="360"/>
      </w:pPr>
      <w:rPr>
        <w:rFonts w:ascii="Symbol" w:eastAsia="Times New Roman" w:hAnsi="Symbo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154434"/>
    <w:multiLevelType w:val="hybridMultilevel"/>
    <w:tmpl w:val="FD5429EC"/>
    <w:lvl w:ilvl="0" w:tplc="641AA5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DFB4C3F"/>
    <w:multiLevelType w:val="hybridMultilevel"/>
    <w:tmpl w:val="46E2B80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11"/>
  </w:num>
  <w:num w:numId="3">
    <w:abstractNumId w:val="8"/>
  </w:num>
  <w:num w:numId="4">
    <w:abstractNumId w:val="6"/>
  </w:num>
  <w:num w:numId="5">
    <w:abstractNumId w:val="13"/>
  </w:num>
  <w:num w:numId="6">
    <w:abstractNumId w:val="1"/>
  </w:num>
  <w:num w:numId="7">
    <w:abstractNumId w:val="0"/>
  </w:num>
  <w:num w:numId="8">
    <w:abstractNumId w:val="7"/>
  </w:num>
  <w:num w:numId="9">
    <w:abstractNumId w:val="4"/>
  </w:num>
  <w:num w:numId="10">
    <w:abstractNumId w:val="2"/>
  </w:num>
  <w:num w:numId="11">
    <w:abstractNumId w:val="3"/>
  </w:num>
  <w:num w:numId="12">
    <w:abstractNumId w:val="5"/>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08"/>
    <w:rsid w:val="00001978"/>
    <w:rsid w:val="00002528"/>
    <w:rsid w:val="0000547A"/>
    <w:rsid w:val="00007A28"/>
    <w:rsid w:val="00033E45"/>
    <w:rsid w:val="00061E96"/>
    <w:rsid w:val="00082D53"/>
    <w:rsid w:val="000A4E35"/>
    <w:rsid w:val="000E4C2D"/>
    <w:rsid w:val="000E5AA3"/>
    <w:rsid w:val="00113DE2"/>
    <w:rsid w:val="00116E2A"/>
    <w:rsid w:val="001304A5"/>
    <w:rsid w:val="00142759"/>
    <w:rsid w:val="00186EE6"/>
    <w:rsid w:val="00187EA4"/>
    <w:rsid w:val="00193D88"/>
    <w:rsid w:val="001A4EBF"/>
    <w:rsid w:val="001B39B5"/>
    <w:rsid w:val="001E3D47"/>
    <w:rsid w:val="001F54C6"/>
    <w:rsid w:val="001F64D8"/>
    <w:rsid w:val="0020395B"/>
    <w:rsid w:val="0024077A"/>
    <w:rsid w:val="0024194D"/>
    <w:rsid w:val="00252340"/>
    <w:rsid w:val="002E1A43"/>
    <w:rsid w:val="002E3250"/>
    <w:rsid w:val="00325B88"/>
    <w:rsid w:val="003320ED"/>
    <w:rsid w:val="00341F41"/>
    <w:rsid w:val="0037245F"/>
    <w:rsid w:val="003776C3"/>
    <w:rsid w:val="0038217B"/>
    <w:rsid w:val="00382FAA"/>
    <w:rsid w:val="003E7250"/>
    <w:rsid w:val="004139B3"/>
    <w:rsid w:val="00433A7B"/>
    <w:rsid w:val="00435832"/>
    <w:rsid w:val="00444F28"/>
    <w:rsid w:val="00455B5F"/>
    <w:rsid w:val="00460F75"/>
    <w:rsid w:val="00462B4C"/>
    <w:rsid w:val="00465A14"/>
    <w:rsid w:val="00467D72"/>
    <w:rsid w:val="00493CCD"/>
    <w:rsid w:val="004B7377"/>
    <w:rsid w:val="00532350"/>
    <w:rsid w:val="00543495"/>
    <w:rsid w:val="00561059"/>
    <w:rsid w:val="0056143E"/>
    <w:rsid w:val="005668BF"/>
    <w:rsid w:val="0058632E"/>
    <w:rsid w:val="00594920"/>
    <w:rsid w:val="00596A33"/>
    <w:rsid w:val="005D4BA1"/>
    <w:rsid w:val="005D7DE9"/>
    <w:rsid w:val="0060108C"/>
    <w:rsid w:val="0062671E"/>
    <w:rsid w:val="00633923"/>
    <w:rsid w:val="00634FC5"/>
    <w:rsid w:val="00663789"/>
    <w:rsid w:val="00677728"/>
    <w:rsid w:val="00681A87"/>
    <w:rsid w:val="0069175F"/>
    <w:rsid w:val="006C0F45"/>
    <w:rsid w:val="006C66BA"/>
    <w:rsid w:val="006D39C1"/>
    <w:rsid w:val="006F4335"/>
    <w:rsid w:val="006F6E47"/>
    <w:rsid w:val="00717FBB"/>
    <w:rsid w:val="007218EA"/>
    <w:rsid w:val="00744E12"/>
    <w:rsid w:val="00752C30"/>
    <w:rsid w:val="00757B25"/>
    <w:rsid w:val="00830167"/>
    <w:rsid w:val="00830A8B"/>
    <w:rsid w:val="008533B6"/>
    <w:rsid w:val="00864F05"/>
    <w:rsid w:val="00870170"/>
    <w:rsid w:val="0089213D"/>
    <w:rsid w:val="008A2FA2"/>
    <w:rsid w:val="008C399A"/>
    <w:rsid w:val="008F6A9D"/>
    <w:rsid w:val="00940CF7"/>
    <w:rsid w:val="00947893"/>
    <w:rsid w:val="00952B1C"/>
    <w:rsid w:val="009568C4"/>
    <w:rsid w:val="00966393"/>
    <w:rsid w:val="009768FB"/>
    <w:rsid w:val="00983084"/>
    <w:rsid w:val="00987FC9"/>
    <w:rsid w:val="00997402"/>
    <w:rsid w:val="009C138C"/>
    <w:rsid w:val="009C1E11"/>
    <w:rsid w:val="009E2C49"/>
    <w:rsid w:val="00A43F50"/>
    <w:rsid w:val="00AB12DD"/>
    <w:rsid w:val="00AC30E2"/>
    <w:rsid w:val="00AE3499"/>
    <w:rsid w:val="00B05008"/>
    <w:rsid w:val="00B059AC"/>
    <w:rsid w:val="00B24791"/>
    <w:rsid w:val="00B737DC"/>
    <w:rsid w:val="00BB5755"/>
    <w:rsid w:val="00BE33D5"/>
    <w:rsid w:val="00BE466E"/>
    <w:rsid w:val="00C010D6"/>
    <w:rsid w:val="00C12F1C"/>
    <w:rsid w:val="00C2361D"/>
    <w:rsid w:val="00C4557B"/>
    <w:rsid w:val="00C5028B"/>
    <w:rsid w:val="00CA69E6"/>
    <w:rsid w:val="00CB505F"/>
    <w:rsid w:val="00CB5B36"/>
    <w:rsid w:val="00CC3E3F"/>
    <w:rsid w:val="00CD5EC0"/>
    <w:rsid w:val="00CF257F"/>
    <w:rsid w:val="00D12AFD"/>
    <w:rsid w:val="00D30850"/>
    <w:rsid w:val="00D34A93"/>
    <w:rsid w:val="00D54A0F"/>
    <w:rsid w:val="00D759FE"/>
    <w:rsid w:val="00D90625"/>
    <w:rsid w:val="00DC2212"/>
    <w:rsid w:val="00DC3AF2"/>
    <w:rsid w:val="00E23652"/>
    <w:rsid w:val="00E52BD2"/>
    <w:rsid w:val="00E54D5D"/>
    <w:rsid w:val="00E55070"/>
    <w:rsid w:val="00E5590E"/>
    <w:rsid w:val="00E62FC4"/>
    <w:rsid w:val="00E80863"/>
    <w:rsid w:val="00E87DE3"/>
    <w:rsid w:val="00ED5AF2"/>
    <w:rsid w:val="00ED65D5"/>
    <w:rsid w:val="00EE6FF4"/>
    <w:rsid w:val="00EF3745"/>
    <w:rsid w:val="00F02D05"/>
    <w:rsid w:val="00F166E7"/>
    <w:rsid w:val="00F209F9"/>
    <w:rsid w:val="00F3141D"/>
    <w:rsid w:val="00F406F3"/>
    <w:rsid w:val="00F41BB7"/>
    <w:rsid w:val="00F46FB7"/>
    <w:rsid w:val="00F7760D"/>
    <w:rsid w:val="00F83DB1"/>
    <w:rsid w:val="00F95346"/>
    <w:rsid w:val="00FA2FAC"/>
    <w:rsid w:val="00FC5458"/>
    <w:rsid w:val="00FD6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3247C"/>
  <w15:docId w15:val="{A9D2CFC1-61B5-4702-90DD-69754E3E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outlineLvl w:val="0"/>
    </w:pPr>
    <w:rPr>
      <w:b/>
      <w:sz w:val="48"/>
      <w:szCs w:val="48"/>
    </w:rPr>
  </w:style>
  <w:style w:type="paragraph" w:styleId="Ttulo2">
    <w:name w:val="heading 2"/>
    <w:basedOn w:val="Normal"/>
    <w:next w:val="Normal"/>
    <w:link w:val="Ttulo2Car"/>
    <w:uiPriority w:val="9"/>
    <w:semiHidden/>
    <w:unhideWhenUsed/>
    <w:qFormat/>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nfasis">
    <w:name w:val="Emphasis"/>
    <w:basedOn w:val="Fuentedeprrafopredeter"/>
    <w:uiPriority w:val="20"/>
    <w:qFormat/>
    <w:rsid w:val="00C5028B"/>
    <w:rPr>
      <w:i/>
      <w:iCs/>
    </w:rPr>
  </w:style>
  <w:style w:type="character" w:customStyle="1" w:styleId="Ttulo3Car">
    <w:name w:val="Título 3 Car"/>
    <w:basedOn w:val="Fuentedeprrafopredeter"/>
    <w:link w:val="Ttulo3"/>
    <w:uiPriority w:val="9"/>
    <w:rsid w:val="00C5028B"/>
    <w:rPr>
      <w:b/>
      <w:sz w:val="28"/>
      <w:szCs w:val="28"/>
    </w:rPr>
  </w:style>
  <w:style w:type="paragraph" w:styleId="Prrafodelista">
    <w:name w:val="List Paragraph"/>
    <w:aliases w:val="Párrafo de lista1,TEXTO GENERAL SENTENCIAS,Cita texto,Footnote,List Paragraph1,Párrafo de lista2,List Paragraph,CNBV Parrafo1,Parrafo 1,Colorful List - Accent 11,Cuadrícula clara - Énfasis 31,Imagen,Tabla de contenido"/>
    <w:basedOn w:val="Normal"/>
    <w:link w:val="PrrafodelistaCar"/>
    <w:uiPriority w:val="34"/>
    <w:qFormat/>
    <w:rsid w:val="00C5028B"/>
    <w:pPr>
      <w:ind w:left="708"/>
    </w:pPr>
    <w:rPr>
      <w:lang w:val="es-ES_tradnl"/>
    </w:rPr>
  </w:style>
  <w:style w:type="character" w:customStyle="1" w:styleId="PrrafodelistaCar">
    <w:name w:val="Párrafo de lista Car"/>
    <w:aliases w:val="Párrafo de lista1 Car,TEXTO GENERAL SENTENCIAS Car,Cita texto Car,Footnote Car,List Paragraph1 Car,Párrafo de lista2 Car,List Paragraph Car,CNBV Parrafo1 Car,Parrafo 1 Car,Colorful List - Accent 11 Car,Imagen Car"/>
    <w:link w:val="Prrafodelista"/>
    <w:uiPriority w:val="34"/>
    <w:locked/>
    <w:rsid w:val="00C5028B"/>
    <w:rPr>
      <w:lang w:val="es-ES_tradnl"/>
    </w:rPr>
  </w:style>
  <w:style w:type="paragraph" w:customStyle="1" w:styleId="Default">
    <w:name w:val="Default"/>
    <w:rsid w:val="00C5028B"/>
    <w:pPr>
      <w:autoSpaceDE w:val="0"/>
      <w:autoSpaceDN w:val="0"/>
      <w:adjustRightInd w:val="0"/>
    </w:pPr>
    <w:rPr>
      <w:rFonts w:ascii="Verdana" w:eastAsiaTheme="minorHAnsi" w:hAnsi="Verdana" w:cs="Verdana"/>
      <w:color w:val="000000"/>
      <w:sz w:val="24"/>
      <w:szCs w:val="24"/>
      <w:lang w:eastAsia="en-U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 Car"/>
    <w:basedOn w:val="Normal"/>
    <w:link w:val="TextonotapieCar"/>
    <w:uiPriority w:val="99"/>
    <w:qFormat/>
    <w:rsid w:val="00C5028B"/>
    <w:rPr>
      <w:lang w:val="es-ES_tradnl"/>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C5028B"/>
    <w:rPr>
      <w:lang w:val="es-ES_tradn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julio,Ref,ftref,ftre,R"/>
    <w:link w:val="4GChar"/>
    <w:uiPriority w:val="99"/>
    <w:qFormat/>
    <w:rsid w:val="00C5028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C5028B"/>
    <w:pPr>
      <w:jc w:val="both"/>
    </w:pPr>
    <w:rPr>
      <w:vertAlign w:val="superscript"/>
    </w:rPr>
  </w:style>
  <w:style w:type="paragraph" w:styleId="NormalWeb">
    <w:name w:val="Normal (Web)"/>
    <w:basedOn w:val="Normal"/>
    <w:uiPriority w:val="99"/>
    <w:unhideWhenUsed/>
    <w:rsid w:val="00C5028B"/>
    <w:pPr>
      <w:spacing w:before="100" w:beforeAutospacing="1" w:after="100" w:afterAutospacing="1"/>
    </w:pPr>
    <w:rPr>
      <w:sz w:val="24"/>
      <w:szCs w:val="24"/>
    </w:rPr>
  </w:style>
  <w:style w:type="character" w:styleId="Hipervnculo">
    <w:name w:val="Hyperlink"/>
    <w:basedOn w:val="Fuentedeprrafopredeter"/>
    <w:uiPriority w:val="99"/>
    <w:unhideWhenUsed/>
    <w:rsid w:val="00C5028B"/>
    <w:rPr>
      <w:color w:val="0000FF"/>
      <w:u w:val="single"/>
    </w:rPr>
  </w:style>
  <w:style w:type="paragraph" w:customStyle="1" w:styleId="corte4fondo">
    <w:name w:val="corte4 fondo"/>
    <w:basedOn w:val="Normal"/>
    <w:link w:val="corte4fondoCar1"/>
    <w:qFormat/>
    <w:rsid w:val="00C5028B"/>
    <w:pPr>
      <w:spacing w:line="360" w:lineRule="auto"/>
      <w:ind w:firstLine="709"/>
      <w:jc w:val="both"/>
    </w:pPr>
    <w:rPr>
      <w:rFonts w:ascii="Arial" w:hAnsi="Arial"/>
      <w:sz w:val="30"/>
      <w:lang w:val="es-ES_tradnl"/>
    </w:rPr>
  </w:style>
  <w:style w:type="character" w:customStyle="1" w:styleId="corte4fondoCar1">
    <w:name w:val="corte4 fondo Car1"/>
    <w:link w:val="corte4fondo"/>
    <w:rsid w:val="00C5028B"/>
    <w:rPr>
      <w:rFonts w:ascii="Arial" w:hAnsi="Arial"/>
      <w:sz w:val="30"/>
      <w:lang w:val="es-ES_tradnl"/>
    </w:rPr>
  </w:style>
  <w:style w:type="paragraph" w:styleId="Piedepgina">
    <w:name w:val="footer"/>
    <w:aliases w:val=" Car Car Car Car"/>
    <w:basedOn w:val="Normal"/>
    <w:link w:val="PiedepginaCar"/>
    <w:uiPriority w:val="99"/>
    <w:unhideWhenUsed/>
    <w:rsid w:val="00C5028B"/>
    <w:pPr>
      <w:tabs>
        <w:tab w:val="center" w:pos="4419"/>
        <w:tab w:val="right" w:pos="8838"/>
      </w:tabs>
    </w:pPr>
    <w:rPr>
      <w:lang w:val="es-ES_tradnl"/>
    </w:rPr>
  </w:style>
  <w:style w:type="character" w:customStyle="1" w:styleId="PiedepginaCar">
    <w:name w:val="Pie de página Car"/>
    <w:aliases w:val=" Car Car Car Car Car"/>
    <w:basedOn w:val="Fuentedeprrafopredeter"/>
    <w:link w:val="Piedepgina"/>
    <w:uiPriority w:val="99"/>
    <w:rsid w:val="00C5028B"/>
    <w:rPr>
      <w:lang w:val="es-ES_tradnl"/>
    </w:rPr>
  </w:style>
  <w:style w:type="paragraph" w:customStyle="1" w:styleId="Normal0">
    <w:name w:val="[Normal]"/>
    <w:rsid w:val="00C5028B"/>
    <w:pPr>
      <w:widowControl w:val="0"/>
      <w:autoSpaceDE w:val="0"/>
      <w:autoSpaceDN w:val="0"/>
      <w:adjustRightInd w:val="0"/>
    </w:pPr>
    <w:rPr>
      <w:rFonts w:ascii="Arial" w:hAnsi="Arial" w:cs="Arial"/>
      <w:sz w:val="24"/>
      <w:szCs w:val="24"/>
      <w:lang w:val="es-ES" w:eastAsia="es-ES"/>
    </w:rPr>
  </w:style>
  <w:style w:type="character" w:styleId="Nmerodepgina">
    <w:name w:val="page number"/>
    <w:basedOn w:val="Fuentedeprrafopredeter"/>
    <w:rsid w:val="00C5028B"/>
  </w:style>
  <w:style w:type="paragraph" w:customStyle="1" w:styleId="defaultstyledtext-xb1qmn-0">
    <w:name w:val="default__styledtext-xb1qmn-0"/>
    <w:basedOn w:val="Normal"/>
    <w:rsid w:val="00C5028B"/>
    <w:pPr>
      <w:spacing w:before="100" w:beforeAutospacing="1" w:after="100" w:afterAutospacing="1"/>
    </w:pPr>
    <w:rPr>
      <w:sz w:val="24"/>
      <w:szCs w:val="24"/>
    </w:rPr>
  </w:style>
  <w:style w:type="paragraph" w:customStyle="1" w:styleId="text-center">
    <w:name w:val="text-center"/>
    <w:basedOn w:val="Normal"/>
    <w:rsid w:val="00C5028B"/>
    <w:pPr>
      <w:spacing w:before="100" w:beforeAutospacing="1" w:after="100" w:afterAutospacing="1"/>
    </w:pPr>
    <w:rPr>
      <w:sz w:val="24"/>
      <w:szCs w:val="24"/>
    </w:rPr>
  </w:style>
  <w:style w:type="character" w:styleId="Textoennegrita">
    <w:name w:val="Strong"/>
    <w:basedOn w:val="Fuentedeprrafopredeter"/>
    <w:uiPriority w:val="22"/>
    <w:qFormat/>
    <w:rsid w:val="00C5028B"/>
    <w:rPr>
      <w:b/>
      <w:bCs/>
    </w:rPr>
  </w:style>
  <w:style w:type="paragraph" w:customStyle="1" w:styleId="text-justify">
    <w:name w:val="text-justify"/>
    <w:basedOn w:val="Normal"/>
    <w:rsid w:val="00C5028B"/>
    <w:pPr>
      <w:spacing w:before="100" w:beforeAutospacing="1" w:after="100" w:afterAutospacing="1"/>
    </w:pPr>
    <w:rPr>
      <w:sz w:val="24"/>
      <w:szCs w:val="24"/>
    </w:rPr>
  </w:style>
  <w:style w:type="paragraph" w:styleId="Encabezado">
    <w:name w:val="header"/>
    <w:basedOn w:val="Normal"/>
    <w:link w:val="EncabezadoCar"/>
    <w:uiPriority w:val="99"/>
    <w:unhideWhenUsed/>
    <w:rsid w:val="00C5028B"/>
    <w:pPr>
      <w:tabs>
        <w:tab w:val="center" w:pos="4680"/>
        <w:tab w:val="right" w:pos="9360"/>
      </w:tabs>
    </w:pPr>
    <w:rPr>
      <w:rFonts w:asciiTheme="minorHAnsi" w:eastAsiaTheme="minorEastAsia" w:hAnsiTheme="minorHAnsi" w:cstheme="minorBidi"/>
      <w:sz w:val="24"/>
      <w:szCs w:val="24"/>
      <w:lang w:eastAsia="en-US"/>
    </w:rPr>
  </w:style>
  <w:style w:type="character" w:customStyle="1" w:styleId="EncabezadoCar">
    <w:name w:val="Encabezado Car"/>
    <w:basedOn w:val="Fuentedeprrafopredeter"/>
    <w:link w:val="Encabezado"/>
    <w:uiPriority w:val="99"/>
    <w:rsid w:val="00C5028B"/>
    <w:rPr>
      <w:rFonts w:asciiTheme="minorHAnsi" w:eastAsiaTheme="minorEastAsia" w:hAnsiTheme="minorHAnsi" w:cstheme="minorBidi"/>
      <w:sz w:val="24"/>
      <w:szCs w:val="24"/>
      <w:lang w:eastAsia="en-US"/>
    </w:rPr>
  </w:style>
  <w:style w:type="character" w:customStyle="1" w:styleId="Ttulo2Car">
    <w:name w:val="Título 2 Car"/>
    <w:basedOn w:val="Fuentedeprrafopredeter"/>
    <w:link w:val="Ttulo2"/>
    <w:uiPriority w:val="9"/>
    <w:semiHidden/>
    <w:rsid w:val="00C5028B"/>
    <w:rPr>
      <w:rFonts w:ascii="Calibri" w:eastAsia="Calibri" w:hAnsi="Calibri" w:cs="Calibri"/>
      <w:color w:val="2E75B5"/>
      <w:sz w:val="26"/>
      <w:szCs w:val="26"/>
    </w:rPr>
  </w:style>
  <w:style w:type="character" w:customStyle="1" w:styleId="trcrboxheaderspan">
    <w:name w:val="trc_rbox_header_span"/>
    <w:basedOn w:val="Fuentedeprrafopredeter"/>
    <w:rsid w:val="00C5028B"/>
  </w:style>
  <w:style w:type="character" w:customStyle="1" w:styleId="video-label">
    <w:name w:val="video-label"/>
    <w:basedOn w:val="Fuentedeprrafopredeter"/>
    <w:rsid w:val="00C5028B"/>
  </w:style>
  <w:style w:type="character" w:customStyle="1" w:styleId="branding">
    <w:name w:val="branding"/>
    <w:basedOn w:val="Fuentedeprrafopredeter"/>
    <w:rsid w:val="00C5028B"/>
  </w:style>
  <w:style w:type="character" w:customStyle="1" w:styleId="author">
    <w:name w:val="author"/>
    <w:basedOn w:val="Fuentedeprrafopredeter"/>
    <w:rsid w:val="00C5028B"/>
  </w:style>
  <w:style w:type="character" w:customStyle="1" w:styleId="location">
    <w:name w:val="location"/>
    <w:basedOn w:val="Fuentedeprrafopredeter"/>
    <w:rsid w:val="00C5028B"/>
  </w:style>
  <w:style w:type="character" w:styleId="Textodelmarcadordeposicin">
    <w:name w:val="Placeholder Text"/>
    <w:basedOn w:val="Fuentedeprrafopredeter"/>
    <w:uiPriority w:val="99"/>
    <w:semiHidden/>
    <w:rsid w:val="001F54C6"/>
    <w:rPr>
      <w:color w:val="808080"/>
    </w:rPr>
  </w:style>
  <w:style w:type="table" w:styleId="Tablaconcuadrcula">
    <w:name w:val="Table Grid"/>
    <w:basedOn w:val="Tablanormal"/>
    <w:uiPriority w:val="39"/>
    <w:rsid w:val="002419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ia">
    <w:name w:val="sangria"/>
    <w:basedOn w:val="Normal"/>
    <w:rsid w:val="0089213D"/>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39"/>
    <w:rsid w:val="00830A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2CD3-28F9-4ACD-B941-960D13D3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1574</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cp:lastPrinted>2022-03-14T04:48:00Z</cp:lastPrinted>
  <dcterms:created xsi:type="dcterms:W3CDTF">2022-10-10T16:22:00Z</dcterms:created>
  <dcterms:modified xsi:type="dcterms:W3CDTF">2022-10-10T16:22:00Z</dcterms:modified>
</cp:coreProperties>
</file>