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7F09" w14:textId="77777777" w:rsidR="00B05008" w:rsidRPr="00A65674" w:rsidRDefault="0000547A" w:rsidP="001C1603">
      <w:pPr>
        <w:spacing w:after="120" w:line="360" w:lineRule="auto"/>
        <w:ind w:left="426"/>
        <w:jc w:val="both"/>
        <w:rPr>
          <w:rFonts w:ascii="Century Gothic" w:eastAsia="Century Gothic" w:hAnsi="Century Gothic" w:cs="Century Gothic"/>
          <w:b/>
          <w:sz w:val="24"/>
          <w:szCs w:val="24"/>
        </w:rPr>
      </w:pPr>
      <w:r w:rsidRPr="00A65674">
        <w:rPr>
          <w:rFonts w:ascii="Century Gothic" w:eastAsia="Century Gothic" w:hAnsi="Century Gothic" w:cs="Century Gothic"/>
          <w:b/>
          <w:sz w:val="24"/>
          <w:szCs w:val="24"/>
        </w:rPr>
        <w:t>H. CONGRESO DEL ESTADO DE CHIHUAHUA</w:t>
      </w:r>
      <w:bookmarkStart w:id="0" w:name="_GoBack"/>
      <w:bookmarkEnd w:id="0"/>
    </w:p>
    <w:p w14:paraId="6897FAAA" w14:textId="1EB80613" w:rsidR="0091375F" w:rsidRDefault="0000547A" w:rsidP="001C1603">
      <w:pPr>
        <w:spacing w:after="120" w:line="360" w:lineRule="auto"/>
        <w:ind w:left="426"/>
        <w:jc w:val="both"/>
        <w:rPr>
          <w:rFonts w:ascii="Century Gothic" w:eastAsia="Century Gothic" w:hAnsi="Century Gothic" w:cs="Century Gothic"/>
          <w:b/>
          <w:sz w:val="24"/>
          <w:szCs w:val="24"/>
          <w:highlight w:val="yellow"/>
        </w:rPr>
      </w:pPr>
      <w:r w:rsidRPr="00A65674">
        <w:rPr>
          <w:rFonts w:ascii="Century Gothic" w:eastAsia="Century Gothic" w:hAnsi="Century Gothic" w:cs="Century Gothic"/>
          <w:b/>
          <w:sz w:val="24"/>
          <w:szCs w:val="24"/>
        </w:rPr>
        <w:t xml:space="preserve">P R E S E N T E. </w:t>
      </w:r>
    </w:p>
    <w:p w14:paraId="1131C664" w14:textId="1A798FBD" w:rsidR="00B05008" w:rsidRPr="00A65674" w:rsidRDefault="0091375F" w:rsidP="001C1603">
      <w:pPr>
        <w:spacing w:after="120" w:line="360" w:lineRule="auto"/>
        <w:ind w:left="426"/>
        <w:jc w:val="both"/>
        <w:rPr>
          <w:rFonts w:ascii="Century Gothic" w:eastAsia="Century Gothic" w:hAnsi="Century Gothic" w:cs="Century Gothic"/>
          <w:sz w:val="24"/>
          <w:szCs w:val="24"/>
        </w:rPr>
      </w:pPr>
      <w:r w:rsidRPr="0091375F">
        <w:rPr>
          <w:rFonts w:ascii="Century Gothic" w:eastAsia="Century Gothic" w:hAnsi="Century Gothic" w:cs="Century Gothic"/>
          <w:b/>
          <w:sz w:val="24"/>
          <w:szCs w:val="24"/>
        </w:rPr>
        <w:t xml:space="preserve">Los que suscriben Leticia Ortega Máynez, Edin Cuauhtémoc Estrada Sotelo, Oscar Daniel Avitia Arellanes, Dania Ochoa Galindo, Gustavo de la Rosa Hickerson, Magdalena Rentería Pérez, </w:t>
      </w:r>
      <w:r>
        <w:rPr>
          <w:rFonts w:ascii="Century Gothic" w:eastAsia="Century Gothic" w:hAnsi="Century Gothic" w:cs="Century Gothic"/>
          <w:b/>
          <w:sz w:val="24"/>
          <w:szCs w:val="24"/>
        </w:rPr>
        <w:t>I</w:t>
      </w:r>
      <w:r w:rsidRPr="0091375F">
        <w:rPr>
          <w:rFonts w:ascii="Century Gothic" w:eastAsia="Century Gothic" w:hAnsi="Century Gothic" w:cs="Century Gothic"/>
          <w:b/>
          <w:sz w:val="24"/>
          <w:szCs w:val="24"/>
        </w:rPr>
        <w:t>ndhira Ilse Ochoa Martínez y José Cuauhtémoc Cervantes Aceve</w:t>
      </w:r>
      <w:r w:rsidR="0000547A" w:rsidRPr="0091375F">
        <w:rPr>
          <w:rFonts w:ascii="Century Gothic" w:eastAsia="Century Gothic" w:hAnsi="Century Gothic" w:cs="Century Gothic"/>
          <w:b/>
          <w:sz w:val="24"/>
          <w:szCs w:val="24"/>
        </w:rPr>
        <w:t>s,</w:t>
      </w:r>
      <w:r w:rsidR="0000547A" w:rsidRPr="00A65674">
        <w:rPr>
          <w:rFonts w:ascii="Century Gothic" w:eastAsia="Century Gothic" w:hAnsi="Century Gothic" w:cs="Century Gothic"/>
          <w:b/>
          <w:sz w:val="24"/>
          <w:szCs w:val="24"/>
        </w:rPr>
        <w:t xml:space="preserve"> </w:t>
      </w:r>
      <w:r w:rsidR="0000547A" w:rsidRPr="00A65674">
        <w:rPr>
          <w:rFonts w:ascii="Century Gothic" w:eastAsia="Century Gothic" w:hAnsi="Century Gothic" w:cs="Century Gothic"/>
          <w:sz w:val="24"/>
          <w:szCs w:val="24"/>
        </w:rPr>
        <w:t>en nuestro carácter de Diputadas y Diputados de la Sexagésima Séptima Legislatura del Honorable Congreso del Estado de Chihuahua e integrantes d</w:t>
      </w:r>
      <w:r w:rsidR="00681A87" w:rsidRPr="00A65674">
        <w:rPr>
          <w:rFonts w:ascii="Century Gothic" w:eastAsia="Century Gothic" w:hAnsi="Century Gothic" w:cs="Century Gothic"/>
          <w:sz w:val="24"/>
          <w:szCs w:val="24"/>
        </w:rPr>
        <w:t>e</w:t>
      </w:r>
      <w:r w:rsidR="002734E6" w:rsidRPr="00A65674">
        <w:rPr>
          <w:rFonts w:ascii="Century Gothic" w:eastAsia="Century Gothic" w:hAnsi="Century Gothic" w:cs="Century Gothic"/>
          <w:sz w:val="24"/>
          <w:szCs w:val="24"/>
        </w:rPr>
        <w:t xml:space="preserve">l grupo </w:t>
      </w:r>
      <w:r w:rsidR="00681A87" w:rsidRPr="00A65674">
        <w:rPr>
          <w:rFonts w:ascii="Century Gothic" w:eastAsia="Century Gothic" w:hAnsi="Century Gothic" w:cs="Century Gothic"/>
          <w:b/>
          <w:sz w:val="24"/>
          <w:szCs w:val="24"/>
        </w:rPr>
        <w:t>P</w:t>
      </w:r>
      <w:r w:rsidR="0000547A" w:rsidRPr="00A65674">
        <w:rPr>
          <w:rFonts w:ascii="Century Gothic" w:eastAsia="Century Gothic" w:hAnsi="Century Gothic" w:cs="Century Gothic"/>
          <w:b/>
          <w:sz w:val="24"/>
          <w:szCs w:val="24"/>
        </w:rPr>
        <w:t>arlamentario de MORENA</w:t>
      </w:r>
      <w:r w:rsidR="002734E6" w:rsidRPr="00A65674">
        <w:rPr>
          <w:rFonts w:ascii="Century Gothic" w:eastAsia="Century Gothic" w:hAnsi="Century Gothic" w:cs="Century Gothic"/>
          <w:sz w:val="24"/>
          <w:szCs w:val="24"/>
        </w:rPr>
        <w:t xml:space="preserve">, </w:t>
      </w:r>
      <w:r w:rsidR="0000547A" w:rsidRPr="00A65674">
        <w:rPr>
          <w:rFonts w:ascii="Century Gothic" w:eastAsia="Century Gothic" w:hAnsi="Century Gothic" w:cs="Century Gothic"/>
          <w:sz w:val="24"/>
          <w:szCs w:val="24"/>
        </w:rPr>
        <w:t xml:space="preserve">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0000547A" w:rsidRPr="00A65674">
        <w:rPr>
          <w:rFonts w:ascii="Century Gothic" w:eastAsia="Century Gothic" w:hAnsi="Century Gothic" w:cs="Century Gothic"/>
          <w:b/>
          <w:sz w:val="24"/>
          <w:szCs w:val="24"/>
        </w:rPr>
        <w:t>carácter de DECRETO</w:t>
      </w:r>
      <w:r w:rsidR="0000547A" w:rsidRPr="00A65674">
        <w:rPr>
          <w:rFonts w:ascii="Century Gothic" w:eastAsia="Century Gothic" w:hAnsi="Century Gothic" w:cs="Century Gothic"/>
          <w:sz w:val="24"/>
          <w:szCs w:val="24"/>
        </w:rPr>
        <w:t>,</w:t>
      </w:r>
      <w:r w:rsidR="00C5028B" w:rsidRPr="00A65674">
        <w:rPr>
          <w:rFonts w:ascii="Century Gothic" w:eastAsia="Century Gothic" w:hAnsi="Century Gothic" w:cs="Century Gothic"/>
          <w:b/>
          <w:bCs/>
          <w:sz w:val="24"/>
          <w:szCs w:val="24"/>
        </w:rPr>
        <w:t xml:space="preserve"> se adiciona el artículo </w:t>
      </w:r>
      <w:r w:rsidR="002734E6" w:rsidRPr="00A65674">
        <w:rPr>
          <w:rFonts w:ascii="Century Gothic" w:eastAsia="Century Gothic" w:hAnsi="Century Gothic" w:cs="Century Gothic"/>
          <w:b/>
          <w:bCs/>
          <w:sz w:val="24"/>
          <w:szCs w:val="24"/>
        </w:rPr>
        <w:t>36 Bis</w:t>
      </w:r>
      <w:r w:rsidR="00547341" w:rsidRPr="00A65674">
        <w:rPr>
          <w:rFonts w:ascii="Century Gothic" w:eastAsia="Century Gothic" w:hAnsi="Century Gothic" w:cs="Century Gothic"/>
          <w:b/>
          <w:bCs/>
          <w:sz w:val="24"/>
          <w:szCs w:val="24"/>
        </w:rPr>
        <w:t xml:space="preserve"> de la</w:t>
      </w:r>
      <w:r w:rsidR="002734E6" w:rsidRPr="00A65674">
        <w:rPr>
          <w:rFonts w:ascii="Century Gothic" w:eastAsia="Century Gothic" w:hAnsi="Century Gothic" w:cs="Century Gothic"/>
          <w:b/>
          <w:bCs/>
          <w:sz w:val="24"/>
          <w:szCs w:val="24"/>
        </w:rPr>
        <w:t xml:space="preserve"> </w:t>
      </w:r>
      <w:r w:rsidR="002734E6" w:rsidRPr="00A65674">
        <w:rPr>
          <w:rFonts w:ascii="Century Gothic" w:hAnsi="Century Gothic"/>
          <w:sz w:val="24"/>
          <w:szCs w:val="24"/>
        </w:rPr>
        <w:t>Ley de Presupuesto de Egresos, Contabilidad Gubernamental y Gasto Público del Estado de Chihuahua</w:t>
      </w:r>
      <w:r w:rsidR="00C5028B" w:rsidRPr="00A65674">
        <w:rPr>
          <w:rFonts w:ascii="Century Gothic" w:eastAsia="Century Gothic" w:hAnsi="Century Gothic" w:cs="Century Gothic"/>
          <w:b/>
          <w:bCs/>
          <w:sz w:val="24"/>
          <w:szCs w:val="24"/>
        </w:rPr>
        <w:t>,</w:t>
      </w:r>
      <w:r w:rsidR="0000547A" w:rsidRPr="00A65674">
        <w:rPr>
          <w:rFonts w:ascii="Century Gothic" w:eastAsia="Century Gothic" w:hAnsi="Century Gothic" w:cs="Century Gothic"/>
          <w:sz w:val="24"/>
          <w:szCs w:val="24"/>
        </w:rPr>
        <w:t xml:space="preserve"> con sustento en la siguiente:</w:t>
      </w:r>
    </w:p>
    <w:p w14:paraId="7BDD41EF" w14:textId="77777777" w:rsidR="00CD5EC0" w:rsidRDefault="00CD5EC0" w:rsidP="001C1603">
      <w:pPr>
        <w:spacing w:after="120" w:line="360" w:lineRule="auto"/>
        <w:ind w:left="426"/>
        <w:jc w:val="center"/>
        <w:rPr>
          <w:rFonts w:ascii="Century Gothic" w:eastAsia="Century Gothic" w:hAnsi="Century Gothic" w:cs="Century Gothic"/>
          <w:b/>
          <w:sz w:val="24"/>
          <w:szCs w:val="24"/>
        </w:rPr>
      </w:pPr>
    </w:p>
    <w:p w14:paraId="6D6257BD" w14:textId="042012D4" w:rsidR="00CD5EC0" w:rsidRDefault="0000547A" w:rsidP="001C1603">
      <w:pPr>
        <w:spacing w:after="120" w:line="360" w:lineRule="auto"/>
        <w:ind w:left="426" w:hanging="720"/>
        <w:jc w:val="center"/>
        <w:rPr>
          <w:rFonts w:ascii="Century Gothic" w:eastAsia="Century Gothic" w:hAnsi="Century Gothic" w:cs="Century Gothic"/>
          <w:b/>
          <w:sz w:val="24"/>
          <w:szCs w:val="24"/>
        </w:rPr>
      </w:pPr>
      <w:r w:rsidRPr="00C5028B">
        <w:rPr>
          <w:rFonts w:ascii="Century Gothic" w:eastAsia="Century Gothic" w:hAnsi="Century Gothic" w:cs="Century Gothic"/>
          <w:b/>
          <w:sz w:val="24"/>
          <w:szCs w:val="24"/>
        </w:rPr>
        <w:t>EXPOSICIÓN DE MOTIVOS:</w:t>
      </w:r>
    </w:p>
    <w:p w14:paraId="7B858601" w14:textId="77777777" w:rsidR="00A65674" w:rsidRDefault="00A65674" w:rsidP="001C1603">
      <w:pPr>
        <w:spacing w:before="120" w:after="120" w:line="360" w:lineRule="auto"/>
        <w:ind w:left="426"/>
        <w:jc w:val="both"/>
        <w:rPr>
          <w:rFonts w:ascii="Century Gothic" w:hAnsi="Century Gothic"/>
          <w:sz w:val="24"/>
          <w:szCs w:val="24"/>
        </w:rPr>
      </w:pPr>
      <w:bookmarkStart w:id="1" w:name="_gjdgxs" w:colFirst="0" w:colLast="0"/>
      <w:bookmarkEnd w:id="1"/>
      <w:r w:rsidRPr="002553B1">
        <w:rPr>
          <w:rFonts w:ascii="Century Gothic" w:hAnsi="Century Gothic"/>
          <w:sz w:val="24"/>
          <w:szCs w:val="24"/>
        </w:rPr>
        <w:t>La reforma constitucional de 2011 vinculó a todas las autoridades del Estado en el ámbito de sus competencias a respetar, proteger y garantizar los derechos humanos conforme a los principios de universalidad, interdependencia, indivisibilidad y progresividad.</w:t>
      </w:r>
    </w:p>
    <w:p w14:paraId="0A04A1C3" w14:textId="1049D538"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lastRenderedPageBreak/>
        <w:t xml:space="preserve">El principio de progresividad de los derechos humanos se relaciona no sólo con la prohibición de regresividad del disfrute de los derechos fundamentales, sino también con </w:t>
      </w:r>
      <w:r w:rsidRPr="00553D63">
        <w:rPr>
          <w:rFonts w:ascii="Century Gothic" w:hAnsi="Century Gothic"/>
          <w:b/>
          <w:bCs/>
          <w:sz w:val="24"/>
          <w:szCs w:val="24"/>
        </w:rPr>
        <w:t>la obligación positiva de promoverlos de manera progresiva y gradual</w:t>
      </w:r>
      <w:r w:rsidRPr="002553B1">
        <w:rPr>
          <w:rFonts w:ascii="Century Gothic" w:hAnsi="Century Gothic"/>
          <w:sz w:val="24"/>
          <w:szCs w:val="24"/>
        </w:rPr>
        <w:t xml:space="preserve">. El Estado mexicano tiene el mandato constitucional de realizar todos los cambios y transformaciones necesarias en la estructura económica, social, política y cultural del país, de manera que se garantice que todas las personas puedan disfrutar de sus derechos humanos. </w:t>
      </w:r>
    </w:p>
    <w:p w14:paraId="6EBE723B" w14:textId="15D07A06"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p>
    <w:p w14:paraId="1B312AB6" w14:textId="136CB799"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 xml:space="preserve">En este sentido, el principio de progresividad para las y los legisladores, </w:t>
      </w:r>
      <w:r w:rsidR="00527363">
        <w:rPr>
          <w:rFonts w:ascii="Century Gothic" w:hAnsi="Century Gothic"/>
          <w:sz w:val="24"/>
          <w:szCs w:val="24"/>
        </w:rPr>
        <w:t>radica</w:t>
      </w:r>
      <w:r w:rsidRPr="002553B1">
        <w:rPr>
          <w:rFonts w:ascii="Century Gothic" w:hAnsi="Century Gothic"/>
          <w:sz w:val="24"/>
          <w:szCs w:val="24"/>
        </w:rPr>
        <w:t xml:space="preserve"> en la obligación de ampliar el alcance y la tutela de los derechos humanos. Impone la prohibición al poder legislativo de emitir actos que limiten, restrinja</w:t>
      </w:r>
      <w:r w:rsidR="00527363">
        <w:rPr>
          <w:rFonts w:ascii="Century Gothic" w:hAnsi="Century Gothic"/>
          <w:sz w:val="24"/>
          <w:szCs w:val="24"/>
        </w:rPr>
        <w:t>n</w:t>
      </w:r>
      <w:r w:rsidRPr="002553B1">
        <w:rPr>
          <w:rFonts w:ascii="Century Gothic" w:hAnsi="Century Gothic"/>
          <w:sz w:val="24"/>
          <w:szCs w:val="24"/>
        </w:rPr>
        <w:t>, eliminen o desconozcan el alcance y la tutela que en determinado momento ya se reconoc</w:t>
      </w:r>
      <w:r w:rsidR="00527363">
        <w:rPr>
          <w:rFonts w:ascii="Century Gothic" w:hAnsi="Century Gothic"/>
          <w:sz w:val="24"/>
          <w:szCs w:val="24"/>
        </w:rPr>
        <w:t>e</w:t>
      </w:r>
      <w:r w:rsidRPr="002553B1">
        <w:rPr>
          <w:rFonts w:ascii="Century Gothic" w:hAnsi="Century Gothic"/>
          <w:sz w:val="24"/>
          <w:szCs w:val="24"/>
        </w:rPr>
        <w:t xml:space="preserve"> a los derechos humanos</w:t>
      </w:r>
      <w:r w:rsidR="00461DDA">
        <w:rPr>
          <w:rFonts w:ascii="Century Gothic" w:hAnsi="Century Gothic"/>
          <w:sz w:val="24"/>
          <w:szCs w:val="24"/>
        </w:rPr>
        <w:t>.</w:t>
      </w:r>
    </w:p>
    <w:p w14:paraId="48404389" w14:textId="77777777"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 xml:space="preserve">El cumplimiento de un ejercicio de gobierno con enfoque de derechos humanos debe caracterizarse por cumplir con el principio de progresividad. Los Estados comprometidos deben contar con políticas, programas y acciones que permitan cumplir con ello. </w:t>
      </w:r>
    </w:p>
    <w:p w14:paraId="646BBA2E" w14:textId="77777777"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 xml:space="preserve">El principio de progresividad de los derechos humanos deber estar reflejado </w:t>
      </w:r>
      <w:r w:rsidRPr="00143A4A">
        <w:rPr>
          <w:rFonts w:ascii="Century Gothic" w:hAnsi="Century Gothic"/>
          <w:b/>
          <w:bCs/>
          <w:sz w:val="24"/>
          <w:szCs w:val="24"/>
        </w:rPr>
        <w:t>en la estructura institucional y</w:t>
      </w:r>
      <w:r w:rsidRPr="002553B1">
        <w:rPr>
          <w:rFonts w:ascii="Century Gothic" w:hAnsi="Century Gothic"/>
          <w:sz w:val="24"/>
          <w:szCs w:val="24"/>
        </w:rPr>
        <w:t xml:space="preserve"> </w:t>
      </w:r>
      <w:r w:rsidRPr="00143A4A">
        <w:rPr>
          <w:rFonts w:ascii="Century Gothic" w:hAnsi="Century Gothic"/>
          <w:b/>
          <w:bCs/>
          <w:sz w:val="24"/>
          <w:szCs w:val="24"/>
        </w:rPr>
        <w:t>en el presupuesto público</w:t>
      </w:r>
      <w:r w:rsidRPr="002553B1">
        <w:rPr>
          <w:rFonts w:ascii="Century Gothic" w:hAnsi="Century Gothic"/>
          <w:sz w:val="24"/>
          <w:szCs w:val="24"/>
        </w:rPr>
        <w:t>.</w:t>
      </w:r>
    </w:p>
    <w:p w14:paraId="271EBB3C" w14:textId="116D2934" w:rsidR="00D2376B"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lastRenderedPageBreak/>
        <w:t>Los derechos humanos están íntimamente relacionados con el presupuesto.</w:t>
      </w:r>
      <w:r w:rsidR="008158C3">
        <w:rPr>
          <w:rFonts w:ascii="Century Gothic" w:hAnsi="Century Gothic"/>
          <w:sz w:val="24"/>
          <w:szCs w:val="24"/>
        </w:rPr>
        <w:t xml:space="preserve"> En el</w:t>
      </w:r>
      <w:r w:rsidRPr="002553B1">
        <w:rPr>
          <w:rFonts w:ascii="Century Gothic" w:hAnsi="Century Gothic"/>
          <w:sz w:val="24"/>
          <w:szCs w:val="24"/>
        </w:rPr>
        <w:t xml:space="preserve"> libro </w:t>
      </w:r>
      <w:r w:rsidR="008158C3" w:rsidRPr="008158C3">
        <w:rPr>
          <w:rFonts w:ascii="Century Gothic" w:hAnsi="Century Gothic"/>
          <w:i/>
          <w:iCs/>
          <w:sz w:val="24"/>
          <w:szCs w:val="24"/>
        </w:rPr>
        <w:t>El c</w:t>
      </w:r>
      <w:r w:rsidRPr="008158C3">
        <w:rPr>
          <w:rFonts w:ascii="Century Gothic" w:hAnsi="Century Gothic"/>
          <w:i/>
          <w:iCs/>
          <w:sz w:val="24"/>
          <w:szCs w:val="24"/>
        </w:rPr>
        <w:t>osto de los derechos</w:t>
      </w:r>
      <w:r w:rsidRPr="002553B1">
        <w:rPr>
          <w:rFonts w:ascii="Century Gothic" w:hAnsi="Century Gothic"/>
          <w:sz w:val="24"/>
          <w:szCs w:val="24"/>
        </w:rPr>
        <w:t xml:space="preserve"> de Stephen Holmes y Cass Sunstein, </w:t>
      </w:r>
      <w:r w:rsidR="008158C3">
        <w:rPr>
          <w:rFonts w:ascii="Century Gothic" w:hAnsi="Century Gothic"/>
          <w:sz w:val="24"/>
          <w:szCs w:val="24"/>
        </w:rPr>
        <w:t xml:space="preserve">se </w:t>
      </w:r>
      <w:r w:rsidRPr="002553B1">
        <w:rPr>
          <w:rFonts w:ascii="Century Gothic" w:hAnsi="Century Gothic"/>
          <w:sz w:val="24"/>
          <w:szCs w:val="24"/>
        </w:rPr>
        <w:t xml:space="preserve">sostiene que “para determinar qué derechos garantiza una comunidad no se puede responder con mirar la </w:t>
      </w:r>
      <w:r w:rsidRPr="008158C3">
        <w:rPr>
          <w:rFonts w:ascii="Century Gothic" w:hAnsi="Century Gothic"/>
          <w:sz w:val="24"/>
          <w:szCs w:val="24"/>
        </w:rPr>
        <w:t>constitución o las leyes de esta sino observando los presupuestos y estudiando cuántos recursos se destinan a su cumplimiento”. Es decir, sin presupuesto</w:t>
      </w:r>
      <w:r w:rsidR="001548BC" w:rsidRPr="008158C3">
        <w:rPr>
          <w:rFonts w:ascii="Century Gothic" w:hAnsi="Century Gothic"/>
          <w:sz w:val="24"/>
          <w:szCs w:val="24"/>
        </w:rPr>
        <w:t>,</w:t>
      </w:r>
      <w:r w:rsidRPr="008158C3">
        <w:rPr>
          <w:rFonts w:ascii="Century Gothic" w:hAnsi="Century Gothic"/>
          <w:sz w:val="24"/>
          <w:szCs w:val="24"/>
        </w:rPr>
        <w:t xml:space="preserve"> los derechos humanos no se pueden proteger. Hay una correlación directa entre el gasto público y la</w:t>
      </w:r>
      <w:r w:rsidR="001548BC" w:rsidRPr="008158C3">
        <w:rPr>
          <w:rFonts w:ascii="Century Gothic" w:hAnsi="Century Gothic"/>
          <w:sz w:val="24"/>
          <w:szCs w:val="24"/>
        </w:rPr>
        <w:t xml:space="preserve"> garantía</w:t>
      </w:r>
      <w:r w:rsidRPr="008158C3">
        <w:rPr>
          <w:rFonts w:ascii="Century Gothic" w:hAnsi="Century Gothic"/>
          <w:sz w:val="24"/>
          <w:szCs w:val="24"/>
        </w:rPr>
        <w:t xml:space="preserve"> de</w:t>
      </w:r>
      <w:r w:rsidR="001548BC" w:rsidRPr="008158C3">
        <w:rPr>
          <w:rFonts w:ascii="Century Gothic" w:hAnsi="Century Gothic"/>
          <w:sz w:val="24"/>
          <w:szCs w:val="24"/>
        </w:rPr>
        <w:t xml:space="preserve"> los</w:t>
      </w:r>
      <w:r w:rsidRPr="008158C3">
        <w:rPr>
          <w:rFonts w:ascii="Century Gothic" w:hAnsi="Century Gothic"/>
          <w:sz w:val="24"/>
          <w:szCs w:val="24"/>
        </w:rPr>
        <w:t xml:space="preserve"> derechos. </w:t>
      </w:r>
      <w:r w:rsidR="00D2376B" w:rsidRPr="008158C3">
        <w:rPr>
          <w:rFonts w:ascii="Century Gothic" w:hAnsi="Century Gothic"/>
          <w:color w:val="000000"/>
          <w:sz w:val="24"/>
          <w:szCs w:val="24"/>
          <w:shd w:val="clear" w:color="auto" w:fill="FFFFFF"/>
        </w:rPr>
        <w:t>Holmes y Sunstein dicen en buenas cuentas: "dime cuánto gastas y te diré cuán protegido y garantizado está un derecho".</w:t>
      </w:r>
    </w:p>
    <w:p w14:paraId="09DE5B11" w14:textId="77777777"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Existe un alto contenido político cuando se aprueba un presupuesto, de ahí que la disputa por los recursos se dé en esos términos atendiendo demandas de grupos de presión, organizaciones económicas y sectores específicos, o bien intereses de diferentes organizaciones políticas o de sus líderes. Esta situación refleja que las prioridades de los actores sociales, económicos y políticos en la discusión presupuestal no parten de una visión de derechos, si no de las necesidades e intereses específicos de grupos y liderazgos con capacidad para llegar a las instancias de decisión presupuestal.</w:t>
      </w:r>
    </w:p>
    <w:p w14:paraId="32584AE8" w14:textId="20E46EDD"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 xml:space="preserve">Sin embargo, una de las tareas principales de los Estados </w:t>
      </w:r>
      <w:r w:rsidR="001548BC">
        <w:rPr>
          <w:rFonts w:ascii="Century Gothic" w:hAnsi="Century Gothic"/>
          <w:sz w:val="24"/>
          <w:szCs w:val="24"/>
        </w:rPr>
        <w:t>debe ser</w:t>
      </w:r>
      <w:r w:rsidRPr="002553B1">
        <w:rPr>
          <w:rFonts w:ascii="Century Gothic" w:hAnsi="Century Gothic"/>
          <w:sz w:val="24"/>
          <w:szCs w:val="24"/>
        </w:rPr>
        <w:t xml:space="preserve"> establecer acciones concretas que permitan garantizar un respeto pleno y salvaguarda</w:t>
      </w:r>
      <w:r w:rsidR="00143A4A">
        <w:rPr>
          <w:rFonts w:ascii="Century Gothic" w:hAnsi="Century Gothic"/>
          <w:sz w:val="24"/>
          <w:szCs w:val="24"/>
        </w:rPr>
        <w:t xml:space="preserve">r </w:t>
      </w:r>
      <w:r w:rsidRPr="002553B1">
        <w:rPr>
          <w:rFonts w:ascii="Century Gothic" w:hAnsi="Century Gothic"/>
          <w:sz w:val="24"/>
          <w:szCs w:val="24"/>
        </w:rPr>
        <w:t>los derechos humanos, entre ellos el respeto a los derechos de los grupos poblacionales específicos que por sus condiciones pueden sufrir de vulneraciones.</w:t>
      </w:r>
    </w:p>
    <w:p w14:paraId="003E74CF" w14:textId="46FB6A77"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Los grupos en situación de vulnerabilidad son aquellos que</w:t>
      </w:r>
      <w:r w:rsidR="00461DDA">
        <w:rPr>
          <w:rFonts w:ascii="Century Gothic" w:hAnsi="Century Gothic"/>
          <w:sz w:val="24"/>
          <w:szCs w:val="24"/>
        </w:rPr>
        <w:t>,</w:t>
      </w:r>
      <w:r w:rsidRPr="002553B1">
        <w:rPr>
          <w:rFonts w:ascii="Century Gothic" w:hAnsi="Century Gothic"/>
          <w:sz w:val="24"/>
          <w:szCs w:val="24"/>
        </w:rPr>
        <w:t xml:space="preserve"> debido </w:t>
      </w:r>
      <w:r w:rsidR="00AD2CF4">
        <w:rPr>
          <w:rFonts w:ascii="Century Gothic" w:hAnsi="Century Gothic"/>
          <w:sz w:val="24"/>
          <w:szCs w:val="24"/>
        </w:rPr>
        <w:t xml:space="preserve">a </w:t>
      </w:r>
      <w:r w:rsidRPr="002553B1">
        <w:rPr>
          <w:rFonts w:ascii="Century Gothic" w:hAnsi="Century Gothic"/>
          <w:sz w:val="24"/>
          <w:szCs w:val="24"/>
        </w:rPr>
        <w:t>alguna condición específica,</w:t>
      </w:r>
      <w:r w:rsidR="0025345B">
        <w:rPr>
          <w:rFonts w:ascii="Century Gothic" w:hAnsi="Century Gothic"/>
          <w:sz w:val="24"/>
          <w:szCs w:val="24"/>
        </w:rPr>
        <w:t xml:space="preserve"> son </w:t>
      </w:r>
      <w:r w:rsidR="0025345B" w:rsidRPr="00461DDA">
        <w:rPr>
          <w:rFonts w:ascii="Century Gothic" w:hAnsi="Century Gothic"/>
          <w:sz w:val="24"/>
          <w:szCs w:val="24"/>
        </w:rPr>
        <w:t>sujetos</w:t>
      </w:r>
      <w:r w:rsidRPr="0025345B">
        <w:rPr>
          <w:rFonts w:ascii="Century Gothic" w:hAnsi="Century Gothic"/>
          <w:color w:val="00B050"/>
          <w:sz w:val="24"/>
          <w:szCs w:val="24"/>
        </w:rPr>
        <w:t xml:space="preserve"> </w:t>
      </w:r>
      <w:r w:rsidRPr="002553B1">
        <w:rPr>
          <w:rFonts w:ascii="Century Gothic" w:hAnsi="Century Gothic"/>
          <w:sz w:val="24"/>
          <w:szCs w:val="24"/>
        </w:rPr>
        <w:t xml:space="preserve">a un prejuicio social </w:t>
      </w:r>
      <w:r w:rsidR="0025345B">
        <w:rPr>
          <w:rFonts w:ascii="Century Gothic" w:hAnsi="Century Gothic"/>
          <w:sz w:val="24"/>
          <w:szCs w:val="24"/>
        </w:rPr>
        <w:t>y a</w:t>
      </w:r>
      <w:r w:rsidRPr="002553B1">
        <w:rPr>
          <w:rFonts w:ascii="Century Gothic" w:hAnsi="Century Gothic"/>
          <w:sz w:val="24"/>
          <w:szCs w:val="24"/>
        </w:rPr>
        <w:t xml:space="preserve"> una </w:t>
      </w:r>
      <w:r w:rsidRPr="002553B1">
        <w:rPr>
          <w:rFonts w:ascii="Century Gothic" w:hAnsi="Century Gothic"/>
          <w:sz w:val="24"/>
          <w:szCs w:val="24"/>
        </w:rPr>
        <w:lastRenderedPageBreak/>
        <w:t xml:space="preserve">situación histórica de opresión </w:t>
      </w:r>
      <w:r w:rsidR="0025345B">
        <w:rPr>
          <w:rFonts w:ascii="Century Gothic" w:hAnsi="Century Gothic"/>
          <w:sz w:val="24"/>
          <w:szCs w:val="24"/>
        </w:rPr>
        <w:t>e</w:t>
      </w:r>
      <w:r w:rsidRPr="002553B1">
        <w:rPr>
          <w:rFonts w:ascii="Century Gothic" w:hAnsi="Century Gothic"/>
          <w:sz w:val="24"/>
          <w:szCs w:val="24"/>
        </w:rPr>
        <w:t xml:space="preserve"> injusticia, </w:t>
      </w:r>
      <w:r w:rsidR="0025345B">
        <w:rPr>
          <w:rFonts w:ascii="Century Gothic" w:hAnsi="Century Gothic"/>
          <w:sz w:val="24"/>
          <w:szCs w:val="24"/>
        </w:rPr>
        <w:t xml:space="preserve">siendo </w:t>
      </w:r>
      <w:r w:rsidRPr="002553B1">
        <w:rPr>
          <w:rFonts w:ascii="Century Gothic" w:hAnsi="Century Gothic"/>
          <w:sz w:val="24"/>
          <w:szCs w:val="24"/>
        </w:rPr>
        <w:t>afectados sistemáticamente en el disfrute y ejercicio de sus derechos fundamentales.</w:t>
      </w:r>
    </w:p>
    <w:p w14:paraId="3CC83E98" w14:textId="00F23CB7" w:rsidR="0025345B"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 xml:space="preserve">En muchas ocasiones los Estados alegan que carecen de recursos financieros para justificar lesiones de derechos fundamentales. Las reducciones de gasto público afectan sustancialmente a los grupos vulnerables. De ahí la necesidad de garantizar un presupuesto progresivo e irreductible en los programas que atienden grupos en situación de vulnerabilidad. </w:t>
      </w:r>
    </w:p>
    <w:p w14:paraId="7713EA75" w14:textId="6916202A" w:rsidR="00A65674" w:rsidRPr="002553B1" w:rsidRDefault="00A65674" w:rsidP="001C1603">
      <w:pPr>
        <w:spacing w:before="120" w:after="120" w:line="360" w:lineRule="auto"/>
        <w:ind w:left="426"/>
        <w:jc w:val="both"/>
        <w:rPr>
          <w:rFonts w:ascii="Century Gothic" w:hAnsi="Century Gothic"/>
          <w:sz w:val="24"/>
          <w:szCs w:val="24"/>
        </w:rPr>
      </w:pPr>
      <w:r w:rsidRPr="002553B1">
        <w:rPr>
          <w:rFonts w:ascii="Century Gothic" w:hAnsi="Century Gothic"/>
          <w:sz w:val="24"/>
          <w:szCs w:val="24"/>
        </w:rPr>
        <w:t>La presente iniciativa tiene el propósito de proporcionar seguridad jurídica a los beneficiarios de los programas presupuestarios con la misma proporción del gasto programable que el del año inmediato anterior.</w:t>
      </w:r>
    </w:p>
    <w:p w14:paraId="09276BF9" w14:textId="77777777" w:rsidR="001F64D8" w:rsidRDefault="001F64D8" w:rsidP="001C1603">
      <w:pPr>
        <w:spacing w:after="120" w:line="360" w:lineRule="auto"/>
        <w:ind w:left="426"/>
        <w:jc w:val="both"/>
        <w:rPr>
          <w:rFonts w:ascii="Century Gothic" w:eastAsia="Century Gothic" w:hAnsi="Century Gothic" w:cs="Century Gothic"/>
          <w:color w:val="000000"/>
          <w:sz w:val="24"/>
          <w:szCs w:val="24"/>
          <w:highlight w:val="white"/>
        </w:rPr>
      </w:pPr>
    </w:p>
    <w:p w14:paraId="31D2C7EB" w14:textId="77777777" w:rsidR="00B05008" w:rsidRPr="00A65674" w:rsidRDefault="0000547A" w:rsidP="001C1603">
      <w:pPr>
        <w:spacing w:after="120" w:line="360" w:lineRule="auto"/>
        <w:ind w:left="426"/>
        <w:jc w:val="center"/>
        <w:rPr>
          <w:rFonts w:ascii="Century Gothic" w:eastAsia="Century Gothic" w:hAnsi="Century Gothic" w:cs="Century Gothic"/>
          <w:b/>
          <w:sz w:val="24"/>
          <w:szCs w:val="24"/>
          <w:highlight w:val="white"/>
        </w:rPr>
      </w:pPr>
      <w:r w:rsidRPr="00A65674">
        <w:rPr>
          <w:rFonts w:ascii="Century Gothic" w:eastAsia="Century Gothic" w:hAnsi="Century Gothic" w:cs="Century Gothic"/>
          <w:b/>
          <w:sz w:val="24"/>
          <w:szCs w:val="24"/>
          <w:highlight w:val="white"/>
        </w:rPr>
        <w:t>D E C R E T O</w:t>
      </w:r>
    </w:p>
    <w:p w14:paraId="7E4C4DAC" w14:textId="53331275" w:rsidR="00B05008" w:rsidRPr="00A65674" w:rsidRDefault="0000547A" w:rsidP="001C1603">
      <w:pPr>
        <w:spacing w:after="120" w:line="360" w:lineRule="auto"/>
        <w:ind w:left="426"/>
        <w:jc w:val="both"/>
        <w:rPr>
          <w:rFonts w:ascii="Century Gothic" w:eastAsia="Century Gothic" w:hAnsi="Century Gothic" w:cs="Century Gothic"/>
          <w:b/>
          <w:bCs/>
          <w:sz w:val="24"/>
          <w:szCs w:val="24"/>
        </w:rPr>
      </w:pPr>
      <w:r w:rsidRPr="00A65674">
        <w:rPr>
          <w:rFonts w:ascii="Century Gothic" w:eastAsia="Century Gothic" w:hAnsi="Century Gothic" w:cs="Century Gothic"/>
          <w:b/>
          <w:sz w:val="24"/>
          <w:szCs w:val="24"/>
        </w:rPr>
        <w:t xml:space="preserve">ARTÍCULO </w:t>
      </w:r>
      <w:r w:rsidR="00467D72" w:rsidRPr="00A65674">
        <w:rPr>
          <w:rFonts w:ascii="Century Gothic" w:eastAsia="Century Gothic" w:hAnsi="Century Gothic" w:cs="Century Gothic"/>
          <w:b/>
          <w:sz w:val="24"/>
          <w:szCs w:val="24"/>
        </w:rPr>
        <w:t>PRIMERO</w:t>
      </w:r>
      <w:r w:rsidR="00467D72" w:rsidRPr="00A65674">
        <w:rPr>
          <w:rFonts w:ascii="Century Gothic" w:eastAsia="Century Gothic" w:hAnsi="Century Gothic" w:cs="Century Gothic"/>
          <w:b/>
          <w:sz w:val="24"/>
          <w:szCs w:val="24"/>
          <w:highlight w:val="white"/>
        </w:rPr>
        <w:t>. -</w:t>
      </w:r>
      <w:r w:rsidR="00A65674" w:rsidRPr="00A65674">
        <w:rPr>
          <w:rFonts w:ascii="Century Gothic" w:eastAsia="Century Gothic" w:hAnsi="Century Gothic" w:cs="Century Gothic"/>
          <w:b/>
          <w:bCs/>
          <w:sz w:val="24"/>
          <w:szCs w:val="24"/>
        </w:rPr>
        <w:t xml:space="preserve"> se adiciona el artículo 36 Bis de la </w:t>
      </w:r>
      <w:r w:rsidR="00A65674" w:rsidRPr="00A65674">
        <w:rPr>
          <w:rFonts w:ascii="Century Gothic" w:hAnsi="Century Gothic"/>
          <w:sz w:val="24"/>
          <w:szCs w:val="24"/>
        </w:rPr>
        <w:t>Ley de Presupuesto de Egresos, Contabilidad Gubernamental y Gasto Público del Estado de Chihuahua</w:t>
      </w:r>
      <w:r w:rsidR="00A65674" w:rsidRPr="00A65674">
        <w:rPr>
          <w:rFonts w:ascii="Century Gothic" w:eastAsia="Century Gothic" w:hAnsi="Century Gothic" w:cs="Century Gothic"/>
          <w:b/>
          <w:bCs/>
          <w:sz w:val="24"/>
          <w:szCs w:val="24"/>
        </w:rPr>
        <w:t xml:space="preserve"> </w:t>
      </w:r>
      <w:r w:rsidR="00C5028B" w:rsidRPr="00A65674">
        <w:rPr>
          <w:rFonts w:ascii="Century Gothic" w:eastAsia="Century Gothic" w:hAnsi="Century Gothic" w:cs="Century Gothic"/>
          <w:b/>
          <w:bCs/>
          <w:sz w:val="24"/>
          <w:szCs w:val="24"/>
        </w:rPr>
        <w:t>para quedar en los siguientes términos:</w:t>
      </w:r>
    </w:p>
    <w:p w14:paraId="022D4F43" w14:textId="77777777" w:rsidR="00C5028B" w:rsidRPr="00950D16" w:rsidRDefault="00C5028B" w:rsidP="001C1603">
      <w:pPr>
        <w:spacing w:beforeLines="80" w:before="192" w:afterLines="80" w:after="192" w:line="360" w:lineRule="auto"/>
        <w:ind w:left="426"/>
        <w:jc w:val="both"/>
        <w:rPr>
          <w:rFonts w:ascii="Calibri" w:hAnsi="Calibri" w:cs="Calibri"/>
          <w:b/>
        </w:rPr>
      </w:pPr>
    </w:p>
    <w:p w14:paraId="1F46614F" w14:textId="04F8C180" w:rsidR="00C5028B" w:rsidRPr="00A65674" w:rsidRDefault="00C5028B" w:rsidP="001C1603">
      <w:pPr>
        <w:spacing w:beforeLines="80" w:before="192" w:afterLines="80" w:after="192" w:line="360" w:lineRule="auto"/>
        <w:ind w:left="426"/>
        <w:jc w:val="both"/>
        <w:rPr>
          <w:rFonts w:ascii="Century Gothic" w:hAnsi="Century Gothic" w:cs="Calibri"/>
          <w:b/>
          <w:sz w:val="24"/>
          <w:szCs w:val="24"/>
        </w:rPr>
      </w:pPr>
      <w:r w:rsidRPr="00A65674">
        <w:rPr>
          <w:rFonts w:ascii="Century Gothic" w:hAnsi="Century Gothic" w:cs="Calibri"/>
          <w:b/>
          <w:sz w:val="24"/>
          <w:szCs w:val="24"/>
        </w:rPr>
        <w:t xml:space="preserve">Artículo </w:t>
      </w:r>
      <w:r w:rsidR="00A65674" w:rsidRPr="00A65674">
        <w:rPr>
          <w:rFonts w:ascii="Century Gothic" w:hAnsi="Century Gothic" w:cs="Calibri"/>
          <w:b/>
          <w:sz w:val="24"/>
          <w:szCs w:val="24"/>
        </w:rPr>
        <w:t>36 Bis</w:t>
      </w:r>
    </w:p>
    <w:p w14:paraId="303DFC3C" w14:textId="77777777" w:rsidR="00A65674" w:rsidRPr="00A65674" w:rsidRDefault="00A65674" w:rsidP="001C1603">
      <w:pPr>
        <w:spacing w:line="360" w:lineRule="auto"/>
        <w:ind w:left="426"/>
        <w:jc w:val="both"/>
        <w:rPr>
          <w:rFonts w:ascii="Century Gothic" w:hAnsi="Century Gothic"/>
          <w:b/>
          <w:bCs/>
          <w:sz w:val="24"/>
          <w:szCs w:val="24"/>
        </w:rPr>
      </w:pPr>
      <w:r w:rsidRPr="00A65674">
        <w:rPr>
          <w:rFonts w:ascii="Century Gothic" w:hAnsi="Century Gothic"/>
          <w:b/>
          <w:bCs/>
          <w:sz w:val="24"/>
          <w:szCs w:val="24"/>
        </w:rPr>
        <w:t xml:space="preserve">Se deberá garantizar la progresividad en el presupuesto de egresos respecto al año fiscal inmediato anterior, en favor de los programas destinados a la protección de los derechos humanos de mujeres, niñas, </w:t>
      </w:r>
      <w:r w:rsidRPr="00A65674">
        <w:rPr>
          <w:rFonts w:ascii="Century Gothic" w:hAnsi="Century Gothic"/>
          <w:b/>
          <w:bCs/>
          <w:sz w:val="24"/>
          <w:szCs w:val="24"/>
        </w:rPr>
        <w:lastRenderedPageBreak/>
        <w:t>niños y adolescentes, víctimas del delito, pueblos y comunidades indígenas, personas migrantes y personas con discapacidad.</w:t>
      </w:r>
    </w:p>
    <w:p w14:paraId="5FC743F3" w14:textId="77777777" w:rsidR="00C5028B" w:rsidRDefault="00C5028B" w:rsidP="001C1603">
      <w:pPr>
        <w:pBdr>
          <w:top w:val="nil"/>
          <w:left w:val="nil"/>
          <w:bottom w:val="nil"/>
          <w:right w:val="nil"/>
          <w:between w:val="nil"/>
        </w:pBdr>
        <w:spacing w:before="80" w:line="360" w:lineRule="auto"/>
        <w:ind w:left="426"/>
        <w:rPr>
          <w:rFonts w:ascii="Century Gothic" w:eastAsia="Century Gothic" w:hAnsi="Century Gothic" w:cs="Century Gothic"/>
          <w:b/>
          <w:color w:val="000000"/>
          <w:sz w:val="28"/>
          <w:szCs w:val="28"/>
        </w:rPr>
      </w:pPr>
    </w:p>
    <w:p w14:paraId="13092EC7" w14:textId="05D0B2E4" w:rsidR="00B05008" w:rsidRPr="001C1603" w:rsidRDefault="0000547A" w:rsidP="001C1603">
      <w:pPr>
        <w:pBdr>
          <w:top w:val="nil"/>
          <w:left w:val="nil"/>
          <w:bottom w:val="nil"/>
          <w:right w:val="nil"/>
          <w:between w:val="nil"/>
        </w:pBdr>
        <w:spacing w:line="360" w:lineRule="auto"/>
        <w:ind w:left="426"/>
        <w:jc w:val="center"/>
        <w:rPr>
          <w:rFonts w:ascii="Century Gothic" w:eastAsia="Century Gothic" w:hAnsi="Century Gothic" w:cs="Century Gothic"/>
          <w:b/>
          <w:color w:val="000000"/>
          <w:sz w:val="28"/>
          <w:szCs w:val="28"/>
          <w:lang w:val="en-US"/>
        </w:rPr>
      </w:pPr>
      <w:r w:rsidRPr="001C1603">
        <w:rPr>
          <w:rFonts w:ascii="Century Gothic" w:eastAsia="Century Gothic" w:hAnsi="Century Gothic" w:cs="Century Gothic"/>
          <w:b/>
          <w:color w:val="000000"/>
          <w:sz w:val="28"/>
          <w:szCs w:val="28"/>
          <w:lang w:val="en-US"/>
        </w:rPr>
        <w:t>T R A N S I T O R I O S:</w:t>
      </w:r>
    </w:p>
    <w:p w14:paraId="326B7709" w14:textId="77777777" w:rsidR="001548BC" w:rsidRPr="001C1603" w:rsidRDefault="001548BC" w:rsidP="001C1603">
      <w:pPr>
        <w:pBdr>
          <w:top w:val="nil"/>
          <w:left w:val="nil"/>
          <w:bottom w:val="nil"/>
          <w:right w:val="nil"/>
          <w:between w:val="nil"/>
        </w:pBdr>
        <w:spacing w:line="360" w:lineRule="auto"/>
        <w:ind w:left="426"/>
        <w:jc w:val="center"/>
        <w:rPr>
          <w:rFonts w:ascii="Century Gothic" w:eastAsia="Century Gothic" w:hAnsi="Century Gothic" w:cs="Century Gothic"/>
          <w:b/>
          <w:color w:val="000000"/>
          <w:sz w:val="28"/>
          <w:szCs w:val="28"/>
          <w:lang w:val="en-US"/>
        </w:rPr>
      </w:pPr>
    </w:p>
    <w:p w14:paraId="625449A1" w14:textId="77777777" w:rsidR="00B05008" w:rsidRDefault="0000547A" w:rsidP="001C1603">
      <w:pPr>
        <w:pBdr>
          <w:top w:val="nil"/>
          <w:left w:val="nil"/>
          <w:bottom w:val="nil"/>
          <w:right w:val="nil"/>
          <w:between w:val="nil"/>
        </w:pBdr>
        <w:spacing w:line="360" w:lineRule="auto"/>
        <w:ind w:left="426"/>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8"/>
          <w:szCs w:val="28"/>
        </w:rPr>
        <w:t xml:space="preserve">ARTÍCULO PRIMERO.  </w:t>
      </w:r>
      <w:r>
        <w:rPr>
          <w:rFonts w:ascii="Century Gothic" w:eastAsia="Century Gothic" w:hAnsi="Century Gothic" w:cs="Century Gothic"/>
          <w:color w:val="000000"/>
          <w:sz w:val="24"/>
          <w:szCs w:val="24"/>
        </w:rPr>
        <w:t>El presente Decreto entrará en vigor al día siguiente de su publicación en el Periódico Oficial del Estado.</w:t>
      </w:r>
    </w:p>
    <w:p w14:paraId="56998E50" w14:textId="77777777" w:rsidR="00B05008" w:rsidRDefault="00B05008" w:rsidP="001C1603">
      <w:pPr>
        <w:pBdr>
          <w:top w:val="nil"/>
          <w:left w:val="nil"/>
          <w:bottom w:val="nil"/>
          <w:right w:val="nil"/>
          <w:between w:val="nil"/>
        </w:pBdr>
        <w:spacing w:line="360" w:lineRule="auto"/>
        <w:ind w:left="426"/>
        <w:jc w:val="both"/>
        <w:rPr>
          <w:rFonts w:ascii="Century Gothic" w:eastAsia="Century Gothic" w:hAnsi="Century Gothic" w:cs="Century Gothic"/>
          <w:b/>
          <w:color w:val="000000"/>
          <w:sz w:val="28"/>
          <w:szCs w:val="28"/>
        </w:rPr>
      </w:pPr>
    </w:p>
    <w:p w14:paraId="5BF57152" w14:textId="77777777" w:rsidR="00B05008" w:rsidRDefault="0000547A" w:rsidP="001C1603">
      <w:pPr>
        <w:pBdr>
          <w:top w:val="nil"/>
          <w:left w:val="nil"/>
          <w:bottom w:val="nil"/>
          <w:right w:val="nil"/>
          <w:between w:val="nil"/>
        </w:pBdr>
        <w:spacing w:line="360" w:lineRule="auto"/>
        <w:ind w:left="426"/>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8"/>
          <w:szCs w:val="28"/>
        </w:rPr>
        <w:t>ECONÓMICO</w:t>
      </w:r>
      <w:r>
        <w:rPr>
          <w:rFonts w:ascii="Century Gothic" w:eastAsia="Century Gothic" w:hAnsi="Century Gothic" w:cs="Century Gothic"/>
          <w:b/>
          <w:color w:val="000000"/>
          <w:sz w:val="24"/>
          <w:szCs w:val="24"/>
        </w:rPr>
        <w:t xml:space="preserve">. - </w:t>
      </w:r>
      <w:r>
        <w:rPr>
          <w:rFonts w:ascii="Century Gothic" w:eastAsia="Century Gothic" w:hAnsi="Century Gothic" w:cs="Century Gothic"/>
          <w:color w:val="000000"/>
          <w:sz w:val="24"/>
          <w:szCs w:val="24"/>
        </w:rPr>
        <w:t>Aprobado que sea túrnese a la Secretaría de Asuntos Legislativos y Jurídicos para que elabore la minuta de Decreto en los términos que deba publicarse.</w:t>
      </w:r>
    </w:p>
    <w:p w14:paraId="720943F5" w14:textId="77777777" w:rsidR="00B05008" w:rsidRDefault="00B05008" w:rsidP="001C1603">
      <w:pPr>
        <w:pBdr>
          <w:top w:val="nil"/>
          <w:left w:val="nil"/>
          <w:bottom w:val="nil"/>
          <w:right w:val="nil"/>
          <w:between w:val="nil"/>
        </w:pBdr>
        <w:spacing w:line="360" w:lineRule="auto"/>
        <w:ind w:left="426"/>
        <w:jc w:val="both"/>
        <w:rPr>
          <w:rFonts w:ascii="Century Gothic" w:eastAsia="Century Gothic" w:hAnsi="Century Gothic" w:cs="Century Gothic"/>
          <w:color w:val="000000"/>
          <w:sz w:val="24"/>
          <w:szCs w:val="24"/>
        </w:rPr>
      </w:pPr>
    </w:p>
    <w:p w14:paraId="688100CB" w14:textId="44D40446" w:rsidR="00B05008" w:rsidRDefault="0000547A" w:rsidP="001C1603">
      <w:pPr>
        <w:pBdr>
          <w:top w:val="nil"/>
          <w:left w:val="nil"/>
          <w:bottom w:val="nil"/>
          <w:right w:val="nil"/>
          <w:between w:val="nil"/>
        </w:pBdr>
        <w:spacing w:after="192" w:line="360" w:lineRule="auto"/>
        <w:ind w:left="426"/>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8"/>
          <w:szCs w:val="28"/>
        </w:rPr>
        <w:t>D A D O</w:t>
      </w:r>
      <w:r>
        <w:rPr>
          <w:rFonts w:ascii="Century Gothic" w:eastAsia="Century Gothic" w:hAnsi="Century Gothic" w:cs="Century Gothic"/>
          <w:color w:val="000000"/>
          <w:sz w:val="28"/>
          <w:szCs w:val="28"/>
        </w:rPr>
        <w:t xml:space="preserve"> </w:t>
      </w:r>
      <w:r>
        <w:rPr>
          <w:rFonts w:ascii="Century Gothic" w:eastAsia="Century Gothic" w:hAnsi="Century Gothic" w:cs="Century Gothic"/>
          <w:color w:val="000000"/>
          <w:sz w:val="24"/>
          <w:szCs w:val="24"/>
        </w:rPr>
        <w:t xml:space="preserve">en el salón de sesiones del Poder Legislativo a los </w:t>
      </w:r>
      <w:r w:rsidR="001C1603">
        <w:rPr>
          <w:rFonts w:ascii="Century Gothic" w:eastAsia="Century Gothic" w:hAnsi="Century Gothic" w:cs="Century Gothic"/>
          <w:color w:val="000000"/>
          <w:sz w:val="24"/>
          <w:szCs w:val="24"/>
        </w:rPr>
        <w:t>29</w:t>
      </w:r>
      <w:r>
        <w:rPr>
          <w:rFonts w:ascii="Century Gothic" w:eastAsia="Century Gothic" w:hAnsi="Century Gothic" w:cs="Century Gothic"/>
          <w:color w:val="000000"/>
          <w:sz w:val="24"/>
          <w:szCs w:val="24"/>
        </w:rPr>
        <w:t xml:space="preserve"> días del mes de </w:t>
      </w:r>
      <w:r w:rsidR="00C5028B">
        <w:rPr>
          <w:rFonts w:ascii="Century Gothic" w:eastAsia="Century Gothic" w:hAnsi="Century Gothic" w:cs="Century Gothic"/>
          <w:color w:val="000000"/>
          <w:sz w:val="24"/>
          <w:szCs w:val="24"/>
        </w:rPr>
        <w:t>marzo</w:t>
      </w:r>
      <w:r>
        <w:rPr>
          <w:rFonts w:ascii="Century Gothic" w:eastAsia="Century Gothic" w:hAnsi="Century Gothic" w:cs="Century Gothic"/>
          <w:color w:val="000000"/>
          <w:sz w:val="24"/>
          <w:szCs w:val="24"/>
        </w:rPr>
        <w:t xml:space="preserve"> del año dos mil </w:t>
      </w:r>
      <w:r w:rsidR="00C5028B">
        <w:rPr>
          <w:rFonts w:ascii="Century Gothic" w:eastAsia="Century Gothic" w:hAnsi="Century Gothic" w:cs="Century Gothic"/>
          <w:color w:val="000000"/>
          <w:sz w:val="24"/>
          <w:szCs w:val="24"/>
        </w:rPr>
        <w:t>veintidós.</w:t>
      </w:r>
    </w:p>
    <w:p w14:paraId="38085013" w14:textId="77777777" w:rsidR="00B05008" w:rsidRDefault="00B05008" w:rsidP="001C1603">
      <w:pPr>
        <w:spacing w:after="120"/>
        <w:ind w:left="426"/>
        <w:rPr>
          <w:rFonts w:ascii="Century Gothic" w:eastAsia="Century Gothic" w:hAnsi="Century Gothic" w:cs="Century Gothic"/>
          <w:b/>
          <w:sz w:val="24"/>
          <w:szCs w:val="24"/>
        </w:rPr>
      </w:pPr>
    </w:p>
    <w:p w14:paraId="31F4CB0F" w14:textId="77777777" w:rsidR="00B05008" w:rsidRDefault="00B05008" w:rsidP="001C1603">
      <w:pPr>
        <w:spacing w:after="120"/>
        <w:ind w:left="426"/>
        <w:rPr>
          <w:rFonts w:ascii="Century Gothic" w:eastAsia="Century Gothic" w:hAnsi="Century Gothic" w:cs="Century Gothic"/>
          <w:b/>
          <w:sz w:val="24"/>
          <w:szCs w:val="24"/>
        </w:rPr>
      </w:pPr>
    </w:p>
    <w:p w14:paraId="171ED658" w14:textId="77777777" w:rsidR="00B05008" w:rsidRDefault="0000547A"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T E N T A M E N T E</w:t>
      </w:r>
    </w:p>
    <w:p w14:paraId="1511A3EC" w14:textId="77777777" w:rsidR="00B05008" w:rsidRDefault="00B05008" w:rsidP="001C1603">
      <w:pPr>
        <w:pBdr>
          <w:top w:val="nil"/>
          <w:left w:val="nil"/>
          <w:bottom w:val="nil"/>
          <w:right w:val="nil"/>
          <w:between w:val="nil"/>
        </w:pBdr>
        <w:spacing w:after="120"/>
        <w:ind w:left="426"/>
        <w:rPr>
          <w:rFonts w:ascii="Century Gothic" w:eastAsia="Century Gothic" w:hAnsi="Century Gothic" w:cs="Century Gothic"/>
          <w:b/>
          <w:color w:val="000000"/>
          <w:sz w:val="24"/>
          <w:szCs w:val="24"/>
          <w:highlight w:val="white"/>
        </w:rPr>
      </w:pPr>
    </w:p>
    <w:p w14:paraId="60CA3FD1" w14:textId="77777777" w:rsidR="00B05008" w:rsidRDefault="00B05008" w:rsidP="001C1603">
      <w:pPr>
        <w:pBdr>
          <w:top w:val="nil"/>
          <w:left w:val="nil"/>
          <w:bottom w:val="nil"/>
          <w:right w:val="nil"/>
          <w:between w:val="nil"/>
        </w:pBdr>
        <w:spacing w:after="120"/>
        <w:ind w:left="426"/>
        <w:rPr>
          <w:rFonts w:ascii="Century Gothic" w:eastAsia="Century Gothic" w:hAnsi="Century Gothic" w:cs="Century Gothic"/>
          <w:b/>
          <w:color w:val="000000"/>
          <w:sz w:val="24"/>
          <w:szCs w:val="24"/>
          <w:highlight w:val="white"/>
        </w:rPr>
      </w:pPr>
    </w:p>
    <w:p w14:paraId="49FF1FC6" w14:textId="77777777" w:rsidR="00B05008" w:rsidRDefault="00B05008" w:rsidP="001C1603">
      <w:pPr>
        <w:pBdr>
          <w:top w:val="nil"/>
          <w:left w:val="nil"/>
          <w:bottom w:val="nil"/>
          <w:right w:val="nil"/>
          <w:between w:val="nil"/>
        </w:pBdr>
        <w:spacing w:after="120"/>
        <w:ind w:left="426"/>
        <w:rPr>
          <w:rFonts w:ascii="Century Gothic" w:eastAsia="Century Gothic" w:hAnsi="Century Gothic" w:cs="Century Gothic"/>
          <w:b/>
          <w:color w:val="000000"/>
          <w:sz w:val="24"/>
          <w:szCs w:val="24"/>
          <w:highlight w:val="white"/>
        </w:rPr>
      </w:pPr>
    </w:p>
    <w:p w14:paraId="5B72C984" w14:textId="77777777" w:rsidR="00B05008" w:rsidRDefault="0000547A"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bl>
      <w:tblPr>
        <w:tblStyle w:val="a"/>
        <w:tblW w:w="9782" w:type="dxa"/>
        <w:tblInd w:w="-289" w:type="dxa"/>
        <w:tblLayout w:type="fixed"/>
        <w:tblLook w:val="0400" w:firstRow="0" w:lastRow="0" w:firstColumn="0" w:lastColumn="0" w:noHBand="0" w:noVBand="1"/>
      </w:tblPr>
      <w:tblGrid>
        <w:gridCol w:w="4395"/>
        <w:gridCol w:w="5103"/>
        <w:gridCol w:w="284"/>
      </w:tblGrid>
      <w:tr w:rsidR="00B05008" w14:paraId="239F317A" w14:textId="77777777" w:rsidTr="00D7744B">
        <w:trPr>
          <w:gridAfter w:val="1"/>
          <w:wAfter w:w="284" w:type="dxa"/>
          <w:trHeight w:val="1984"/>
        </w:trPr>
        <w:tc>
          <w:tcPr>
            <w:tcW w:w="4395" w:type="dxa"/>
            <w:vAlign w:val="bottom"/>
          </w:tcPr>
          <w:p w14:paraId="5DA9BDF2" w14:textId="77777777" w:rsidR="00B05008" w:rsidRDefault="0000547A"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CUAUTHÉMOC ESTRADA</w:t>
            </w:r>
          </w:p>
        </w:tc>
        <w:tc>
          <w:tcPr>
            <w:tcW w:w="5103" w:type="dxa"/>
            <w:vAlign w:val="bottom"/>
          </w:tcPr>
          <w:p w14:paraId="53E8C375" w14:textId="77777777" w:rsidR="00B05008" w:rsidRDefault="0000547A"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ÓSCAR DANIEL AVITIA ARELLANES</w:t>
            </w:r>
          </w:p>
        </w:tc>
      </w:tr>
      <w:tr w:rsidR="00B05008" w14:paraId="76513507" w14:textId="77777777" w:rsidTr="00D7744B">
        <w:trPr>
          <w:gridAfter w:val="1"/>
          <w:wAfter w:w="284" w:type="dxa"/>
          <w:trHeight w:val="1984"/>
        </w:trPr>
        <w:tc>
          <w:tcPr>
            <w:tcW w:w="4395" w:type="dxa"/>
            <w:vAlign w:val="bottom"/>
          </w:tcPr>
          <w:p w14:paraId="2D39E439" w14:textId="4C487E59" w:rsidR="00B05008" w:rsidRDefault="00EA1BBB"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DIP. </w:t>
            </w:r>
            <w:r w:rsidRPr="0091375F">
              <w:rPr>
                <w:rFonts w:ascii="Century Gothic" w:eastAsia="Century Gothic" w:hAnsi="Century Gothic" w:cs="Century Gothic"/>
                <w:b/>
                <w:sz w:val="24"/>
                <w:szCs w:val="24"/>
              </w:rPr>
              <w:t>DANIA OCHOA GALINDO</w:t>
            </w:r>
          </w:p>
        </w:tc>
        <w:tc>
          <w:tcPr>
            <w:tcW w:w="5103" w:type="dxa"/>
            <w:vAlign w:val="bottom"/>
          </w:tcPr>
          <w:p w14:paraId="20F51C73" w14:textId="77777777" w:rsidR="00B05008" w:rsidRDefault="0000547A"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GUSTAVO DE LA ROSA HICKERSON</w:t>
            </w:r>
          </w:p>
        </w:tc>
      </w:tr>
      <w:tr w:rsidR="00B05008" w14:paraId="7432115C" w14:textId="77777777" w:rsidTr="00D7744B">
        <w:trPr>
          <w:gridAfter w:val="1"/>
          <w:wAfter w:w="284" w:type="dxa"/>
          <w:trHeight w:val="1984"/>
        </w:trPr>
        <w:tc>
          <w:tcPr>
            <w:tcW w:w="4395" w:type="dxa"/>
            <w:vAlign w:val="bottom"/>
          </w:tcPr>
          <w:p w14:paraId="246C31CD" w14:textId="77777777" w:rsidR="00B05008" w:rsidRDefault="0000547A"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tc>
        <w:tc>
          <w:tcPr>
            <w:tcW w:w="5103" w:type="dxa"/>
            <w:vAlign w:val="bottom"/>
          </w:tcPr>
          <w:p w14:paraId="65BF3A72" w14:textId="28E41D3E" w:rsidR="00B05008" w:rsidRDefault="001C1603" w:rsidP="001C1603">
            <w:pPr>
              <w:spacing w:after="120"/>
              <w:ind w:left="42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w:t>
            </w:r>
            <w:r w:rsidRPr="0091375F">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I</w:t>
            </w:r>
            <w:r w:rsidRPr="0091375F">
              <w:rPr>
                <w:rFonts w:ascii="Century Gothic" w:eastAsia="Century Gothic" w:hAnsi="Century Gothic" w:cs="Century Gothic"/>
                <w:b/>
                <w:sz w:val="24"/>
                <w:szCs w:val="24"/>
              </w:rPr>
              <w:t>NDHIRA ILSE OCHOA MARTÍNEZ</w:t>
            </w:r>
          </w:p>
        </w:tc>
      </w:tr>
      <w:tr w:rsidR="00B05008" w14:paraId="05CF4557" w14:textId="77777777" w:rsidTr="001C1603">
        <w:trPr>
          <w:trHeight w:val="2274"/>
        </w:trPr>
        <w:tc>
          <w:tcPr>
            <w:tcW w:w="4395" w:type="dxa"/>
            <w:vAlign w:val="bottom"/>
          </w:tcPr>
          <w:p w14:paraId="10CF8EB0" w14:textId="77777777" w:rsidR="001C1603" w:rsidRDefault="001C1603" w:rsidP="001C1603">
            <w:pPr>
              <w:spacing w:after="120"/>
              <w:ind w:left="426"/>
              <w:jc w:val="center"/>
              <w:rPr>
                <w:rFonts w:ascii="Century Gothic" w:eastAsia="Century Gothic" w:hAnsi="Century Gothic" w:cs="Century Gothic"/>
                <w:b/>
                <w:sz w:val="24"/>
                <w:szCs w:val="24"/>
              </w:rPr>
            </w:pPr>
          </w:p>
          <w:p w14:paraId="05A1AA8B" w14:textId="77777777" w:rsidR="001C1603" w:rsidRDefault="001C1603" w:rsidP="001C1603">
            <w:pPr>
              <w:spacing w:after="120"/>
              <w:ind w:left="426"/>
              <w:jc w:val="center"/>
              <w:rPr>
                <w:rFonts w:ascii="Century Gothic" w:eastAsia="Century Gothic" w:hAnsi="Century Gothic" w:cs="Century Gothic"/>
                <w:b/>
                <w:sz w:val="24"/>
                <w:szCs w:val="24"/>
              </w:rPr>
            </w:pPr>
          </w:p>
          <w:p w14:paraId="3FD0F07B" w14:textId="0CF40B69" w:rsidR="00B05008" w:rsidRDefault="001C1603" w:rsidP="001C1603">
            <w:pPr>
              <w:spacing w:after="120"/>
              <w:ind w:left="426"/>
              <w:jc w:val="center"/>
              <w:rPr>
                <w:rFonts w:ascii="Century Gothic" w:eastAsia="Century Gothic" w:hAnsi="Century Gothic" w:cs="Century Gothic"/>
                <w:b/>
                <w:sz w:val="24"/>
                <w:szCs w:val="24"/>
              </w:rPr>
            </w:pPr>
            <w:r w:rsidRPr="001C1603">
              <w:rPr>
                <w:rFonts w:ascii="Century Gothic" w:eastAsia="Century Gothic" w:hAnsi="Century Gothic" w:cs="Century Gothic"/>
                <w:b/>
                <w:sz w:val="24"/>
                <w:szCs w:val="24"/>
              </w:rPr>
              <w:t>DIP. JOSÉ CUAUHTÉMOC CERVANTES ACEVES</w:t>
            </w:r>
          </w:p>
        </w:tc>
        <w:tc>
          <w:tcPr>
            <w:tcW w:w="5387" w:type="dxa"/>
            <w:gridSpan w:val="2"/>
            <w:vAlign w:val="bottom"/>
          </w:tcPr>
          <w:p w14:paraId="4DA6747A" w14:textId="0EAE7AF8" w:rsidR="00B05008" w:rsidRDefault="00B05008" w:rsidP="001C1603">
            <w:pPr>
              <w:spacing w:after="120"/>
              <w:ind w:left="426"/>
              <w:jc w:val="center"/>
              <w:rPr>
                <w:rFonts w:ascii="Century Gothic" w:eastAsia="Century Gothic" w:hAnsi="Century Gothic" w:cs="Century Gothic"/>
                <w:b/>
                <w:sz w:val="24"/>
                <w:szCs w:val="24"/>
              </w:rPr>
            </w:pPr>
          </w:p>
        </w:tc>
      </w:tr>
      <w:tr w:rsidR="00A65674" w14:paraId="4ECBF8EC" w14:textId="77777777" w:rsidTr="00D7744B">
        <w:trPr>
          <w:gridAfter w:val="2"/>
          <w:wAfter w:w="5387" w:type="dxa"/>
          <w:trHeight w:val="1984"/>
        </w:trPr>
        <w:tc>
          <w:tcPr>
            <w:tcW w:w="4395" w:type="dxa"/>
            <w:vAlign w:val="bottom"/>
          </w:tcPr>
          <w:p w14:paraId="7BA3C5FC" w14:textId="77777777" w:rsidR="00A65674" w:rsidRDefault="00A65674" w:rsidP="001C1603">
            <w:pPr>
              <w:spacing w:after="120"/>
              <w:ind w:left="426"/>
              <w:jc w:val="center"/>
              <w:rPr>
                <w:rFonts w:ascii="Century Gothic" w:eastAsia="Century Gothic" w:hAnsi="Century Gothic" w:cs="Century Gothic"/>
                <w:b/>
                <w:sz w:val="24"/>
                <w:szCs w:val="24"/>
              </w:rPr>
            </w:pPr>
          </w:p>
          <w:p w14:paraId="54EF5B44" w14:textId="77777777" w:rsidR="00A65674" w:rsidRDefault="00A65674" w:rsidP="001C1603">
            <w:pPr>
              <w:spacing w:after="120"/>
              <w:ind w:left="426"/>
              <w:jc w:val="center"/>
              <w:rPr>
                <w:rFonts w:ascii="Century Gothic" w:eastAsia="Century Gothic" w:hAnsi="Century Gothic" w:cs="Century Gothic"/>
                <w:b/>
                <w:sz w:val="24"/>
                <w:szCs w:val="24"/>
              </w:rPr>
            </w:pPr>
          </w:p>
          <w:p w14:paraId="7D8D3051" w14:textId="63B4699A" w:rsidR="00A65674" w:rsidRDefault="00A65674" w:rsidP="001C1603">
            <w:pPr>
              <w:spacing w:after="120"/>
              <w:ind w:left="426"/>
              <w:jc w:val="center"/>
              <w:rPr>
                <w:rFonts w:ascii="Century Gothic" w:eastAsia="Century Gothic" w:hAnsi="Century Gothic" w:cs="Century Gothic"/>
                <w:b/>
                <w:sz w:val="24"/>
                <w:szCs w:val="24"/>
              </w:rPr>
            </w:pPr>
          </w:p>
        </w:tc>
      </w:tr>
    </w:tbl>
    <w:p w14:paraId="021950B4" w14:textId="77777777" w:rsidR="00B05008" w:rsidRDefault="00B05008" w:rsidP="001C1603">
      <w:pPr>
        <w:spacing w:after="120"/>
        <w:ind w:left="426"/>
        <w:rPr>
          <w:rFonts w:ascii="Century Gothic" w:eastAsia="Century Gothic" w:hAnsi="Century Gothic" w:cs="Century Gothic"/>
          <w:b/>
          <w:sz w:val="24"/>
          <w:szCs w:val="24"/>
        </w:rPr>
      </w:pPr>
    </w:p>
    <w:sectPr w:rsidR="00B05008">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E0896" w14:textId="77777777" w:rsidR="005F140C" w:rsidRDefault="005F140C">
      <w:r>
        <w:separator/>
      </w:r>
    </w:p>
  </w:endnote>
  <w:endnote w:type="continuationSeparator" w:id="0">
    <w:p w14:paraId="4844341A" w14:textId="77777777" w:rsidR="005F140C" w:rsidRDefault="005F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Pinyon Script">
    <w:altName w:val="Calibri"/>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1C1603">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1C1603">
      <w:rPr>
        <w:rFonts w:ascii="Century Gothic" w:eastAsia="Century Gothic" w:hAnsi="Century Gothic" w:cs="Century Gothic"/>
        <w:b/>
        <w:noProof/>
        <w:color w:val="525252"/>
        <w:sz w:val="16"/>
        <w:szCs w:val="16"/>
      </w:rPr>
      <w:t>6</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2B838" w14:textId="77777777" w:rsidR="005F140C" w:rsidRDefault="005F140C">
      <w:r>
        <w:separator/>
      </w:r>
    </w:p>
  </w:footnote>
  <w:footnote w:type="continuationSeparator" w:id="0">
    <w:p w14:paraId="32DD0116" w14:textId="77777777" w:rsidR="005F140C" w:rsidRDefault="005F1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176E" w14:textId="77777777" w:rsidR="00325B88" w:rsidRPr="00325B88" w:rsidRDefault="00325B88"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08"/>
    <w:rsid w:val="0000547A"/>
    <w:rsid w:val="00033E45"/>
    <w:rsid w:val="00061E96"/>
    <w:rsid w:val="00082D53"/>
    <w:rsid w:val="000A4E35"/>
    <w:rsid w:val="000E5AA3"/>
    <w:rsid w:val="00116E2A"/>
    <w:rsid w:val="001304A5"/>
    <w:rsid w:val="00133162"/>
    <w:rsid w:val="00142759"/>
    <w:rsid w:val="00143A4A"/>
    <w:rsid w:val="001548BC"/>
    <w:rsid w:val="00186EE6"/>
    <w:rsid w:val="00193D88"/>
    <w:rsid w:val="001A4147"/>
    <w:rsid w:val="001C1603"/>
    <w:rsid w:val="001F54C6"/>
    <w:rsid w:val="001F64D8"/>
    <w:rsid w:val="0020395B"/>
    <w:rsid w:val="0024077A"/>
    <w:rsid w:val="0025345B"/>
    <w:rsid w:val="002734E6"/>
    <w:rsid w:val="002E3250"/>
    <w:rsid w:val="00325B88"/>
    <w:rsid w:val="00341F41"/>
    <w:rsid w:val="003776C3"/>
    <w:rsid w:val="00382FAA"/>
    <w:rsid w:val="003E7250"/>
    <w:rsid w:val="004139B3"/>
    <w:rsid w:val="00433A7B"/>
    <w:rsid w:val="00455B5F"/>
    <w:rsid w:val="00460F75"/>
    <w:rsid w:val="00461DDA"/>
    <w:rsid w:val="00462B4C"/>
    <w:rsid w:val="00467D72"/>
    <w:rsid w:val="004B3CB0"/>
    <w:rsid w:val="00527363"/>
    <w:rsid w:val="00532350"/>
    <w:rsid w:val="00547341"/>
    <w:rsid w:val="00553D63"/>
    <w:rsid w:val="0056143E"/>
    <w:rsid w:val="005668BF"/>
    <w:rsid w:val="00571C31"/>
    <w:rsid w:val="0058632E"/>
    <w:rsid w:val="00596A33"/>
    <w:rsid w:val="005D7DE9"/>
    <w:rsid w:val="005F140C"/>
    <w:rsid w:val="0060108C"/>
    <w:rsid w:val="0062671E"/>
    <w:rsid w:val="00633923"/>
    <w:rsid w:val="00634FC5"/>
    <w:rsid w:val="00663789"/>
    <w:rsid w:val="00681A87"/>
    <w:rsid w:val="0069175F"/>
    <w:rsid w:val="00693FA2"/>
    <w:rsid w:val="006C66BA"/>
    <w:rsid w:val="006E1E86"/>
    <w:rsid w:val="006F4335"/>
    <w:rsid w:val="00717FBB"/>
    <w:rsid w:val="007218EA"/>
    <w:rsid w:val="00757B25"/>
    <w:rsid w:val="008158C3"/>
    <w:rsid w:val="008533B6"/>
    <w:rsid w:val="008572D5"/>
    <w:rsid w:val="00864F05"/>
    <w:rsid w:val="008F6A9D"/>
    <w:rsid w:val="0091375F"/>
    <w:rsid w:val="00952B1C"/>
    <w:rsid w:val="009568C4"/>
    <w:rsid w:val="009768FB"/>
    <w:rsid w:val="00983084"/>
    <w:rsid w:val="00987FC9"/>
    <w:rsid w:val="00997402"/>
    <w:rsid w:val="009D02A2"/>
    <w:rsid w:val="00A43F50"/>
    <w:rsid w:val="00A65674"/>
    <w:rsid w:val="00AB12DD"/>
    <w:rsid w:val="00AC30E2"/>
    <w:rsid w:val="00AD2CF4"/>
    <w:rsid w:val="00AE3499"/>
    <w:rsid w:val="00B05008"/>
    <w:rsid w:val="00B24791"/>
    <w:rsid w:val="00BB5755"/>
    <w:rsid w:val="00BE33D5"/>
    <w:rsid w:val="00C010D6"/>
    <w:rsid w:val="00C5028B"/>
    <w:rsid w:val="00CA69E6"/>
    <w:rsid w:val="00CB5B36"/>
    <w:rsid w:val="00CD5EC0"/>
    <w:rsid w:val="00CF257F"/>
    <w:rsid w:val="00D2376B"/>
    <w:rsid w:val="00D34A93"/>
    <w:rsid w:val="00D54A0F"/>
    <w:rsid w:val="00D7744B"/>
    <w:rsid w:val="00D90625"/>
    <w:rsid w:val="00DC2212"/>
    <w:rsid w:val="00DC3AF2"/>
    <w:rsid w:val="00DE329C"/>
    <w:rsid w:val="00E155F6"/>
    <w:rsid w:val="00E23652"/>
    <w:rsid w:val="00E80863"/>
    <w:rsid w:val="00E87DE3"/>
    <w:rsid w:val="00EA1BBB"/>
    <w:rsid w:val="00ED65D5"/>
    <w:rsid w:val="00EE6FF4"/>
    <w:rsid w:val="00EF3745"/>
    <w:rsid w:val="00F209F9"/>
    <w:rsid w:val="00F3141D"/>
    <w:rsid w:val="00F406F3"/>
    <w:rsid w:val="00F41BB7"/>
    <w:rsid w:val="00F7760D"/>
    <w:rsid w:val="00F83DB1"/>
    <w:rsid w:val="00F95346"/>
    <w:rsid w:val="00FA2FAC"/>
    <w:rsid w:val="00FC5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paragraph" w:styleId="Textodeglobo">
    <w:name w:val="Balloon Text"/>
    <w:basedOn w:val="Normal"/>
    <w:link w:val="TextodegloboCar"/>
    <w:uiPriority w:val="99"/>
    <w:semiHidden/>
    <w:unhideWhenUsed/>
    <w:rsid w:val="001C16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1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5131">
      <w:bodyDiv w:val="1"/>
      <w:marLeft w:val="0"/>
      <w:marRight w:val="0"/>
      <w:marTop w:val="0"/>
      <w:marBottom w:val="0"/>
      <w:divBdr>
        <w:top w:val="none" w:sz="0" w:space="0" w:color="auto"/>
        <w:left w:val="none" w:sz="0" w:space="0" w:color="auto"/>
        <w:bottom w:val="none" w:sz="0" w:space="0" w:color="auto"/>
        <w:right w:val="none" w:sz="0" w:space="0" w:color="auto"/>
      </w:divBdr>
    </w:div>
    <w:div w:id="1156073756">
      <w:bodyDiv w:val="1"/>
      <w:marLeft w:val="0"/>
      <w:marRight w:val="0"/>
      <w:marTop w:val="0"/>
      <w:marBottom w:val="0"/>
      <w:divBdr>
        <w:top w:val="none" w:sz="0" w:space="0" w:color="auto"/>
        <w:left w:val="none" w:sz="0" w:space="0" w:color="auto"/>
        <w:bottom w:val="none" w:sz="0" w:space="0" w:color="auto"/>
        <w:right w:val="none" w:sz="0" w:space="0" w:color="auto"/>
      </w:divBdr>
    </w:div>
    <w:div w:id="120999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DAB2-A226-4D18-965E-FB5F57A8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Raquel Ivonne Santamaria Barraza</cp:lastModifiedBy>
  <cp:revision>2</cp:revision>
  <cp:lastPrinted>2022-03-30T18:27:00Z</cp:lastPrinted>
  <dcterms:created xsi:type="dcterms:W3CDTF">2022-03-30T18:46:00Z</dcterms:created>
  <dcterms:modified xsi:type="dcterms:W3CDTF">2022-03-30T18:46:00Z</dcterms:modified>
</cp:coreProperties>
</file>