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CD7505" w:rsidRDefault="005442F2" w:rsidP="00843D7C">
      <w:pPr>
        <w:jc w:val="both"/>
        <w:rPr>
          <w:rFonts w:ascii="Century Gothic" w:hAnsi="Century Gothic" w:cstheme="minorHAnsi"/>
          <w:b/>
          <w:sz w:val="28"/>
          <w:szCs w:val="28"/>
        </w:rPr>
      </w:pPr>
      <w:r w:rsidRPr="00CD7505">
        <w:rPr>
          <w:rFonts w:ascii="Century Gothic" w:hAnsi="Century Gothic" w:cstheme="minorHAnsi"/>
          <w:b/>
          <w:sz w:val="28"/>
          <w:szCs w:val="28"/>
        </w:rPr>
        <w:t>H. CONGRESO DEL ESTADO DE CHIHUAHUA</w:t>
      </w:r>
    </w:p>
    <w:p w14:paraId="19563AD8" w14:textId="77777777" w:rsidR="005442F2" w:rsidRPr="00CD7505" w:rsidRDefault="005442F2" w:rsidP="00843D7C">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843D7C">
      <w:pPr>
        <w:jc w:val="both"/>
        <w:rPr>
          <w:rFonts w:ascii="Century Gothic" w:hAnsi="Century Gothic" w:cs="Arial"/>
          <w:b/>
          <w:sz w:val="24"/>
          <w:szCs w:val="24"/>
          <w:lang w:val="es-ES_tradnl"/>
        </w:rPr>
      </w:pPr>
    </w:p>
    <w:p w14:paraId="0ACA93F6" w14:textId="60E747F9" w:rsidR="001A343E" w:rsidRPr="00303FAD" w:rsidRDefault="00383163" w:rsidP="00843D7C">
      <w:pPr>
        <w:spacing w:line="360" w:lineRule="auto"/>
        <w:jc w:val="both"/>
        <w:rPr>
          <w:rFonts w:ascii="Century Gothic" w:hAnsi="Century Gothic" w:cstheme="minorHAnsi"/>
          <w:sz w:val="24"/>
          <w:szCs w:val="24"/>
        </w:rPr>
      </w:pPr>
      <w:r w:rsidRPr="00340E51">
        <w:rPr>
          <w:rFonts w:ascii="Century Gothic" w:hAnsi="Century Gothic"/>
          <w:sz w:val="24"/>
          <w:szCs w:val="24"/>
        </w:rPr>
        <w:t>Los que suscriben,</w:t>
      </w:r>
      <w:r>
        <w:rPr>
          <w:rFonts w:ascii="Century Gothic" w:hAnsi="Century Gothic"/>
          <w:sz w:val="24"/>
          <w:szCs w:val="24"/>
        </w:rPr>
        <w:t xml:space="preserve"> </w:t>
      </w:r>
      <w:r w:rsidRPr="00340E51">
        <w:rPr>
          <w:rFonts w:ascii="Century Gothic" w:hAnsi="Century Gothic" w:cstheme="minorHAnsi"/>
          <w:b/>
          <w:bCs/>
          <w:sz w:val="24"/>
          <w:szCs w:val="24"/>
        </w:rPr>
        <w:t>DAVID OSCAR CA</w:t>
      </w:r>
      <w:r>
        <w:rPr>
          <w:rFonts w:ascii="Century Gothic" w:hAnsi="Century Gothic" w:cstheme="minorHAnsi"/>
          <w:b/>
          <w:bCs/>
          <w:sz w:val="24"/>
          <w:szCs w:val="24"/>
        </w:rPr>
        <w:t>STREJÓN RIVAS,</w:t>
      </w:r>
      <w:r w:rsidRPr="00340E51">
        <w:rPr>
          <w:rFonts w:ascii="Century Gothic" w:hAnsi="Century Gothic" w:cstheme="minorHAnsi"/>
          <w:b/>
          <w:bCs/>
          <w:sz w:val="24"/>
          <w:szCs w:val="24"/>
        </w:rPr>
        <w:t xml:space="preserve"> GUSTAVO DE LA ROSA HICKERSON, </w:t>
      </w:r>
      <w:r>
        <w:rPr>
          <w:rFonts w:ascii="Century Gothic" w:hAnsi="Century Gothic" w:cstheme="minorHAnsi"/>
          <w:b/>
          <w:bCs/>
          <w:sz w:val="24"/>
          <w:szCs w:val="24"/>
        </w:rPr>
        <w:t>EDIN CUAUHTÉMOC ESTRADA SOTELO</w:t>
      </w:r>
      <w:r w:rsidRPr="00340E51">
        <w:rPr>
          <w:rFonts w:ascii="Century Gothic" w:hAnsi="Century Gothic" w:cstheme="minorHAnsi"/>
          <w:b/>
          <w:bCs/>
          <w:sz w:val="24"/>
          <w:szCs w:val="24"/>
        </w:rPr>
        <w:t>, ÓSCAR DANIEL AVITIA ARELLANES, ROSANA DÍAZ REYES, MAGDALENA RENTERÍA PÉREZ, MARÍA ANTONIETA PÉREZ REYES, ADRIANA TERRAZAS P</w:t>
      </w:r>
      <w:r>
        <w:rPr>
          <w:rFonts w:ascii="Century Gothic" w:hAnsi="Century Gothic" w:cstheme="minorHAnsi"/>
          <w:b/>
          <w:bCs/>
          <w:sz w:val="24"/>
          <w:szCs w:val="24"/>
        </w:rPr>
        <w:t>ORRAS, BENJAMÍN CARRERA CHÁVEZ,</w:t>
      </w:r>
      <w:r w:rsidRPr="00340E51">
        <w:rPr>
          <w:rFonts w:ascii="Century Gothic" w:hAnsi="Century Gothic" w:cstheme="minorHAnsi"/>
          <w:b/>
          <w:bCs/>
          <w:sz w:val="24"/>
          <w:szCs w:val="24"/>
        </w:rPr>
        <w:t xml:space="preserve"> </w:t>
      </w:r>
      <w:r>
        <w:rPr>
          <w:rFonts w:ascii="Century Gothic" w:hAnsi="Century Gothic" w:cstheme="minorHAnsi"/>
          <w:b/>
          <w:bCs/>
          <w:sz w:val="24"/>
          <w:szCs w:val="24"/>
        </w:rPr>
        <w:t xml:space="preserve">y </w:t>
      </w:r>
      <w:r w:rsidRPr="00340E51">
        <w:rPr>
          <w:rFonts w:ascii="Century Gothic" w:hAnsi="Century Gothic" w:cstheme="minorHAnsi"/>
          <w:b/>
          <w:bCs/>
          <w:sz w:val="24"/>
          <w:szCs w:val="24"/>
        </w:rPr>
        <w:t>LETICIA ORTEGA MÁYNEZ</w:t>
      </w:r>
      <w:r w:rsidRPr="00340E51">
        <w:rPr>
          <w:rFonts w:ascii="Century Gothic" w:hAnsi="Century Gothic"/>
          <w:bCs/>
          <w:sz w:val="24"/>
          <w:szCs w:val="24"/>
          <w:lang w:val="es-ES_tradnl"/>
        </w:rPr>
        <w:t xml:space="preserve"> integrantes del Grupo Parlamentario de </w:t>
      </w:r>
      <w:r w:rsidRPr="00340E51">
        <w:rPr>
          <w:rFonts w:ascii="Century Gothic" w:hAnsi="Century Gothic"/>
          <w:b/>
          <w:bCs/>
          <w:sz w:val="24"/>
          <w:szCs w:val="24"/>
          <w:lang w:val="es-ES_tradnl"/>
        </w:rPr>
        <w:t>MORENA</w:t>
      </w:r>
      <w:r w:rsidR="008742F8" w:rsidRPr="0088268D">
        <w:rPr>
          <w:rFonts w:ascii="Century Gothic" w:hAnsi="Century Gothic" w:cstheme="minorHAnsi"/>
          <w:sz w:val="24"/>
          <w:szCs w:val="24"/>
        </w:rPr>
        <w:t xml:space="preserve">, con fundamento en lo dispuesto en los artículos 68 fracción Primera, de la Constitución Política del Estado de Chihuahua; 167 fracción Primera, 169 y 174, todos de la Ley Orgánica del Poder Legislativo; así como los numerales 75 y 76 del </w:t>
      </w:r>
      <w:bookmarkStart w:id="0" w:name="_GoBack"/>
      <w:bookmarkEnd w:id="0"/>
      <w:r w:rsidR="008742F8" w:rsidRPr="0088268D">
        <w:rPr>
          <w:rFonts w:ascii="Century Gothic" w:hAnsi="Century Gothic" w:cstheme="minorHAnsi"/>
          <w:sz w:val="24"/>
          <w:szCs w:val="24"/>
        </w:rPr>
        <w:t>Reglamento Interior de Prácticas Parlamentarias d</w:t>
      </w:r>
      <w:r w:rsidR="003F3A2C" w:rsidRPr="0088268D">
        <w:rPr>
          <w:rFonts w:ascii="Century Gothic" w:hAnsi="Century Gothic" w:cstheme="minorHAnsi"/>
          <w:sz w:val="24"/>
          <w:szCs w:val="24"/>
        </w:rPr>
        <w:t xml:space="preserve">el Poder Legislativo, </w:t>
      </w:r>
      <w:r w:rsidR="00416ED3">
        <w:rPr>
          <w:rFonts w:ascii="Century Gothic" w:hAnsi="Century Gothic" w:cstheme="minorHAnsi"/>
          <w:sz w:val="24"/>
          <w:szCs w:val="24"/>
        </w:rPr>
        <w:t>t</w:t>
      </w:r>
      <w:r w:rsidR="003F3A2C" w:rsidRPr="00416ED3">
        <w:rPr>
          <w:rFonts w:ascii="Century Gothic" w:hAnsi="Century Gothic" w:cstheme="minorHAnsi"/>
          <w:sz w:val="24"/>
          <w:szCs w:val="24"/>
        </w:rPr>
        <w:t>od</w:t>
      </w:r>
      <w:r w:rsidR="003F3A2C" w:rsidRPr="0088268D">
        <w:rPr>
          <w:rFonts w:ascii="Century Gothic" w:hAnsi="Century Gothic" w:cstheme="minorHAnsi"/>
          <w:sz w:val="24"/>
          <w:szCs w:val="24"/>
        </w:rPr>
        <w:t xml:space="preserve">os </w:t>
      </w:r>
      <w:r w:rsidR="008742F8" w:rsidRPr="0088268D">
        <w:rPr>
          <w:rFonts w:ascii="Century Gothic" w:hAnsi="Century Gothic" w:cstheme="minorHAnsi"/>
          <w:sz w:val="24"/>
          <w:szCs w:val="24"/>
        </w:rPr>
        <w:t>ordenamientos del Estado de Chihuahua, acud</w:t>
      </w:r>
      <w:r w:rsidR="00F15E18">
        <w:rPr>
          <w:rFonts w:ascii="Century Gothic" w:hAnsi="Century Gothic" w:cstheme="minorHAnsi"/>
          <w:sz w:val="24"/>
          <w:szCs w:val="24"/>
        </w:rPr>
        <w:t>imos</w:t>
      </w:r>
      <w:r w:rsidR="008742F8" w:rsidRPr="0088268D">
        <w:rPr>
          <w:rFonts w:ascii="Century Gothic" w:hAnsi="Century Gothic" w:cstheme="minorHAnsi"/>
          <w:sz w:val="24"/>
          <w:szCs w:val="24"/>
        </w:rPr>
        <w:t xml:space="preserve"> ante esta Honorable Asamblea Legislativa, a fin de presentar </w:t>
      </w:r>
      <w:r w:rsidR="00397FDC" w:rsidRPr="0088268D">
        <w:rPr>
          <w:rFonts w:ascii="Century Gothic" w:hAnsi="Century Gothic" w:cstheme="minorHAnsi"/>
          <w:sz w:val="24"/>
          <w:szCs w:val="24"/>
        </w:rPr>
        <w:t xml:space="preserve">el presente proyecto con </w:t>
      </w:r>
      <w:r w:rsidR="003F3A2C" w:rsidRPr="0088268D">
        <w:rPr>
          <w:rFonts w:ascii="Century Gothic" w:hAnsi="Century Gothic" w:cstheme="minorHAnsi"/>
          <w:b/>
          <w:bCs/>
          <w:sz w:val="24"/>
          <w:szCs w:val="24"/>
        </w:rPr>
        <w:t>C</w:t>
      </w:r>
      <w:r w:rsidR="00FF5077" w:rsidRPr="0088268D">
        <w:rPr>
          <w:rFonts w:ascii="Century Gothic" w:hAnsi="Century Gothic" w:cstheme="minorHAnsi"/>
          <w:b/>
          <w:bCs/>
          <w:sz w:val="24"/>
          <w:szCs w:val="24"/>
        </w:rPr>
        <w:t>arácter de Decreto, por me</w:t>
      </w:r>
      <w:r w:rsidR="003F3A2C" w:rsidRPr="0088268D">
        <w:rPr>
          <w:rFonts w:ascii="Century Gothic" w:hAnsi="Century Gothic" w:cstheme="minorHAnsi"/>
          <w:b/>
          <w:bCs/>
          <w:sz w:val="24"/>
          <w:szCs w:val="24"/>
        </w:rPr>
        <w:t>dio de</w:t>
      </w:r>
      <w:r w:rsidR="00803AB7" w:rsidRPr="0088268D">
        <w:rPr>
          <w:rFonts w:ascii="Century Gothic" w:hAnsi="Century Gothic" w:cstheme="minorHAnsi"/>
          <w:b/>
          <w:bCs/>
          <w:sz w:val="24"/>
          <w:szCs w:val="24"/>
        </w:rPr>
        <w:t xml:space="preserve"> </w:t>
      </w:r>
      <w:r w:rsidR="003F3A2C" w:rsidRPr="0088268D">
        <w:rPr>
          <w:rFonts w:ascii="Century Gothic" w:hAnsi="Century Gothic" w:cstheme="minorHAnsi"/>
          <w:b/>
          <w:bCs/>
          <w:sz w:val="24"/>
          <w:szCs w:val="24"/>
        </w:rPr>
        <w:t>l</w:t>
      </w:r>
      <w:r w:rsidR="00803AB7" w:rsidRPr="0088268D">
        <w:rPr>
          <w:rFonts w:ascii="Century Gothic" w:hAnsi="Century Gothic" w:cstheme="minorHAnsi"/>
          <w:b/>
          <w:bCs/>
          <w:sz w:val="24"/>
          <w:szCs w:val="24"/>
        </w:rPr>
        <w:t>a</w:t>
      </w:r>
      <w:r w:rsidR="00494CAF" w:rsidRPr="0088268D">
        <w:rPr>
          <w:rFonts w:ascii="Century Gothic" w:hAnsi="Century Gothic" w:cstheme="minorHAnsi"/>
          <w:b/>
          <w:bCs/>
          <w:sz w:val="24"/>
          <w:szCs w:val="24"/>
        </w:rPr>
        <w:t xml:space="preserve"> cual</w:t>
      </w:r>
      <w:r w:rsidR="006F57F0">
        <w:rPr>
          <w:rFonts w:ascii="Century Gothic" w:hAnsi="Century Gothic" w:cstheme="minorHAnsi"/>
          <w:b/>
          <w:bCs/>
          <w:sz w:val="24"/>
          <w:szCs w:val="24"/>
        </w:rPr>
        <w:t xml:space="preserve"> se adiciona el </w:t>
      </w:r>
      <w:r w:rsidR="006F57F0" w:rsidRPr="00536F31">
        <w:rPr>
          <w:rFonts w:ascii="Century Gothic" w:hAnsi="Century Gothic" w:cstheme="minorHAnsi"/>
          <w:b/>
          <w:bCs/>
          <w:sz w:val="24"/>
          <w:szCs w:val="24"/>
        </w:rPr>
        <w:t>Capítulo IV Esfuerzos para Corregir la Orientación Sexual y la Identidad de Género</w:t>
      </w:r>
      <w:r w:rsidR="006F57F0">
        <w:rPr>
          <w:rFonts w:ascii="Century Gothic" w:hAnsi="Century Gothic" w:cstheme="minorHAnsi"/>
          <w:b/>
          <w:bCs/>
          <w:sz w:val="24"/>
          <w:szCs w:val="24"/>
        </w:rPr>
        <w:t xml:space="preserve"> (ECOSIG)</w:t>
      </w:r>
      <w:r w:rsidR="006F57F0">
        <w:rPr>
          <w:rFonts w:ascii="Century Gothic" w:hAnsi="Century Gothic" w:cstheme="minorHAnsi"/>
          <w:bCs/>
          <w:sz w:val="24"/>
          <w:szCs w:val="24"/>
        </w:rPr>
        <w:t xml:space="preserve">, y los artículos </w:t>
      </w:r>
      <w:r w:rsidR="006F57F0" w:rsidRPr="00536F31">
        <w:rPr>
          <w:rFonts w:ascii="Century Gothic" w:hAnsi="Century Gothic" w:cstheme="minorHAnsi"/>
          <w:b/>
          <w:bCs/>
          <w:sz w:val="24"/>
          <w:szCs w:val="24"/>
        </w:rPr>
        <w:t>201 bis</w:t>
      </w:r>
      <w:r w:rsidR="006F57F0">
        <w:rPr>
          <w:rFonts w:ascii="Century Gothic" w:hAnsi="Century Gothic" w:cstheme="minorHAnsi"/>
          <w:bCs/>
          <w:sz w:val="24"/>
          <w:szCs w:val="24"/>
        </w:rPr>
        <w:t xml:space="preserve">, </w:t>
      </w:r>
      <w:r w:rsidR="006F57F0" w:rsidRPr="00536F31">
        <w:rPr>
          <w:rFonts w:ascii="Century Gothic" w:hAnsi="Century Gothic" w:cstheme="minorHAnsi"/>
          <w:b/>
          <w:bCs/>
          <w:sz w:val="24"/>
          <w:szCs w:val="24"/>
        </w:rPr>
        <w:t>201 ter</w:t>
      </w:r>
      <w:r w:rsidR="006F57F0">
        <w:rPr>
          <w:rFonts w:ascii="Century Gothic" w:hAnsi="Century Gothic" w:cstheme="minorHAnsi"/>
          <w:bCs/>
          <w:sz w:val="24"/>
          <w:szCs w:val="24"/>
        </w:rPr>
        <w:t xml:space="preserve"> y </w:t>
      </w:r>
      <w:r w:rsidR="006F57F0" w:rsidRPr="00536F31">
        <w:rPr>
          <w:rFonts w:ascii="Century Gothic" w:hAnsi="Century Gothic" w:cstheme="minorHAnsi"/>
          <w:b/>
          <w:bCs/>
          <w:sz w:val="24"/>
          <w:szCs w:val="24"/>
        </w:rPr>
        <w:t>201 quater</w:t>
      </w:r>
      <w:r w:rsidR="006F57F0">
        <w:rPr>
          <w:rFonts w:ascii="Century Gothic" w:hAnsi="Century Gothic" w:cstheme="minorHAnsi"/>
          <w:bCs/>
          <w:sz w:val="24"/>
          <w:szCs w:val="24"/>
        </w:rPr>
        <w:t xml:space="preserve"> a</w:t>
      </w:r>
      <w:r w:rsidR="006F57F0" w:rsidRPr="002619B0">
        <w:rPr>
          <w:rFonts w:ascii="Century Gothic" w:hAnsi="Century Gothic" w:cstheme="minorHAnsi"/>
          <w:bCs/>
          <w:sz w:val="24"/>
          <w:szCs w:val="24"/>
        </w:rPr>
        <w:t>l Código Penal del Estado de Chihuahua</w:t>
      </w:r>
      <w:r w:rsidR="006F57F0">
        <w:rPr>
          <w:rFonts w:ascii="Century Gothic" w:hAnsi="Century Gothic" w:cstheme="minorHAnsi"/>
          <w:bCs/>
          <w:sz w:val="24"/>
          <w:szCs w:val="24"/>
        </w:rPr>
        <w:t>,</w:t>
      </w:r>
      <w:r w:rsidR="00397FDC" w:rsidRPr="0088268D">
        <w:rPr>
          <w:rFonts w:ascii="Century Gothic" w:hAnsi="Century Gothic" w:cstheme="minorHAnsi"/>
          <w:b/>
          <w:bCs/>
          <w:sz w:val="24"/>
          <w:szCs w:val="24"/>
        </w:rPr>
        <w:t xml:space="preserve"> </w:t>
      </w:r>
      <w:r w:rsidR="00E2101A" w:rsidRPr="0088268D">
        <w:rPr>
          <w:rFonts w:ascii="Century Gothic" w:hAnsi="Century Gothic" w:cstheme="minorHAnsi"/>
          <w:sz w:val="24"/>
          <w:szCs w:val="24"/>
        </w:rPr>
        <w:t xml:space="preserve">con sustento en </w:t>
      </w:r>
      <w:r w:rsidR="00383EBC" w:rsidRPr="0088268D">
        <w:rPr>
          <w:rFonts w:ascii="Century Gothic" w:hAnsi="Century Gothic" w:cstheme="minorHAnsi"/>
          <w:sz w:val="24"/>
          <w:szCs w:val="24"/>
        </w:rPr>
        <w:t>la siguiente</w:t>
      </w:r>
      <w:r w:rsidR="00383EBC" w:rsidRPr="00124628">
        <w:rPr>
          <w:rFonts w:ascii="Century Gothic" w:hAnsi="Century Gothic" w:cstheme="minorHAnsi"/>
          <w:i/>
          <w:sz w:val="24"/>
          <w:szCs w:val="24"/>
        </w:rPr>
        <w:t>:</w:t>
      </w:r>
    </w:p>
    <w:p w14:paraId="189B0BA0" w14:textId="0494D1F2" w:rsidR="005442F2" w:rsidRPr="00303FAD" w:rsidRDefault="005442F2" w:rsidP="00843D7C">
      <w:pPr>
        <w:jc w:val="both"/>
        <w:rPr>
          <w:rFonts w:ascii="Century Gothic" w:hAnsi="Century Gothic" w:cstheme="minorHAnsi"/>
          <w:sz w:val="24"/>
          <w:szCs w:val="24"/>
        </w:rPr>
      </w:pPr>
    </w:p>
    <w:p w14:paraId="0F19C900" w14:textId="77777777" w:rsidR="005442F2" w:rsidRDefault="005442F2" w:rsidP="00901735">
      <w:pPr>
        <w:jc w:val="center"/>
        <w:rPr>
          <w:rFonts w:ascii="Century Gothic" w:hAnsi="Century Gothic" w:cstheme="minorHAnsi"/>
          <w:b/>
          <w:sz w:val="28"/>
          <w:szCs w:val="28"/>
        </w:rPr>
      </w:pPr>
      <w:r w:rsidRPr="00CD7505">
        <w:rPr>
          <w:rFonts w:ascii="Century Gothic" w:hAnsi="Century Gothic" w:cstheme="minorHAnsi"/>
          <w:b/>
          <w:sz w:val="28"/>
          <w:szCs w:val="28"/>
        </w:rPr>
        <w:t>EXPOSICIÓN DE MOTIVOS:</w:t>
      </w:r>
    </w:p>
    <w:p w14:paraId="59825051" w14:textId="77777777" w:rsidR="00F95C9F" w:rsidRPr="004F08C8" w:rsidRDefault="00F95C9F" w:rsidP="00843D7C">
      <w:pPr>
        <w:jc w:val="both"/>
        <w:rPr>
          <w:rFonts w:ascii="Century Gothic" w:hAnsi="Century Gothic" w:cstheme="minorHAnsi"/>
          <w:b/>
          <w:sz w:val="24"/>
          <w:szCs w:val="24"/>
        </w:rPr>
      </w:pPr>
    </w:p>
    <w:p w14:paraId="2ADA52A5" w14:textId="77777777" w:rsidR="004F08C8" w:rsidRPr="004F08C8" w:rsidRDefault="004F08C8" w:rsidP="00843D7C">
      <w:pPr>
        <w:pStyle w:val="Prrafodelista"/>
        <w:numPr>
          <w:ilvl w:val="0"/>
          <w:numId w:val="7"/>
        </w:numPr>
        <w:spacing w:beforeLines="80" w:before="192" w:after="80" w:line="360" w:lineRule="auto"/>
        <w:contextualSpacing w:val="0"/>
        <w:jc w:val="both"/>
        <w:rPr>
          <w:rFonts w:ascii="Century Gothic" w:hAnsi="Century Gothic" w:cstheme="minorHAnsi"/>
          <w:b/>
          <w:sz w:val="24"/>
          <w:szCs w:val="24"/>
        </w:rPr>
      </w:pPr>
      <w:r w:rsidRPr="004F08C8">
        <w:rPr>
          <w:rFonts w:ascii="Century Gothic" w:hAnsi="Century Gothic" w:cstheme="minorHAnsi"/>
          <w:b/>
          <w:sz w:val="24"/>
          <w:szCs w:val="24"/>
        </w:rPr>
        <w:t>La orientación sexual y la identidad de género como categorías protegidas contra la discriminación</w:t>
      </w:r>
    </w:p>
    <w:p w14:paraId="14A14A4D" w14:textId="0C4A4E1E" w:rsidR="004F08C8" w:rsidRP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La orientación sexual y la identidad de género ha</w:t>
      </w:r>
      <w:r>
        <w:rPr>
          <w:rFonts w:ascii="Century Gothic" w:hAnsi="Century Gothic" w:cstheme="minorHAnsi"/>
          <w:sz w:val="24"/>
          <w:szCs w:val="24"/>
        </w:rPr>
        <w:t>n</w:t>
      </w:r>
      <w:r w:rsidRPr="004F08C8">
        <w:rPr>
          <w:rFonts w:ascii="Century Gothic" w:hAnsi="Century Gothic" w:cstheme="minorHAnsi"/>
          <w:sz w:val="24"/>
          <w:szCs w:val="24"/>
        </w:rPr>
        <w:t xml:space="preserve"> sido reconocidas como categorías protegidas contra la discriminación, al ser componente</w:t>
      </w:r>
      <w:r>
        <w:rPr>
          <w:rFonts w:ascii="Century Gothic" w:hAnsi="Century Gothic" w:cstheme="minorHAnsi"/>
          <w:sz w:val="24"/>
          <w:szCs w:val="24"/>
        </w:rPr>
        <w:t>s</w:t>
      </w:r>
      <w:r w:rsidRPr="004F08C8">
        <w:rPr>
          <w:rFonts w:ascii="Century Gothic" w:hAnsi="Century Gothic" w:cstheme="minorHAnsi"/>
          <w:sz w:val="24"/>
          <w:szCs w:val="24"/>
        </w:rPr>
        <w:t xml:space="preserve"> del derecho al libre desarrollo de la personalidad, conforme al artículo 1º de la Constitución Política de los Estados Unidos Mexicanos, artículo 1º de la Convención Americana sobre Derechos Humanos, así como por la </w:t>
      </w:r>
      <w:r w:rsidRPr="004F08C8">
        <w:rPr>
          <w:rFonts w:ascii="Century Gothic" w:hAnsi="Century Gothic" w:cstheme="minorHAnsi"/>
          <w:sz w:val="24"/>
          <w:szCs w:val="24"/>
        </w:rPr>
        <w:lastRenderedPageBreak/>
        <w:t xml:space="preserve">jurisprudencia emitida por la Suprema Corte de Justicia de la Nación y la Corte Interamericana de Derechos Humanos. Ninguna norma, decisión o práctica –sea por parte de autoridades o por particulares- puede restringir de modo alguno los derechos de una persona, a partir de su orientación sexual o identidad de género. </w:t>
      </w:r>
    </w:p>
    <w:p w14:paraId="0AAC34F5" w14:textId="77777777" w:rsidR="004F08C8" w:rsidRPr="004F08C8" w:rsidRDefault="004F08C8" w:rsidP="00843D7C">
      <w:pPr>
        <w:spacing w:beforeLines="80" w:before="192" w:after="80" w:line="360" w:lineRule="auto"/>
        <w:jc w:val="both"/>
        <w:rPr>
          <w:rFonts w:ascii="Century Gothic" w:hAnsi="Century Gothic" w:cstheme="minorHAnsi"/>
          <w:b/>
          <w:sz w:val="24"/>
          <w:szCs w:val="24"/>
        </w:rPr>
      </w:pPr>
    </w:p>
    <w:p w14:paraId="0B784B56" w14:textId="77777777" w:rsidR="004F08C8" w:rsidRPr="004F08C8" w:rsidRDefault="004F08C8" w:rsidP="00843D7C">
      <w:pPr>
        <w:pStyle w:val="Prrafodelista"/>
        <w:numPr>
          <w:ilvl w:val="0"/>
          <w:numId w:val="7"/>
        </w:numPr>
        <w:spacing w:beforeLines="80" w:before="192" w:after="80" w:line="360" w:lineRule="auto"/>
        <w:contextualSpacing w:val="0"/>
        <w:jc w:val="both"/>
        <w:rPr>
          <w:rFonts w:ascii="Century Gothic" w:hAnsi="Century Gothic" w:cstheme="minorHAnsi"/>
          <w:b/>
          <w:sz w:val="24"/>
          <w:szCs w:val="24"/>
        </w:rPr>
      </w:pPr>
      <w:r w:rsidRPr="004F08C8">
        <w:rPr>
          <w:rFonts w:ascii="Century Gothic" w:hAnsi="Century Gothic" w:cstheme="minorHAnsi"/>
          <w:b/>
          <w:sz w:val="24"/>
          <w:szCs w:val="24"/>
        </w:rPr>
        <w:t>Los ECOSIG</w:t>
      </w:r>
    </w:p>
    <w:p w14:paraId="20EEDBCA" w14:textId="31452490" w:rsidR="004F08C8" w:rsidRP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Los Esfuerzos para Corregir la Orientación Sexual y la Identidad de Género (ECOSIG)</w:t>
      </w:r>
      <w:r w:rsidRPr="004F08C8">
        <w:rPr>
          <w:rStyle w:val="Refdenotaalpie"/>
          <w:rFonts w:ascii="Century Gothic" w:hAnsi="Century Gothic" w:cstheme="minorHAnsi"/>
          <w:sz w:val="24"/>
          <w:szCs w:val="24"/>
        </w:rPr>
        <w:footnoteReference w:id="1"/>
      </w:r>
      <w:r w:rsidRPr="004F08C8">
        <w:rPr>
          <w:rFonts w:ascii="Century Gothic" w:hAnsi="Century Gothic" w:cstheme="minorHAnsi"/>
          <w:sz w:val="24"/>
          <w:szCs w:val="24"/>
        </w:rPr>
        <w:t xml:space="preserve">, también conocidos como “terapias de conversión” o “terapias reparativas”, han ganado popularidad en los grupos conservadores, como resultado de los crecientes logros en materia de derechos de </w:t>
      </w:r>
      <w:r w:rsidR="00D22BE2">
        <w:rPr>
          <w:rFonts w:ascii="Century Gothic" w:hAnsi="Century Gothic" w:cstheme="minorHAnsi"/>
          <w:sz w:val="24"/>
          <w:szCs w:val="24"/>
        </w:rPr>
        <w:t xml:space="preserve">la diversidad </w:t>
      </w:r>
      <w:r w:rsidRPr="004F08C8">
        <w:rPr>
          <w:rFonts w:ascii="Century Gothic" w:hAnsi="Century Gothic" w:cstheme="minorHAnsi"/>
          <w:sz w:val="24"/>
          <w:szCs w:val="24"/>
        </w:rPr>
        <w:t>sexual en México desde mediados de la década pasada. Diversas organizaciones de la sociedad civil encargadas de la defensa y promoción de los derechos humanos de la población LGBTTTI en México, han denunciado un aumento de casos de personas que han sido sometidas a lo que se ha llamado ECOSIG.</w:t>
      </w:r>
    </w:p>
    <w:p w14:paraId="06729B0B" w14:textId="5248FD68" w:rsidR="004F08C8" w:rsidRPr="002E6974" w:rsidRDefault="004F08C8" w:rsidP="00843D7C">
      <w:pPr>
        <w:pStyle w:val="NormalWeb"/>
        <w:shd w:val="clear" w:color="auto" w:fill="FFFFFF"/>
        <w:spacing w:beforeLines="80" w:before="192" w:beforeAutospacing="0" w:after="80" w:afterAutospacing="0" w:line="360" w:lineRule="auto"/>
        <w:jc w:val="both"/>
        <w:rPr>
          <w:rFonts w:ascii="Century Gothic" w:hAnsi="Century Gothic" w:cstheme="minorHAnsi"/>
        </w:rPr>
      </w:pPr>
      <w:r w:rsidRPr="004F08C8">
        <w:rPr>
          <w:rFonts w:ascii="Century Gothic" w:hAnsi="Century Gothic" w:cstheme="minorHAnsi"/>
          <w:color w:val="000000"/>
        </w:rPr>
        <w:t>El término ECOSIG abarca las intervenciones que tienen por finalidad cambiar la orientación sexual</w:t>
      </w:r>
      <w:r w:rsidRPr="004F08C8">
        <w:rPr>
          <w:rStyle w:val="Refdenotaalpie"/>
          <w:rFonts w:ascii="Century Gothic" w:hAnsi="Century Gothic" w:cstheme="minorHAnsi"/>
          <w:color w:val="000000"/>
        </w:rPr>
        <w:footnoteReference w:id="2"/>
      </w:r>
      <w:r w:rsidR="006B7C05">
        <w:rPr>
          <w:rFonts w:ascii="Century Gothic" w:hAnsi="Century Gothic" w:cstheme="minorHAnsi"/>
          <w:color w:val="000000"/>
        </w:rPr>
        <w:t>,</w:t>
      </w:r>
      <w:r w:rsidRPr="004F08C8">
        <w:rPr>
          <w:rFonts w:ascii="Century Gothic" w:hAnsi="Century Gothic" w:cstheme="minorHAnsi"/>
          <w:color w:val="000000"/>
        </w:rPr>
        <w:t xml:space="preserve"> identidad de género</w:t>
      </w:r>
      <w:r w:rsidRPr="004F08C8">
        <w:rPr>
          <w:rStyle w:val="Refdenotaalpie"/>
          <w:rFonts w:ascii="Century Gothic" w:hAnsi="Century Gothic" w:cstheme="minorHAnsi"/>
          <w:color w:val="000000"/>
        </w:rPr>
        <w:footnoteReference w:id="3"/>
      </w:r>
      <w:r w:rsidR="006B7C05">
        <w:rPr>
          <w:rFonts w:ascii="Century Gothic" w:hAnsi="Century Gothic" w:cstheme="minorHAnsi"/>
          <w:color w:val="000000"/>
        </w:rPr>
        <w:t xml:space="preserve"> o la expresión de </w:t>
      </w:r>
      <w:r w:rsidR="006B7C05">
        <w:rPr>
          <w:rFonts w:ascii="Century Gothic" w:hAnsi="Century Gothic" w:cstheme="minorHAnsi"/>
          <w:color w:val="000000"/>
        </w:rPr>
        <w:lastRenderedPageBreak/>
        <w:t>género</w:t>
      </w:r>
      <w:r w:rsidR="006B7C05">
        <w:rPr>
          <w:rStyle w:val="Refdenotaalpie"/>
          <w:rFonts w:ascii="Century Gothic" w:hAnsi="Century Gothic" w:cstheme="minorHAnsi"/>
          <w:color w:val="000000"/>
        </w:rPr>
        <w:footnoteReference w:id="4"/>
      </w:r>
      <w:r w:rsidR="006B7C05">
        <w:rPr>
          <w:rFonts w:ascii="Century Gothic" w:hAnsi="Century Gothic" w:cstheme="minorHAnsi"/>
          <w:color w:val="000000"/>
        </w:rPr>
        <w:t xml:space="preserve"> de una persona</w:t>
      </w:r>
      <w:r w:rsidRPr="004F08C8">
        <w:rPr>
          <w:rFonts w:ascii="Century Gothic" w:hAnsi="Century Gothic" w:cstheme="minorHAnsi"/>
          <w:color w:val="000000"/>
        </w:rPr>
        <w:t xml:space="preserve">; sus promotores afirman que estas terapias pueden transformar a las personas gays, lesbianas o bisexuales en heterosexuales, y a las personas trans o de género diverso a cisgénero. Es </w:t>
      </w:r>
      <w:r w:rsidRPr="002E6974">
        <w:rPr>
          <w:rFonts w:ascii="Century Gothic" w:hAnsi="Century Gothic" w:cstheme="minorHAnsi"/>
          <w:color w:val="000000"/>
        </w:rPr>
        <w:t xml:space="preserve">decir, </w:t>
      </w:r>
      <w:r w:rsidRPr="002E6974">
        <w:rPr>
          <w:rFonts w:ascii="Century Gothic" w:hAnsi="Century Gothic" w:cstheme="minorHAnsi"/>
        </w:rPr>
        <w:t xml:space="preserve">se basan en la creencia de que la orientación sexual y la identidad de género de las personas deben cambiarse o reprimirse cuando no se ajustan a lo que otros actores consideran la norma deseable. </w:t>
      </w:r>
      <w:r w:rsidR="002E6974" w:rsidRPr="002E6974">
        <w:rPr>
          <w:rFonts w:ascii="Century Gothic" w:hAnsi="Century Gothic"/>
          <w:color w:val="000000"/>
          <w:shd w:val="clear" w:color="auto" w:fill="FFFFFF"/>
        </w:rPr>
        <w:t xml:space="preserve">El Experto Independiente de las Naciones Unidas sobre orientación sexual e identidad de género, Víctor Madrigal-Borloz, presentó en junio de 2020 un informe ante el Consejo de Derechos Humanos </w:t>
      </w:r>
      <w:r w:rsidR="002E6974" w:rsidRPr="002E6974">
        <w:rPr>
          <w:rFonts w:ascii="Century Gothic" w:hAnsi="Century Gothic"/>
        </w:rPr>
        <w:t>de la ONU</w:t>
      </w:r>
      <w:r w:rsidR="002E6974" w:rsidRPr="002E6974">
        <w:rPr>
          <w:rFonts w:ascii="Century Gothic" w:hAnsi="Century Gothic"/>
          <w:color w:val="000000"/>
          <w:shd w:val="clear" w:color="auto" w:fill="FFFFFF"/>
        </w:rPr>
        <w:t xml:space="preserve"> en el que definió las estrategias principales de </w:t>
      </w:r>
      <w:r w:rsidR="00427280">
        <w:rPr>
          <w:rFonts w:ascii="Century Gothic" w:hAnsi="Century Gothic"/>
          <w:color w:val="000000"/>
          <w:shd w:val="clear" w:color="auto" w:fill="FFFFFF"/>
        </w:rPr>
        <w:t xml:space="preserve">los ECOSIG: </w:t>
      </w:r>
      <w:r w:rsidR="002E6974" w:rsidRPr="002E6974">
        <w:rPr>
          <w:rFonts w:ascii="Century Gothic" w:hAnsi="Century Gothic"/>
          <w:color w:val="000000"/>
          <w:shd w:val="clear" w:color="auto" w:fill="FFFFFF"/>
        </w:rPr>
        <w:t>la intervención psicoterapéutica basada en la creencia de que la diversidad sexual o de género tiene su origen en una crianza o experiencia anormal; las prácticas médicas basadas en la teoría que considera que la diversidad sexual o de género es una disfunción biológica inherente; y las intervenciones basadas en la fe, que actúan bajo la premisa de que hay algo intrínsecamente maligno en la orientación o identidad de género diversas</w:t>
      </w:r>
      <w:r w:rsidR="00901735">
        <w:rPr>
          <w:rStyle w:val="Refdenotaalpie"/>
          <w:rFonts w:ascii="Century Gothic" w:hAnsi="Century Gothic"/>
          <w:color w:val="000000"/>
          <w:shd w:val="clear" w:color="auto" w:fill="FFFFFF"/>
        </w:rPr>
        <w:footnoteReference w:id="5"/>
      </w:r>
      <w:r w:rsidR="002E6974" w:rsidRPr="002E6974">
        <w:rPr>
          <w:rFonts w:ascii="Century Gothic" w:hAnsi="Century Gothic"/>
          <w:color w:val="000000"/>
          <w:shd w:val="clear" w:color="auto" w:fill="FFFFFF"/>
        </w:rPr>
        <w:t>.</w:t>
      </w:r>
    </w:p>
    <w:p w14:paraId="75B2B37C" w14:textId="744F3F75" w:rsidR="004F08C8" w:rsidRPr="004F08C8" w:rsidRDefault="004F08C8" w:rsidP="00843D7C">
      <w:pPr>
        <w:pStyle w:val="NormalWeb"/>
        <w:shd w:val="clear" w:color="auto" w:fill="FFFFFF"/>
        <w:spacing w:beforeLines="80" w:before="192" w:beforeAutospacing="0" w:after="80" w:afterAutospacing="0" w:line="360" w:lineRule="auto"/>
        <w:jc w:val="both"/>
        <w:rPr>
          <w:rFonts w:ascii="Century Gothic" w:hAnsi="Century Gothic" w:cstheme="minorHAnsi"/>
        </w:rPr>
      </w:pPr>
      <w:r w:rsidRPr="004F08C8">
        <w:rPr>
          <w:rFonts w:ascii="Century Gothic" w:hAnsi="Century Gothic" w:cstheme="minorHAnsi"/>
        </w:rPr>
        <w:t>Los intentos de patologizar las personas lesbianas, gay</w:t>
      </w:r>
      <w:r>
        <w:rPr>
          <w:rFonts w:ascii="Century Gothic" w:hAnsi="Century Gothic" w:cstheme="minorHAnsi"/>
        </w:rPr>
        <w:t>s</w:t>
      </w:r>
      <w:r w:rsidRPr="004F08C8">
        <w:rPr>
          <w:rFonts w:ascii="Century Gothic" w:hAnsi="Century Gothic" w:cstheme="minorHAnsi"/>
        </w:rPr>
        <w:t xml:space="preserve">, bisexuales, transgénero o de género diverso, tienen consecuencias profundas en su integridad y bienestar físicos y psicológicos. Las prácticas destinadas a lograr la conversión son inherentemente humillantes, denigrantes y discriminatorias. </w:t>
      </w:r>
      <w:r w:rsidR="00E207AA">
        <w:rPr>
          <w:rFonts w:ascii="Century Gothic" w:hAnsi="Century Gothic" w:cstheme="minorHAnsi"/>
        </w:rPr>
        <w:lastRenderedPageBreak/>
        <w:t xml:space="preserve">Los </w:t>
      </w:r>
      <w:r w:rsidRPr="004F08C8">
        <w:rPr>
          <w:rFonts w:ascii="Century Gothic" w:hAnsi="Century Gothic" w:cstheme="minorHAnsi"/>
        </w:rPr>
        <w:t xml:space="preserve">efectos que tienen la sensación de impotencia y la humillación extrema generan profundos sentimientos de vergüenza, culpabilidad, autoaversión e inutilidad, que pueden menoscabar el autoconcepto y provocar cambios </w:t>
      </w:r>
      <w:r w:rsidR="008C1BE0">
        <w:rPr>
          <w:rFonts w:ascii="Century Gothic" w:hAnsi="Century Gothic" w:cstheme="minorHAnsi"/>
        </w:rPr>
        <w:t xml:space="preserve">negativos </w:t>
      </w:r>
      <w:r w:rsidRPr="004F08C8">
        <w:rPr>
          <w:rFonts w:ascii="Century Gothic" w:hAnsi="Century Gothic" w:cstheme="minorHAnsi"/>
        </w:rPr>
        <w:t>permanentes en la personalidad.</w:t>
      </w:r>
    </w:p>
    <w:p w14:paraId="639C889E" w14:textId="4BC605AD" w:rsidR="004F08C8" w:rsidRPr="004F08C8" w:rsidRDefault="004F08C8" w:rsidP="00843D7C">
      <w:pPr>
        <w:spacing w:beforeLines="80" w:before="192" w:after="80" w:line="360" w:lineRule="auto"/>
        <w:jc w:val="both"/>
        <w:rPr>
          <w:rFonts w:ascii="Century Gothic" w:hAnsi="Century Gothic" w:cstheme="minorHAnsi"/>
        </w:rPr>
      </w:pPr>
      <w:r w:rsidRPr="004F08C8">
        <w:rPr>
          <w:rFonts w:ascii="Century Gothic" w:hAnsi="Century Gothic" w:cstheme="minorHAnsi"/>
          <w:sz w:val="24"/>
          <w:szCs w:val="24"/>
        </w:rPr>
        <w:t xml:space="preserve">El daño ocasionado por los ECOSIG comienza con la noción de que una persona está enferma o es anormal a causa de su orientación sexual o identidad de género y, por lo tanto, debe ser tratada, lo que da lugar a un proceso de victimización. La pérdida considerable de autoestima, la ansiedad, el síndrome depresivo, el aislamiento social, las dificultades para establecer relaciones íntimas, el sentimiento de culpabilidad, las ideas suicidas y los intentos de suicidio, los síntomas de trastorno por estrés postraumático y, con frecuencia, el dolor y sufrimiento físicos son algunos de los profundos efectos que estas prácticas tienen en las personas. </w:t>
      </w:r>
      <w:r w:rsidR="00E207AA">
        <w:rPr>
          <w:rFonts w:ascii="Century Gothic" w:hAnsi="Century Gothic" w:cstheme="minorHAnsi"/>
          <w:sz w:val="24"/>
          <w:szCs w:val="24"/>
        </w:rPr>
        <w:t>Y la</w:t>
      </w:r>
      <w:r w:rsidRPr="004F08C8">
        <w:rPr>
          <w:rFonts w:ascii="Century Gothic" w:hAnsi="Century Gothic" w:cstheme="minorHAnsi"/>
          <w:sz w:val="24"/>
          <w:szCs w:val="24"/>
        </w:rPr>
        <w:t xml:space="preserve"> presión familiar y social inciden directamente en la decisión de acudir a un ECOSIG, por lo que ante un contexto hostil y que incluso constituye una amenaza para la vida, no se puede considerar libre y autónoma.</w:t>
      </w:r>
      <w:r w:rsidRPr="004F08C8">
        <w:rPr>
          <w:rFonts w:ascii="Century Gothic" w:hAnsi="Century Gothic" w:cstheme="minorHAnsi"/>
        </w:rPr>
        <w:t xml:space="preserve"> </w:t>
      </w:r>
    </w:p>
    <w:p w14:paraId="22D8FBA5" w14:textId="25D42CD7" w:rsid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E</w:t>
      </w:r>
      <w:r w:rsidR="00E207AA">
        <w:rPr>
          <w:rFonts w:ascii="Century Gothic" w:hAnsi="Century Gothic" w:cstheme="minorHAnsi"/>
          <w:sz w:val="24"/>
          <w:szCs w:val="24"/>
        </w:rPr>
        <w:t xml:space="preserve">n este sentido, </w:t>
      </w:r>
      <w:r w:rsidRPr="004F08C8">
        <w:rPr>
          <w:rFonts w:ascii="Century Gothic" w:hAnsi="Century Gothic" w:cstheme="minorHAnsi"/>
          <w:sz w:val="24"/>
          <w:szCs w:val="24"/>
        </w:rPr>
        <w:t xml:space="preserve">la </w:t>
      </w:r>
      <w:r w:rsidR="00E207AA">
        <w:rPr>
          <w:rFonts w:ascii="Century Gothic" w:hAnsi="Century Gothic" w:cstheme="minorHAnsi"/>
          <w:sz w:val="24"/>
          <w:szCs w:val="24"/>
        </w:rPr>
        <w:t>población</w:t>
      </w:r>
      <w:r w:rsidRPr="004F08C8">
        <w:rPr>
          <w:rFonts w:ascii="Century Gothic" w:hAnsi="Century Gothic" w:cstheme="minorHAnsi"/>
          <w:sz w:val="24"/>
          <w:szCs w:val="24"/>
        </w:rPr>
        <w:t xml:space="preserve"> LGBTTTI no solo llegan a ser rechazadas, sino que inclusive, son obligadas a soportar diversos actos tendientes a "reorientar" o "reasignar" su </w:t>
      </w:r>
      <w:r w:rsidR="00B55036">
        <w:rPr>
          <w:rFonts w:ascii="Century Gothic" w:hAnsi="Century Gothic" w:cstheme="minorHAnsi"/>
          <w:sz w:val="24"/>
          <w:szCs w:val="24"/>
        </w:rPr>
        <w:t xml:space="preserve">orientación </w:t>
      </w:r>
      <w:r w:rsidRPr="004F08C8">
        <w:rPr>
          <w:rFonts w:ascii="Century Gothic" w:hAnsi="Century Gothic" w:cstheme="minorHAnsi"/>
          <w:sz w:val="24"/>
          <w:szCs w:val="24"/>
        </w:rPr>
        <w:t>sexual o su identidad de género, las cuales van desde sesiones de pláticas, sermones, "terapias" y "tratamientos" que no tienen sustento científico alguno y que pueden ir en aumento hasta aquellos actos que pueden implicar desde la privación ilegal de la libertad, hasta los golpes,</w:t>
      </w:r>
      <w:r w:rsidR="009E1800">
        <w:rPr>
          <w:rFonts w:ascii="Century Gothic" w:hAnsi="Century Gothic" w:cstheme="minorHAnsi"/>
          <w:sz w:val="24"/>
          <w:szCs w:val="24"/>
        </w:rPr>
        <w:t xml:space="preserve"> </w:t>
      </w:r>
      <w:r w:rsidR="00B55036">
        <w:rPr>
          <w:rFonts w:ascii="Century Gothic" w:hAnsi="Century Gothic" w:cstheme="minorHAnsi"/>
          <w:sz w:val="24"/>
          <w:szCs w:val="24"/>
        </w:rPr>
        <w:t xml:space="preserve">violencia sexual, </w:t>
      </w:r>
      <w:r w:rsidRPr="004F08C8">
        <w:rPr>
          <w:rFonts w:ascii="Century Gothic" w:hAnsi="Century Gothic" w:cstheme="minorHAnsi"/>
          <w:sz w:val="24"/>
          <w:szCs w:val="24"/>
        </w:rPr>
        <w:t>encadenamientos, medicación, etcétera, los cuales son reprobables y laceran la dignidad de las personas y por ende, son violatorias de sus derechos humanos.</w:t>
      </w:r>
    </w:p>
    <w:p w14:paraId="57C9094C" w14:textId="77777777" w:rsidR="00CA4E64" w:rsidRDefault="00CA4E64" w:rsidP="00843D7C">
      <w:pPr>
        <w:spacing w:beforeLines="80" w:before="192" w:after="80" w:line="360" w:lineRule="auto"/>
        <w:jc w:val="both"/>
        <w:rPr>
          <w:rFonts w:ascii="Century Gothic" w:hAnsi="Century Gothic" w:cstheme="minorHAnsi"/>
          <w:sz w:val="24"/>
          <w:szCs w:val="24"/>
        </w:rPr>
      </w:pPr>
    </w:p>
    <w:p w14:paraId="793A9D9D" w14:textId="176E3441" w:rsidR="004F08C8" w:rsidRPr="004F08C8" w:rsidRDefault="004F08C8" w:rsidP="00843D7C">
      <w:pPr>
        <w:pStyle w:val="Prrafodelista"/>
        <w:numPr>
          <w:ilvl w:val="0"/>
          <w:numId w:val="7"/>
        </w:numPr>
        <w:spacing w:beforeLines="80" w:before="192" w:after="80" w:line="360" w:lineRule="auto"/>
        <w:contextualSpacing w:val="0"/>
        <w:jc w:val="both"/>
        <w:rPr>
          <w:rFonts w:ascii="Century Gothic" w:hAnsi="Century Gothic" w:cstheme="minorHAnsi"/>
          <w:b/>
          <w:sz w:val="24"/>
          <w:szCs w:val="24"/>
        </w:rPr>
      </w:pPr>
      <w:r w:rsidRPr="004F08C8">
        <w:rPr>
          <w:rFonts w:ascii="Century Gothic" w:hAnsi="Century Gothic" w:cstheme="minorHAnsi"/>
          <w:b/>
          <w:sz w:val="24"/>
          <w:szCs w:val="24"/>
        </w:rPr>
        <w:t xml:space="preserve">Posicionamiento de </w:t>
      </w:r>
      <w:r w:rsidR="00B83766">
        <w:rPr>
          <w:rFonts w:ascii="Century Gothic" w:hAnsi="Century Gothic" w:cstheme="minorHAnsi"/>
          <w:b/>
          <w:sz w:val="24"/>
          <w:szCs w:val="24"/>
        </w:rPr>
        <w:t>consejos</w:t>
      </w:r>
      <w:r w:rsidRPr="004F08C8">
        <w:rPr>
          <w:rFonts w:ascii="Century Gothic" w:hAnsi="Century Gothic" w:cstheme="minorHAnsi"/>
          <w:b/>
          <w:sz w:val="24"/>
          <w:szCs w:val="24"/>
        </w:rPr>
        <w:t xml:space="preserve"> y organizaciones</w:t>
      </w:r>
    </w:p>
    <w:p w14:paraId="3D6617A9" w14:textId="6E47A2B1" w:rsidR="00093EFB" w:rsidRDefault="00093EFB" w:rsidP="00843D7C">
      <w:pPr>
        <w:spacing w:after="80" w:line="360" w:lineRule="auto"/>
        <w:jc w:val="both"/>
        <w:rPr>
          <w:rFonts w:ascii="Century Gothic" w:hAnsi="Century Gothic" w:cstheme="minorHAnsi"/>
          <w:sz w:val="24"/>
          <w:szCs w:val="24"/>
        </w:rPr>
      </w:pPr>
      <w:r>
        <w:rPr>
          <w:rFonts w:ascii="Century Gothic" w:hAnsi="Century Gothic" w:cstheme="minorHAnsi"/>
          <w:sz w:val="24"/>
          <w:szCs w:val="24"/>
        </w:rPr>
        <w:t xml:space="preserve">En la resolución </w:t>
      </w:r>
      <w:r w:rsidR="00700B10">
        <w:rPr>
          <w:rFonts w:ascii="Century Gothic" w:hAnsi="Century Gothic" w:cstheme="minorHAnsi"/>
          <w:sz w:val="24"/>
          <w:szCs w:val="24"/>
        </w:rPr>
        <w:t xml:space="preserve">de la </w:t>
      </w:r>
      <w:r w:rsidRPr="00093EFB">
        <w:rPr>
          <w:rFonts w:ascii="Century Gothic" w:hAnsi="Century Gothic" w:cstheme="minorHAnsi"/>
          <w:sz w:val="24"/>
          <w:szCs w:val="24"/>
        </w:rPr>
        <w:t>Asamblea General de la Organización de los Estados Americanos de 2011</w:t>
      </w:r>
      <w:r>
        <w:rPr>
          <w:rFonts w:ascii="Century Gothic" w:hAnsi="Century Gothic" w:cstheme="minorHAnsi"/>
          <w:sz w:val="24"/>
          <w:szCs w:val="24"/>
        </w:rPr>
        <w:t xml:space="preserve"> </w:t>
      </w:r>
      <w:r w:rsidRPr="00093EFB">
        <w:rPr>
          <w:rFonts w:ascii="Century Gothic" w:hAnsi="Century Gothic" w:cstheme="minorHAnsi"/>
          <w:sz w:val="24"/>
          <w:szCs w:val="24"/>
        </w:rPr>
        <w:t>sobre derechos</w:t>
      </w:r>
      <w:r>
        <w:rPr>
          <w:rFonts w:ascii="Century Gothic" w:hAnsi="Century Gothic" w:cstheme="minorHAnsi"/>
          <w:sz w:val="24"/>
          <w:szCs w:val="24"/>
        </w:rPr>
        <w:t xml:space="preserve"> </w:t>
      </w:r>
      <w:r w:rsidRPr="00093EFB">
        <w:rPr>
          <w:rFonts w:ascii="Century Gothic" w:hAnsi="Century Gothic" w:cstheme="minorHAnsi"/>
          <w:sz w:val="24"/>
          <w:szCs w:val="24"/>
        </w:rPr>
        <w:t>humanos, orientación sexual e identidad de género</w:t>
      </w:r>
      <w:r>
        <w:rPr>
          <w:rFonts w:ascii="Century Gothic" w:hAnsi="Century Gothic" w:cstheme="minorHAnsi"/>
          <w:sz w:val="24"/>
          <w:szCs w:val="24"/>
        </w:rPr>
        <w:t xml:space="preserve">, </w:t>
      </w:r>
      <w:r w:rsidRPr="00093EFB">
        <w:rPr>
          <w:rFonts w:ascii="Century Gothic" w:hAnsi="Century Gothic" w:cstheme="minorHAnsi"/>
          <w:sz w:val="24"/>
          <w:szCs w:val="24"/>
        </w:rPr>
        <w:t>se condena la discriminación contra las personas por</w:t>
      </w:r>
      <w:r>
        <w:rPr>
          <w:rFonts w:ascii="Century Gothic" w:hAnsi="Century Gothic" w:cstheme="minorHAnsi"/>
          <w:sz w:val="24"/>
          <w:szCs w:val="24"/>
        </w:rPr>
        <w:t xml:space="preserve"> </w:t>
      </w:r>
      <w:r w:rsidRPr="00093EFB">
        <w:rPr>
          <w:rFonts w:ascii="Century Gothic" w:hAnsi="Century Gothic" w:cstheme="minorHAnsi"/>
          <w:sz w:val="24"/>
          <w:szCs w:val="24"/>
        </w:rPr>
        <w:t>motivo de su orientación sexual e identidad de género, así como los actos</w:t>
      </w:r>
      <w:r>
        <w:rPr>
          <w:rFonts w:ascii="Century Gothic" w:hAnsi="Century Gothic" w:cstheme="minorHAnsi"/>
          <w:sz w:val="24"/>
          <w:szCs w:val="24"/>
        </w:rPr>
        <w:t xml:space="preserve"> </w:t>
      </w:r>
      <w:r w:rsidRPr="00093EFB">
        <w:rPr>
          <w:rFonts w:ascii="Century Gothic" w:hAnsi="Century Gothic" w:cstheme="minorHAnsi"/>
          <w:sz w:val="24"/>
          <w:szCs w:val="24"/>
        </w:rPr>
        <w:t>de violencia y violación de sus derechos</w:t>
      </w:r>
      <w:r>
        <w:rPr>
          <w:rFonts w:ascii="Century Gothic" w:hAnsi="Century Gothic" w:cstheme="minorHAnsi"/>
          <w:sz w:val="24"/>
          <w:szCs w:val="24"/>
        </w:rPr>
        <w:t xml:space="preserve"> </w:t>
      </w:r>
      <w:r w:rsidRPr="00093EFB">
        <w:rPr>
          <w:rFonts w:ascii="Century Gothic" w:hAnsi="Century Gothic" w:cstheme="minorHAnsi"/>
          <w:sz w:val="24"/>
          <w:szCs w:val="24"/>
        </w:rPr>
        <w:t>humanos por la misma causa</w:t>
      </w:r>
      <w:r w:rsidR="00901735">
        <w:rPr>
          <w:rStyle w:val="Refdenotaalpie"/>
          <w:rFonts w:ascii="Century Gothic" w:hAnsi="Century Gothic" w:cstheme="minorHAnsi"/>
          <w:sz w:val="24"/>
          <w:szCs w:val="24"/>
        </w:rPr>
        <w:footnoteReference w:id="6"/>
      </w:r>
      <w:r w:rsidRPr="00093EFB">
        <w:rPr>
          <w:rFonts w:ascii="Century Gothic" w:hAnsi="Century Gothic" w:cstheme="minorHAnsi"/>
          <w:sz w:val="24"/>
          <w:szCs w:val="24"/>
        </w:rPr>
        <w:t>. Para</w:t>
      </w:r>
      <w:r>
        <w:rPr>
          <w:rFonts w:ascii="Century Gothic" w:hAnsi="Century Gothic" w:cstheme="minorHAnsi"/>
          <w:sz w:val="24"/>
          <w:szCs w:val="24"/>
        </w:rPr>
        <w:t xml:space="preserve"> </w:t>
      </w:r>
      <w:r w:rsidRPr="00093EFB">
        <w:rPr>
          <w:rFonts w:ascii="Century Gothic" w:hAnsi="Century Gothic" w:cstheme="minorHAnsi"/>
          <w:sz w:val="24"/>
          <w:szCs w:val="24"/>
        </w:rPr>
        <w:t>ambos casos, alienta a los Estados Miembro de la Organización a adoptar</w:t>
      </w:r>
      <w:r>
        <w:rPr>
          <w:rFonts w:ascii="Century Gothic" w:hAnsi="Century Gothic" w:cstheme="minorHAnsi"/>
          <w:sz w:val="24"/>
          <w:szCs w:val="24"/>
        </w:rPr>
        <w:t xml:space="preserve"> </w:t>
      </w:r>
      <w:r w:rsidRPr="00093EFB">
        <w:rPr>
          <w:rFonts w:ascii="Century Gothic" w:hAnsi="Century Gothic" w:cstheme="minorHAnsi"/>
          <w:sz w:val="24"/>
          <w:szCs w:val="24"/>
        </w:rPr>
        <w:t>políticas públicas contra la discriminación y asegurar la protección de las</w:t>
      </w:r>
      <w:r>
        <w:rPr>
          <w:rFonts w:ascii="Century Gothic" w:hAnsi="Century Gothic" w:cstheme="minorHAnsi"/>
          <w:sz w:val="24"/>
          <w:szCs w:val="24"/>
        </w:rPr>
        <w:t xml:space="preserve"> </w:t>
      </w:r>
      <w:r w:rsidRPr="00093EFB">
        <w:rPr>
          <w:rFonts w:ascii="Century Gothic" w:hAnsi="Century Gothic" w:cstheme="minorHAnsi"/>
          <w:sz w:val="24"/>
          <w:szCs w:val="24"/>
        </w:rPr>
        <w:t>víctimas de este tipo de violencia.</w:t>
      </w:r>
    </w:p>
    <w:p w14:paraId="58BD8479" w14:textId="74F47705" w:rsidR="004F08C8" w:rsidRPr="004F08C8" w:rsidRDefault="004F08C8" w:rsidP="00843D7C">
      <w:pPr>
        <w:spacing w:after="80" w:line="360" w:lineRule="auto"/>
        <w:jc w:val="both"/>
        <w:rPr>
          <w:rFonts w:ascii="Century Gothic" w:hAnsi="Century Gothic" w:cstheme="minorHAnsi"/>
          <w:sz w:val="24"/>
          <w:szCs w:val="24"/>
        </w:rPr>
      </w:pPr>
      <w:r w:rsidRPr="004F08C8">
        <w:rPr>
          <w:rFonts w:ascii="Century Gothic" w:hAnsi="Century Gothic" w:cstheme="minorHAnsi"/>
          <w:sz w:val="24"/>
          <w:szCs w:val="24"/>
        </w:rPr>
        <w:t>Los Principios de Yogyakarta sobre la Aplicación de la Legislación Internacional de Derechos Humanos en relación con la Orientación Sexual y la Identidad de Género, son enfáticos en establecer la prohibición expresa de someter a persona alguna a cualquier forma de tratamiento, procedimiento o exámenes médicos o psicológicos, o a permanecer confinada en un establecimiento médico, por motivo de su orientación sexual o de su identidad de género</w:t>
      </w:r>
      <w:r w:rsidR="00901735">
        <w:rPr>
          <w:rStyle w:val="Refdenotaalpie"/>
          <w:rFonts w:ascii="Century Gothic" w:hAnsi="Century Gothic" w:cstheme="minorHAnsi"/>
          <w:sz w:val="24"/>
          <w:szCs w:val="24"/>
        </w:rPr>
        <w:footnoteReference w:id="7"/>
      </w:r>
      <w:r w:rsidRPr="004F08C8">
        <w:rPr>
          <w:rFonts w:ascii="Century Gothic" w:hAnsi="Century Gothic" w:cstheme="minorHAnsi"/>
          <w:sz w:val="24"/>
          <w:szCs w:val="24"/>
        </w:rPr>
        <w:t>.</w:t>
      </w:r>
    </w:p>
    <w:p w14:paraId="798FFA48" w14:textId="0C979B9D" w:rsidR="004F08C8" w:rsidRP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Cabe resaltar, como lo ha señalado la Comisión Interamericana de Derechos Humanos,</w:t>
      </w:r>
      <w:r w:rsidR="00472738">
        <w:rPr>
          <w:rFonts w:ascii="Century Gothic" w:hAnsi="Century Gothic" w:cstheme="minorHAnsi"/>
          <w:sz w:val="24"/>
          <w:szCs w:val="24"/>
        </w:rPr>
        <w:t xml:space="preserve"> que</w:t>
      </w:r>
      <w:r w:rsidRPr="004F08C8">
        <w:rPr>
          <w:rFonts w:ascii="Century Gothic" w:hAnsi="Century Gothic" w:cstheme="minorHAnsi"/>
          <w:sz w:val="24"/>
          <w:szCs w:val="24"/>
        </w:rPr>
        <w:t xml:space="preserve"> las personas pueden estar en un proceso de desarrollo constante y fluctuante, construyéndose a sí mismas en relación con una determinada orientación sexual, identidad y expresión de género</w:t>
      </w:r>
      <w:r w:rsidR="00472738">
        <w:rPr>
          <w:rFonts w:ascii="Century Gothic" w:hAnsi="Century Gothic" w:cstheme="minorHAnsi"/>
          <w:sz w:val="24"/>
          <w:szCs w:val="24"/>
        </w:rPr>
        <w:t xml:space="preserve">; no </w:t>
      </w:r>
      <w:r w:rsidRPr="004F08C8">
        <w:rPr>
          <w:rFonts w:ascii="Century Gothic" w:hAnsi="Century Gothic" w:cstheme="minorHAnsi"/>
          <w:sz w:val="24"/>
          <w:szCs w:val="24"/>
        </w:rPr>
        <w:t>obstante, esta posible fluctuación no supone que puedan ser modificadas por terceras personas o por el Estado, so pena de configurarse una vulneración de su dignidad</w:t>
      </w:r>
      <w:r w:rsidR="00901735">
        <w:rPr>
          <w:rStyle w:val="Refdenotaalpie"/>
          <w:rFonts w:ascii="Century Gothic" w:hAnsi="Century Gothic" w:cstheme="minorHAnsi"/>
          <w:sz w:val="24"/>
          <w:szCs w:val="24"/>
        </w:rPr>
        <w:footnoteReference w:id="8"/>
      </w:r>
      <w:r w:rsidRPr="004F08C8">
        <w:rPr>
          <w:rFonts w:ascii="Century Gothic" w:hAnsi="Century Gothic" w:cstheme="minorHAnsi"/>
          <w:sz w:val="24"/>
          <w:szCs w:val="24"/>
        </w:rPr>
        <w:t>.</w:t>
      </w:r>
    </w:p>
    <w:p w14:paraId="2381A4AD" w14:textId="7D8E9695" w:rsidR="004F08C8" w:rsidRPr="004F08C8" w:rsidRDefault="004F08C8" w:rsidP="00843D7C">
      <w:pPr>
        <w:spacing w:line="360" w:lineRule="auto"/>
        <w:jc w:val="both"/>
        <w:rPr>
          <w:rFonts w:ascii="Century Gothic" w:hAnsi="Century Gothic" w:cstheme="minorHAnsi"/>
          <w:sz w:val="24"/>
          <w:szCs w:val="24"/>
        </w:rPr>
      </w:pPr>
      <w:r w:rsidRPr="004F08C8">
        <w:rPr>
          <w:rFonts w:ascii="Century Gothic" w:hAnsi="Century Gothic" w:cstheme="minorHAnsi"/>
          <w:sz w:val="24"/>
          <w:szCs w:val="24"/>
        </w:rPr>
        <w:t>El Comité de Derechos Económicos, Sociales y Culturales de la Organización de las Naciones Unidas (ONU) ha señalado que</w:t>
      </w:r>
      <w:r w:rsidR="00427280">
        <w:rPr>
          <w:rFonts w:ascii="Century Gothic" w:hAnsi="Century Gothic" w:cstheme="minorHAnsi"/>
          <w:sz w:val="24"/>
          <w:szCs w:val="24"/>
        </w:rPr>
        <w:t xml:space="preserve"> </w:t>
      </w:r>
      <w:r w:rsidRPr="004F08C8">
        <w:rPr>
          <w:rFonts w:ascii="Century Gothic" w:hAnsi="Century Gothic" w:cstheme="minorHAnsi"/>
          <w:sz w:val="24"/>
          <w:szCs w:val="24"/>
        </w:rPr>
        <w:t>la no discriminación, en el contexto del derecho a la salud sexual y reproductiva, abarca también el derecho de todas las personas, inclui</w:t>
      </w:r>
      <w:r w:rsidR="00EA432F">
        <w:rPr>
          <w:rFonts w:ascii="Century Gothic" w:hAnsi="Century Gothic" w:cstheme="minorHAnsi"/>
          <w:sz w:val="24"/>
          <w:szCs w:val="24"/>
        </w:rPr>
        <w:t>das las personas lesbianas, gays</w:t>
      </w:r>
      <w:r w:rsidRPr="004F08C8">
        <w:rPr>
          <w:rFonts w:ascii="Century Gothic" w:hAnsi="Century Gothic" w:cstheme="minorHAnsi"/>
          <w:sz w:val="24"/>
          <w:szCs w:val="24"/>
        </w:rPr>
        <w:t>, bisexuales, transgénero e intersexuales, a ser plenamente respetadas por su orientación sexual, identidad de género o condición de intersexualida</w:t>
      </w:r>
      <w:r w:rsidR="00427280">
        <w:rPr>
          <w:rFonts w:ascii="Century Gothic" w:hAnsi="Century Gothic" w:cstheme="minorHAnsi"/>
          <w:sz w:val="24"/>
          <w:szCs w:val="24"/>
        </w:rPr>
        <w:t>d</w:t>
      </w:r>
      <w:r w:rsidR="00232ADC">
        <w:rPr>
          <w:rFonts w:ascii="Century Gothic" w:hAnsi="Century Gothic" w:cstheme="minorHAnsi"/>
          <w:sz w:val="24"/>
          <w:szCs w:val="24"/>
        </w:rPr>
        <w:t xml:space="preserve">. Asimismo, </w:t>
      </w:r>
      <w:r w:rsidR="00EA432F">
        <w:rPr>
          <w:rFonts w:ascii="Century Gothic" w:hAnsi="Century Gothic" w:cstheme="minorHAnsi"/>
          <w:sz w:val="24"/>
          <w:szCs w:val="24"/>
        </w:rPr>
        <w:t>h</w:t>
      </w:r>
      <w:r w:rsidR="00232ADC">
        <w:rPr>
          <w:rFonts w:ascii="Century Gothic" w:hAnsi="Century Gothic" w:cstheme="minorHAnsi"/>
          <w:sz w:val="24"/>
          <w:szCs w:val="24"/>
        </w:rPr>
        <w:t>a señalado que</w:t>
      </w:r>
      <w:r w:rsidR="00427280">
        <w:rPr>
          <w:rFonts w:ascii="Century Gothic" w:hAnsi="Century Gothic" w:cstheme="minorHAnsi"/>
          <w:sz w:val="24"/>
          <w:szCs w:val="24"/>
        </w:rPr>
        <w:t xml:space="preserve"> </w:t>
      </w:r>
      <w:r w:rsidRPr="004F08C8">
        <w:rPr>
          <w:rFonts w:ascii="Century Gothic" w:hAnsi="Century Gothic" w:cstheme="minorHAnsi"/>
          <w:sz w:val="24"/>
          <w:szCs w:val="24"/>
        </w:rPr>
        <w:t xml:space="preserve">las normas que disponen </w:t>
      </w:r>
      <w:r w:rsidR="00EA432F">
        <w:rPr>
          <w:rFonts w:ascii="Century Gothic" w:hAnsi="Century Gothic" w:cstheme="minorHAnsi"/>
          <w:sz w:val="24"/>
          <w:szCs w:val="24"/>
        </w:rPr>
        <w:t>que las personas lesbianas, gays</w:t>
      </w:r>
      <w:r w:rsidRPr="004F08C8">
        <w:rPr>
          <w:rFonts w:ascii="Century Gothic" w:hAnsi="Century Gothic" w:cstheme="minorHAnsi"/>
          <w:sz w:val="24"/>
          <w:szCs w:val="24"/>
        </w:rPr>
        <w:t>, bisexuales, transgénero e intersexuales sean tratadas como enfermas mentales o psiquiátricas, o sean ‘curadas’ mediante un ‘tratamiento’, constituyen una clara violación de su derecho a la salud sexual y reproductiva</w:t>
      </w:r>
      <w:r w:rsidR="00C8129A">
        <w:rPr>
          <w:rStyle w:val="Refdenotaalpie"/>
          <w:rFonts w:ascii="Century Gothic" w:hAnsi="Century Gothic" w:cstheme="minorHAnsi"/>
          <w:sz w:val="24"/>
          <w:szCs w:val="24"/>
        </w:rPr>
        <w:footnoteReference w:id="9"/>
      </w:r>
      <w:r w:rsidRPr="004F08C8">
        <w:rPr>
          <w:rFonts w:ascii="Century Gothic" w:hAnsi="Century Gothic" w:cstheme="minorHAnsi"/>
          <w:sz w:val="24"/>
          <w:szCs w:val="24"/>
        </w:rPr>
        <w:t>.</w:t>
      </w:r>
    </w:p>
    <w:p w14:paraId="56CD4BC8" w14:textId="2544118C" w:rsidR="00B4759E" w:rsidRDefault="004F08C8" w:rsidP="00843D7C">
      <w:pPr>
        <w:spacing w:beforeLines="80" w:before="192" w:after="80" w:line="360" w:lineRule="auto"/>
        <w:jc w:val="both"/>
        <w:rPr>
          <w:rFonts w:ascii="Century Gothic" w:hAnsi="Century Gothic" w:cstheme="minorHAnsi"/>
          <w:color w:val="000000"/>
          <w:sz w:val="24"/>
          <w:szCs w:val="24"/>
          <w:shd w:val="clear" w:color="auto" w:fill="FFFFFF"/>
        </w:rPr>
      </w:pPr>
      <w:r w:rsidRPr="004F08C8">
        <w:rPr>
          <w:rFonts w:ascii="Century Gothic" w:hAnsi="Century Gothic" w:cstheme="minorHAnsi"/>
          <w:color w:val="000000"/>
          <w:sz w:val="24"/>
          <w:szCs w:val="24"/>
          <w:shd w:val="clear" w:color="auto" w:fill="FFFFFF"/>
        </w:rPr>
        <w:t>En 2012, la Organización Panamericana de la Salud señaló que las “terapias de conversión” no tienen justificación médica y representan una amenaza para la salud y los derechos humanos de sus víctimas</w:t>
      </w:r>
      <w:r w:rsidR="00427280">
        <w:rPr>
          <w:rStyle w:val="Refdenotaalpie"/>
          <w:rFonts w:ascii="Century Gothic" w:hAnsi="Century Gothic" w:cstheme="minorHAnsi"/>
          <w:color w:val="000000"/>
          <w:sz w:val="24"/>
          <w:szCs w:val="24"/>
          <w:shd w:val="clear" w:color="auto" w:fill="FFFFFF"/>
        </w:rPr>
        <w:footnoteReference w:id="10"/>
      </w:r>
      <w:r w:rsidRPr="004F08C8">
        <w:rPr>
          <w:rFonts w:ascii="Century Gothic" w:hAnsi="Century Gothic" w:cstheme="minorHAnsi"/>
          <w:color w:val="000000"/>
          <w:sz w:val="24"/>
          <w:szCs w:val="24"/>
          <w:shd w:val="clear" w:color="auto" w:fill="FFFFFF"/>
        </w:rPr>
        <w:t xml:space="preserve">. </w:t>
      </w:r>
    </w:p>
    <w:p w14:paraId="3F9758E4" w14:textId="50C766A5" w:rsidR="004F08C8" w:rsidRPr="004F08C8" w:rsidRDefault="004F08C8" w:rsidP="00843D7C">
      <w:pPr>
        <w:spacing w:beforeLines="80" w:before="192" w:after="80" w:line="360" w:lineRule="auto"/>
        <w:jc w:val="both"/>
        <w:rPr>
          <w:rFonts w:ascii="Century Gothic" w:hAnsi="Century Gothic" w:cstheme="minorHAnsi"/>
          <w:color w:val="000000"/>
          <w:sz w:val="24"/>
          <w:szCs w:val="24"/>
          <w:shd w:val="clear" w:color="auto" w:fill="FFFFFF"/>
        </w:rPr>
      </w:pPr>
      <w:r w:rsidRPr="004F08C8">
        <w:rPr>
          <w:rFonts w:ascii="Century Gothic" w:hAnsi="Century Gothic" w:cstheme="minorHAnsi"/>
          <w:color w:val="000000"/>
          <w:sz w:val="24"/>
          <w:szCs w:val="24"/>
          <w:shd w:val="clear" w:color="auto" w:fill="FFFFFF"/>
        </w:rPr>
        <w:t>E</w:t>
      </w:r>
      <w:r w:rsidRPr="004F08C8">
        <w:rPr>
          <w:rFonts w:ascii="Century Gothic" w:hAnsi="Century Gothic" w:cstheme="minorHAnsi"/>
          <w:sz w:val="24"/>
          <w:szCs w:val="24"/>
        </w:rPr>
        <w:t>n 2016 la Asociación Mundial de Psiquiatría determinó que no existían pruebas científicas que indicaran que la orientación sexual innata se pudiera cambiar, conclusión que todas las asociaciones profesionales del mundo apoyan</w:t>
      </w:r>
      <w:r w:rsidR="00427280">
        <w:rPr>
          <w:rStyle w:val="Refdenotaalpie"/>
          <w:rFonts w:ascii="Century Gothic" w:hAnsi="Century Gothic" w:cstheme="minorHAnsi"/>
          <w:sz w:val="24"/>
          <w:szCs w:val="24"/>
        </w:rPr>
        <w:footnoteReference w:id="11"/>
      </w:r>
      <w:r w:rsidRPr="004F08C8">
        <w:rPr>
          <w:rFonts w:ascii="Century Gothic" w:hAnsi="Century Gothic" w:cstheme="minorHAnsi"/>
          <w:sz w:val="24"/>
          <w:szCs w:val="24"/>
        </w:rPr>
        <w:t>.</w:t>
      </w:r>
      <w:r w:rsidRPr="004F08C8">
        <w:rPr>
          <w:rFonts w:ascii="Century Gothic" w:hAnsi="Century Gothic" w:cstheme="minorHAnsi"/>
          <w:color w:val="000000"/>
          <w:sz w:val="24"/>
          <w:szCs w:val="24"/>
          <w:shd w:val="clear" w:color="auto" w:fill="FFFFFF"/>
        </w:rPr>
        <w:t xml:space="preserve"> </w:t>
      </w:r>
      <w:r w:rsidRPr="004F08C8">
        <w:rPr>
          <w:rFonts w:ascii="Century Gothic" w:hAnsi="Century Gothic" w:cstheme="minorHAnsi"/>
          <w:sz w:val="24"/>
          <w:szCs w:val="24"/>
        </w:rPr>
        <w:t>Además, no son únicamente prácticas ofrecidas en forma de sesiones psicológicas o psiquiátricas, sino que también son promovidas por grupos religiosos, de superación personal o contra las adicciones.</w:t>
      </w:r>
    </w:p>
    <w:p w14:paraId="2C39E6B7" w14:textId="55448780" w:rsidR="004F08C8" w:rsidRPr="004F08C8" w:rsidRDefault="004F08C8" w:rsidP="00843D7C">
      <w:pPr>
        <w:spacing w:beforeLines="80" w:before="192" w:after="80" w:line="360" w:lineRule="auto"/>
        <w:jc w:val="both"/>
        <w:rPr>
          <w:rFonts w:ascii="Century Gothic" w:hAnsi="Century Gothic" w:cstheme="minorHAnsi"/>
          <w:color w:val="000000"/>
          <w:sz w:val="24"/>
          <w:szCs w:val="24"/>
        </w:rPr>
      </w:pPr>
      <w:r w:rsidRPr="004F08C8">
        <w:rPr>
          <w:rFonts w:ascii="Century Gothic" w:hAnsi="Century Gothic" w:cstheme="minorHAnsi"/>
          <w:color w:val="000000"/>
          <w:sz w:val="24"/>
          <w:szCs w:val="24"/>
        </w:rPr>
        <w:t xml:space="preserve">En 2016, en el marco del Día Internacional contra la Homofobia, </w:t>
      </w:r>
      <w:r w:rsidR="00B55036">
        <w:rPr>
          <w:rFonts w:ascii="Century Gothic" w:hAnsi="Century Gothic" w:cstheme="minorHAnsi"/>
          <w:color w:val="000000"/>
          <w:sz w:val="24"/>
          <w:szCs w:val="24"/>
        </w:rPr>
        <w:t>Lesbofobia</w:t>
      </w:r>
      <w:r w:rsidR="009E1800">
        <w:rPr>
          <w:rFonts w:ascii="Century Gothic" w:hAnsi="Century Gothic" w:cstheme="minorHAnsi"/>
          <w:color w:val="000000"/>
          <w:sz w:val="24"/>
          <w:szCs w:val="24"/>
        </w:rPr>
        <w:t xml:space="preserve">, </w:t>
      </w:r>
      <w:r w:rsidRPr="004F08C8">
        <w:rPr>
          <w:rFonts w:ascii="Century Gothic" w:hAnsi="Century Gothic" w:cstheme="minorHAnsi"/>
          <w:color w:val="000000"/>
          <w:sz w:val="24"/>
          <w:szCs w:val="24"/>
        </w:rPr>
        <w:t>Transfobia y Bifobia, el grupo de expertos de Naciones Unidas dedicó su posicionamiento conjunto a la patologización de la comunidad LGBTTTI</w:t>
      </w:r>
      <w:r w:rsidR="00C8129A">
        <w:rPr>
          <w:rStyle w:val="Refdenotaalpie"/>
          <w:rFonts w:ascii="Century Gothic" w:hAnsi="Century Gothic" w:cstheme="minorHAnsi"/>
          <w:color w:val="000000"/>
          <w:sz w:val="24"/>
          <w:szCs w:val="24"/>
        </w:rPr>
        <w:footnoteReference w:id="12"/>
      </w:r>
      <w:r w:rsidRPr="004F08C8">
        <w:rPr>
          <w:rFonts w:ascii="Century Gothic" w:hAnsi="Century Gothic" w:cstheme="minorHAnsi"/>
          <w:color w:val="000000"/>
          <w:sz w:val="24"/>
          <w:szCs w:val="24"/>
        </w:rPr>
        <w:t xml:space="preserve">. Llamaron a reformar las clasificaciones médicas y adoptar medidas para prevenir toda forma de tratamientos y procedimientos forzosos sobre personas LGBTTTI. Explicaron que la patologización </w:t>
      </w:r>
      <w:r w:rsidR="00BA6E0D">
        <w:rPr>
          <w:rFonts w:ascii="Century Gothic" w:hAnsi="Century Gothic" w:cstheme="minorHAnsi"/>
          <w:color w:val="000000"/>
          <w:sz w:val="24"/>
          <w:szCs w:val="24"/>
        </w:rPr>
        <w:t>de la diversidad sexual continúa siendo una de</w:t>
      </w:r>
      <w:r w:rsidRPr="004F08C8">
        <w:rPr>
          <w:rFonts w:ascii="Century Gothic" w:hAnsi="Century Gothic" w:cstheme="minorHAnsi"/>
          <w:color w:val="000000"/>
          <w:sz w:val="24"/>
          <w:szCs w:val="24"/>
        </w:rPr>
        <w:t xml:space="preserve"> las causas de violación </w:t>
      </w:r>
      <w:r w:rsidR="00BA6E0D">
        <w:rPr>
          <w:rFonts w:ascii="Century Gothic" w:hAnsi="Century Gothic" w:cstheme="minorHAnsi"/>
          <w:color w:val="000000"/>
          <w:sz w:val="24"/>
          <w:szCs w:val="24"/>
        </w:rPr>
        <w:t>a</w:t>
      </w:r>
      <w:r w:rsidRPr="004F08C8">
        <w:rPr>
          <w:rFonts w:ascii="Century Gothic" w:hAnsi="Century Gothic" w:cstheme="minorHAnsi"/>
          <w:color w:val="000000"/>
          <w:sz w:val="24"/>
          <w:szCs w:val="24"/>
        </w:rPr>
        <w:t xml:space="preserve"> sus derechos humanos, pues se les somete a tratamientos forzosos que resultan abusivos, dañinos y poco éticos</w:t>
      </w:r>
      <w:r w:rsidR="00E207AA">
        <w:rPr>
          <w:rFonts w:ascii="Century Gothic" w:hAnsi="Century Gothic" w:cstheme="minorHAnsi"/>
          <w:color w:val="000000"/>
          <w:sz w:val="24"/>
          <w:szCs w:val="24"/>
        </w:rPr>
        <w:t xml:space="preserve">. </w:t>
      </w:r>
      <w:r w:rsidRPr="004F08C8">
        <w:rPr>
          <w:rFonts w:ascii="Century Gothic" w:hAnsi="Century Gothic" w:cstheme="minorHAnsi"/>
          <w:color w:val="000000"/>
          <w:sz w:val="24"/>
          <w:szCs w:val="24"/>
        </w:rPr>
        <w:t>En la declaración conjunta se llama a que los Estados adopten medidas para prevenir, investigar y procesar todas las formas de tratamiento y procedimientos forzados, coercitivos o involuntarios contra personas LGBTTTI.</w:t>
      </w:r>
    </w:p>
    <w:p w14:paraId="1D9F1546" w14:textId="383F809C" w:rsidR="007C2FB0" w:rsidRPr="007C2FB0"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color w:val="000000"/>
          <w:sz w:val="24"/>
          <w:szCs w:val="24"/>
        </w:rPr>
        <w:t xml:space="preserve">A nivel nacional, </w:t>
      </w:r>
      <w:r w:rsidR="007C2FB0">
        <w:rPr>
          <w:rFonts w:ascii="Century Gothic" w:hAnsi="Century Gothic"/>
          <w:sz w:val="24"/>
          <w:szCs w:val="24"/>
        </w:rPr>
        <w:t>e</w:t>
      </w:r>
      <w:r w:rsidR="007C2FB0" w:rsidRPr="0070032C">
        <w:rPr>
          <w:rFonts w:ascii="Century Gothic" w:hAnsi="Century Gothic"/>
          <w:sz w:val="24"/>
          <w:szCs w:val="24"/>
        </w:rPr>
        <w:t>n julio de 2017, la Comisión Nacional de Derechos Humanos (CNDH) emitió un posicionamiento sobre las terapias de conversión. Ésta refirió a la Norma Oficial Mexicana NOM-025-SSA2-2014 —prestación de servicios de salud en unidades de atención integral hospitalaria médico-</w:t>
      </w:r>
      <w:r w:rsidR="00E30EFD" w:rsidRPr="0070032C">
        <w:rPr>
          <w:rFonts w:ascii="Century Gothic" w:hAnsi="Century Gothic"/>
          <w:sz w:val="24"/>
          <w:szCs w:val="24"/>
        </w:rPr>
        <w:t>psiquiátrica</w:t>
      </w:r>
      <w:r w:rsidR="007C2FB0" w:rsidRPr="0070032C">
        <w:rPr>
          <w:rFonts w:ascii="Century Gothic" w:hAnsi="Century Gothic"/>
          <w:sz w:val="24"/>
          <w:szCs w:val="24"/>
        </w:rPr>
        <w:t>— para resaltar que no se puede discriminar a un paciente por su condición mental, y que los diagnósticos o tratamientos no pueden hacerse por razones políticas, sociales, raciales, religiosas y otros motivos ajenos a la salud mental. Además, rescató del Protocolo de la Secretaría de Salud antes mencionado que no deben patologizarse la</w:t>
      </w:r>
      <w:r w:rsidR="009E1800">
        <w:rPr>
          <w:rFonts w:ascii="Century Gothic" w:hAnsi="Century Gothic"/>
          <w:sz w:val="24"/>
          <w:szCs w:val="24"/>
        </w:rPr>
        <w:t>s</w:t>
      </w:r>
      <w:r w:rsidR="007C2FB0" w:rsidRPr="0070032C">
        <w:rPr>
          <w:rFonts w:ascii="Century Gothic" w:hAnsi="Century Gothic"/>
          <w:sz w:val="24"/>
          <w:szCs w:val="24"/>
        </w:rPr>
        <w:t xml:space="preserve"> OSIG</w:t>
      </w:r>
      <w:r w:rsidR="009E1800">
        <w:rPr>
          <w:rStyle w:val="Refdenotaalpie"/>
          <w:rFonts w:ascii="Century Gothic" w:hAnsi="Century Gothic"/>
          <w:sz w:val="24"/>
          <w:szCs w:val="24"/>
        </w:rPr>
        <w:footnoteReference w:id="13"/>
      </w:r>
      <w:r w:rsidR="007C2FB0" w:rsidRPr="0070032C">
        <w:rPr>
          <w:rFonts w:ascii="Century Gothic" w:hAnsi="Century Gothic"/>
          <w:sz w:val="24"/>
          <w:szCs w:val="24"/>
        </w:rPr>
        <w:t xml:space="preserve"> ni las variaciones intersexual</w:t>
      </w:r>
      <w:r w:rsidR="00E30EFD">
        <w:rPr>
          <w:rFonts w:ascii="Century Gothic" w:hAnsi="Century Gothic"/>
          <w:sz w:val="24"/>
          <w:szCs w:val="24"/>
        </w:rPr>
        <w:t>es</w:t>
      </w:r>
      <w:r w:rsidR="007C2FB0" w:rsidRPr="0070032C">
        <w:rPr>
          <w:rFonts w:ascii="Century Gothic" w:hAnsi="Century Gothic"/>
          <w:sz w:val="24"/>
          <w:szCs w:val="24"/>
        </w:rPr>
        <w:t>. Por ello, la CNDH concluyó que las “terapias” de conversión carecen de sustento médico, son una amenaza a la salud y los derechos humanos de las personas afectadas, y no deberían ser aceptadas como terapias m</w:t>
      </w:r>
      <w:r w:rsidR="007C2FB0">
        <w:rPr>
          <w:rFonts w:ascii="Century Gothic" w:hAnsi="Century Gothic"/>
          <w:sz w:val="24"/>
          <w:szCs w:val="24"/>
        </w:rPr>
        <w:t>é</w:t>
      </w:r>
      <w:r w:rsidR="007C2FB0" w:rsidRPr="0070032C">
        <w:rPr>
          <w:rFonts w:ascii="Century Gothic" w:hAnsi="Century Gothic"/>
          <w:sz w:val="24"/>
          <w:szCs w:val="24"/>
        </w:rPr>
        <w:t>dicas</w:t>
      </w:r>
      <w:r w:rsidR="007C2FB0">
        <w:rPr>
          <w:rStyle w:val="Refdenotaalpie"/>
          <w:rFonts w:ascii="Century Gothic" w:hAnsi="Century Gothic"/>
          <w:sz w:val="24"/>
          <w:szCs w:val="24"/>
        </w:rPr>
        <w:footnoteReference w:id="14"/>
      </w:r>
      <w:r w:rsidR="007C2FB0" w:rsidRPr="0070032C">
        <w:rPr>
          <w:rFonts w:ascii="Century Gothic" w:hAnsi="Century Gothic"/>
          <w:sz w:val="24"/>
          <w:szCs w:val="24"/>
        </w:rPr>
        <w:t>.</w:t>
      </w:r>
    </w:p>
    <w:p w14:paraId="4454C3AF" w14:textId="3405392D" w:rsidR="004F08C8" w:rsidRPr="004F08C8" w:rsidRDefault="007C2FB0" w:rsidP="00843D7C">
      <w:pPr>
        <w:spacing w:beforeLines="80" w:before="192" w:after="80" w:line="360" w:lineRule="auto"/>
        <w:jc w:val="both"/>
        <w:rPr>
          <w:rFonts w:ascii="Century Gothic" w:hAnsi="Century Gothic" w:cstheme="minorHAnsi"/>
          <w:color w:val="000000"/>
          <w:sz w:val="24"/>
          <w:szCs w:val="24"/>
        </w:rPr>
      </w:pPr>
      <w:r>
        <w:rPr>
          <w:rFonts w:ascii="Century Gothic" w:hAnsi="Century Gothic" w:cstheme="minorHAnsi"/>
          <w:color w:val="000000"/>
          <w:sz w:val="24"/>
          <w:szCs w:val="24"/>
        </w:rPr>
        <w:t>E</w:t>
      </w:r>
      <w:r w:rsidR="004F08C8" w:rsidRPr="004F08C8">
        <w:rPr>
          <w:rFonts w:ascii="Century Gothic" w:hAnsi="Century Gothic" w:cstheme="minorHAnsi"/>
          <w:color w:val="000000"/>
          <w:sz w:val="24"/>
          <w:szCs w:val="24"/>
        </w:rPr>
        <w:t xml:space="preserve">n mayo de 2017, la Comisión Ejecutiva de Atención a Víctimas (CEAV) publicó su postura sobre el tema. Reiteró la obligación del Estado </w:t>
      </w:r>
      <w:r>
        <w:rPr>
          <w:rFonts w:ascii="Century Gothic" w:hAnsi="Century Gothic" w:cstheme="minorHAnsi"/>
          <w:color w:val="000000"/>
          <w:sz w:val="24"/>
          <w:szCs w:val="24"/>
        </w:rPr>
        <w:t>m</w:t>
      </w:r>
      <w:r w:rsidR="004F08C8" w:rsidRPr="004F08C8">
        <w:rPr>
          <w:rFonts w:ascii="Century Gothic" w:hAnsi="Century Gothic" w:cstheme="minorHAnsi"/>
          <w:color w:val="000000"/>
          <w:sz w:val="24"/>
          <w:szCs w:val="24"/>
        </w:rPr>
        <w:t>exicano de salvaguardar los derechos humanos de las personas LGBT</w:t>
      </w:r>
      <w:r w:rsidR="00E207AA">
        <w:rPr>
          <w:rFonts w:ascii="Century Gothic" w:hAnsi="Century Gothic" w:cstheme="minorHAnsi"/>
          <w:color w:val="000000"/>
          <w:sz w:val="24"/>
          <w:szCs w:val="24"/>
        </w:rPr>
        <w:t>TT</w:t>
      </w:r>
      <w:r w:rsidR="004F08C8" w:rsidRPr="004F08C8">
        <w:rPr>
          <w:rFonts w:ascii="Century Gothic" w:hAnsi="Century Gothic" w:cstheme="minorHAnsi"/>
          <w:color w:val="000000"/>
          <w:sz w:val="24"/>
          <w:szCs w:val="24"/>
        </w:rPr>
        <w:t>I como parte del régimen internacional de derechos humanos. En su posicionamiento, la CEAV explica que en 2015, hizo una investigación sobre atención a personas LGBT</w:t>
      </w:r>
      <w:r w:rsidR="00E30EFD">
        <w:rPr>
          <w:rFonts w:ascii="Century Gothic" w:hAnsi="Century Gothic" w:cstheme="minorHAnsi"/>
          <w:color w:val="000000"/>
          <w:sz w:val="24"/>
          <w:szCs w:val="24"/>
        </w:rPr>
        <w:t>TT</w:t>
      </w:r>
      <w:r w:rsidR="004F08C8" w:rsidRPr="004F08C8">
        <w:rPr>
          <w:rFonts w:ascii="Century Gothic" w:hAnsi="Century Gothic" w:cstheme="minorHAnsi"/>
          <w:color w:val="000000"/>
          <w:sz w:val="24"/>
          <w:szCs w:val="24"/>
        </w:rPr>
        <w:t>I en México. Entre sus resultados, identificó casos de personas obligadas a tomar medicamentos, pasar por procedimientos médicos relacionados a su sexualidad, o recibir tratamientos, incluso privándolos de su libertad. Por ello, la CEAV condenó las "terapias" de conversión como violatorias de los derechos de la comunidad LGB</w:t>
      </w:r>
      <w:r w:rsidR="007579FC">
        <w:rPr>
          <w:rFonts w:ascii="Century Gothic" w:hAnsi="Century Gothic" w:cstheme="minorHAnsi"/>
          <w:color w:val="000000"/>
          <w:sz w:val="24"/>
          <w:szCs w:val="24"/>
        </w:rPr>
        <w:t>TT</w:t>
      </w:r>
      <w:r w:rsidR="004F08C8" w:rsidRPr="004F08C8">
        <w:rPr>
          <w:rFonts w:ascii="Century Gothic" w:hAnsi="Century Gothic" w:cstheme="minorHAnsi"/>
          <w:color w:val="000000"/>
          <w:sz w:val="24"/>
          <w:szCs w:val="24"/>
        </w:rPr>
        <w:t>TI, siendo un riesgo para su salud</w:t>
      </w:r>
      <w:r w:rsidR="0070032C">
        <w:rPr>
          <w:rStyle w:val="Refdenotaalpie"/>
          <w:rFonts w:ascii="Century Gothic" w:hAnsi="Century Gothic" w:cstheme="minorHAnsi"/>
          <w:color w:val="000000"/>
          <w:sz w:val="24"/>
          <w:szCs w:val="24"/>
        </w:rPr>
        <w:footnoteReference w:id="15"/>
      </w:r>
      <w:r w:rsidR="004F08C8" w:rsidRPr="004F08C8">
        <w:rPr>
          <w:rFonts w:ascii="Century Gothic" w:hAnsi="Century Gothic" w:cstheme="minorHAnsi"/>
          <w:color w:val="000000"/>
          <w:sz w:val="24"/>
          <w:szCs w:val="24"/>
        </w:rPr>
        <w:t>.</w:t>
      </w:r>
    </w:p>
    <w:p w14:paraId="02E3FC2D" w14:textId="6C7967F0" w:rsidR="004F08C8" w:rsidRP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 xml:space="preserve">El Consejo Nacional para Prevenir la Discriminación (CONAPRED) también ha emitido posicionamientos al respecto. Mediante el pronunciamiento 01/2017 concluyó lo siguiente: </w:t>
      </w:r>
    </w:p>
    <w:p w14:paraId="7F4DF787" w14:textId="621B8191" w:rsidR="004F08C8" w:rsidRPr="004F08C8" w:rsidRDefault="004F08C8" w:rsidP="00843D7C">
      <w:pPr>
        <w:pStyle w:val="NormalWeb"/>
        <w:shd w:val="clear" w:color="auto" w:fill="FFFFFF"/>
        <w:spacing w:beforeLines="80" w:before="192" w:beforeAutospacing="0" w:after="80" w:afterAutospacing="0" w:line="360" w:lineRule="auto"/>
        <w:ind w:left="708"/>
        <w:jc w:val="both"/>
        <w:textAlignment w:val="baseline"/>
        <w:rPr>
          <w:rFonts w:ascii="Century Gothic" w:hAnsi="Century Gothic" w:cstheme="minorHAnsi"/>
          <w:i/>
          <w:color w:val="000000"/>
          <w:spacing w:val="13"/>
        </w:rPr>
      </w:pPr>
      <w:r w:rsidRPr="004F08C8">
        <w:rPr>
          <w:rFonts w:ascii="Century Gothic" w:hAnsi="Century Gothic" w:cstheme="minorHAnsi"/>
          <w:iCs/>
          <w:color w:val="000000"/>
          <w:spacing w:val="13"/>
          <w:sz w:val="22"/>
          <w:szCs w:val="22"/>
        </w:rPr>
        <w:t>Es dable afirmar que existe un consenso internacional, tanto científico como de los máximos organismos de protección de derechos humanos que llevan a concluir que las denominadas “terapias de conversión” parten de supuestos científicamente falsos, consistentes en: 1) La posibilidad de que la orientación sexual puede ser modificada por terceras personas; y, 2) La consideración de que las orientaciones sexuales no normativas, tal como la homosexualidad, constituyen una patología o enfermedad susceptible de ser “curada”. En consecuencia, el Consejo Nacional para Prevenir la Discriminación concluye que dichas “terapias” trasgreden los derechos al libre desarrollo de la personalidad, a la salud, a la integridad personal y a la igualdad y no discriminación; además de que son fáctica y potencialmente dañinas al desconocer la diversidad sexual y estigmatizar la homosexualidad, contribuyendo a la persistencia de la homofobia</w:t>
      </w:r>
      <w:r w:rsidRPr="004F08C8">
        <w:rPr>
          <w:rFonts w:ascii="Century Gothic" w:hAnsi="Century Gothic" w:cstheme="minorHAnsi"/>
          <w:i/>
          <w:color w:val="000000"/>
          <w:spacing w:val="13"/>
        </w:rPr>
        <w:t>.</w:t>
      </w:r>
      <w:r w:rsidR="0070032C">
        <w:rPr>
          <w:rStyle w:val="Refdenotaalpie"/>
          <w:rFonts w:ascii="Century Gothic" w:hAnsi="Century Gothic" w:cstheme="minorHAnsi"/>
          <w:i/>
          <w:color w:val="000000"/>
          <w:spacing w:val="13"/>
        </w:rPr>
        <w:footnoteReference w:id="16"/>
      </w:r>
    </w:p>
    <w:p w14:paraId="10C6866A" w14:textId="0895465F" w:rsidR="00427280"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 xml:space="preserve">Posteriormente en el 2018, el Consejo Nacional para Prevenir la Discriminación (CONAPRED), YAAJ México A.C., la Secretaría de Salud de la Ciudad de México (SEDESA), la Secretaría de Educación de la Ciudad de México (SEDU), Instituto Politécnico Nacional (IPN), Universidad Pedagógica Nacional (UPN), Universidad Insurgentes (UI) emitieron un pronunciamiento a fin de alertar sobre los peligros que conlleva la promoción y realización de esfuerzos que pretendan “corregir” la orientación sexual </w:t>
      </w:r>
      <w:r w:rsidR="00E207AA">
        <w:rPr>
          <w:rFonts w:ascii="Century Gothic" w:hAnsi="Century Gothic" w:cstheme="minorHAnsi"/>
          <w:sz w:val="24"/>
          <w:szCs w:val="24"/>
        </w:rPr>
        <w:t xml:space="preserve">o </w:t>
      </w:r>
      <w:r w:rsidRPr="004F08C8">
        <w:rPr>
          <w:rFonts w:ascii="Century Gothic" w:hAnsi="Century Gothic" w:cstheme="minorHAnsi"/>
          <w:sz w:val="24"/>
          <w:szCs w:val="24"/>
        </w:rPr>
        <w:t>identidad de género de las persona</w:t>
      </w:r>
      <w:r w:rsidR="00093EFB">
        <w:rPr>
          <w:rFonts w:ascii="Century Gothic" w:hAnsi="Century Gothic" w:cstheme="minorHAnsi"/>
          <w:sz w:val="24"/>
          <w:szCs w:val="24"/>
        </w:rPr>
        <w:t>s</w:t>
      </w:r>
      <w:r w:rsidRPr="004F08C8">
        <w:rPr>
          <w:rFonts w:ascii="Century Gothic" w:hAnsi="Century Gothic" w:cstheme="minorHAnsi"/>
          <w:sz w:val="24"/>
          <w:szCs w:val="24"/>
        </w:rPr>
        <w:t>, pues por lo regular se ejecutan a través de tratamientos hormonales, esterilizaciones, cirugías y evaluaciones psiquiátricas de manera forzada o coercitivas, violencia y acoso con base en su identidad de género y orientación sexual, amenazas, patologización de sus identidades, abuso verbal sistemático y humillación, mismos que podrían configurar malos tratos o penas crueles, inhumanos o degradantes e inclusive podrían considerarse como tortura.</w:t>
      </w:r>
    </w:p>
    <w:p w14:paraId="085A12E1" w14:textId="6462DD0A" w:rsidR="00B83766" w:rsidRPr="00B83766" w:rsidRDefault="00B83766" w:rsidP="00843D7C">
      <w:pPr>
        <w:pStyle w:val="Prrafodelista"/>
        <w:numPr>
          <w:ilvl w:val="0"/>
          <w:numId w:val="7"/>
        </w:numPr>
        <w:spacing w:beforeLines="80" w:before="192" w:after="80" w:line="360" w:lineRule="auto"/>
        <w:jc w:val="both"/>
        <w:rPr>
          <w:rFonts w:ascii="Century Gothic" w:hAnsi="Century Gothic" w:cstheme="minorHAnsi"/>
          <w:b/>
          <w:bCs/>
          <w:sz w:val="24"/>
          <w:szCs w:val="24"/>
        </w:rPr>
      </w:pPr>
      <w:r w:rsidRPr="00B83766">
        <w:rPr>
          <w:rFonts w:ascii="Century Gothic" w:hAnsi="Century Gothic" w:cstheme="minorHAnsi"/>
          <w:b/>
          <w:bCs/>
          <w:sz w:val="24"/>
          <w:szCs w:val="24"/>
        </w:rPr>
        <w:t>Derecho comparado</w:t>
      </w:r>
    </w:p>
    <w:p w14:paraId="46C4C0E0"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Albania 1999, el Consejo Federal de Psicología emitió dos disposiciones que establecen que los psicólogos no colaborarán en eventos o servicios que ofrezcan tratamiento y cura para la homosexualidad, y que los psicólogos no pronunciarán ni participarán en discursos públicos, en la masa medios de comunicación, reforzando los prejuicios sociales relacionados con los homosexuales como perseguidores de cualquier tipo de trastorno psicológico.</w:t>
      </w:r>
    </w:p>
    <w:p w14:paraId="052820F4"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el caso de Canadá los ECOSIG están prohibidos en seis provincias y territorios y en varios municipios: la terapia de conversión está prohibida en la provincia de Manitoba (desde 2015), para menores en Ontario (desde 2015), para menores en Nueva Escocia (desde 2018), para menores en la Isla del Príncipe Eduardo, en Quebec, el territorio de Yukon (desde 2020), y numerosos municipios, incluidos Vancouver (desde 2018), Edmonton (desde 2019), y Calgary (desde 2020).</w:t>
      </w:r>
    </w:p>
    <w:p w14:paraId="6F84E05E"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Argentina hay una prohibición a nivel nacional. La ley 21.331 de Reconocimiento y Protección de los Derechos de las Personas en la Atención a la Salud Mental, promulgada el 23 de abril de 2021, establece en su artículo 7: "El diagnóstico del estado de salud mental debe establecerse según lo dicte la clínica técnica, considerando variables biopsicosociales. No puede basarse en criterios relacionados con el grupo político, socioeconómico, cultural, racial o religioso de la persona, ni con la identidad u orientación sexual de la persona, entre otros.”</w:t>
      </w:r>
    </w:p>
    <w:p w14:paraId="57A06B09" w14:textId="27CBF06F"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Ecuador</w:t>
      </w:r>
      <w:r w:rsidR="00BA6E0D">
        <w:rPr>
          <w:rFonts w:ascii="Century Gothic" w:hAnsi="Century Gothic" w:cstheme="minorHAnsi"/>
          <w:sz w:val="24"/>
          <w:szCs w:val="24"/>
        </w:rPr>
        <w:t>,</w:t>
      </w:r>
      <w:r w:rsidRPr="00B83766">
        <w:rPr>
          <w:rFonts w:ascii="Century Gothic" w:hAnsi="Century Gothic" w:cstheme="minorHAnsi"/>
          <w:sz w:val="24"/>
          <w:szCs w:val="24"/>
        </w:rPr>
        <w:t xml:space="preserve"> el artículo 151 del Código Penal de 2014 prohíbe la terapia de conversión, equiparándola a la tortura, y establece una pena de 10 años de prisión para quienes la practican. </w:t>
      </w:r>
    </w:p>
    <w:p w14:paraId="40371FE5" w14:textId="55D3AC63"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Fiyi</w:t>
      </w:r>
      <w:r w:rsidR="00BA6E0D">
        <w:rPr>
          <w:rFonts w:ascii="Century Gothic" w:hAnsi="Century Gothic" w:cstheme="minorHAnsi"/>
          <w:sz w:val="24"/>
          <w:szCs w:val="24"/>
        </w:rPr>
        <w:t>,</w:t>
      </w:r>
      <w:r w:rsidRPr="00B83766">
        <w:rPr>
          <w:rFonts w:ascii="Century Gothic" w:hAnsi="Century Gothic" w:cstheme="minorHAnsi"/>
          <w:sz w:val="24"/>
          <w:szCs w:val="24"/>
        </w:rPr>
        <w:t xml:space="preserve"> el Decreto de Salud Mental de 2010 establece que las personas no deben ser consideradas como enfermos mentales si se niegan o no expresan una orientación sexual en particular, y prohíbe cualquier terapia de conversión en el campo de la salud mental.</w:t>
      </w:r>
    </w:p>
    <w:p w14:paraId="1DCF760D"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El 7 de mayo de 2020, el parlamento alemán prohibió la terapia de conversión a nivel nacional para menores hasta los 18 años y prohíbe la publicidad de la terapia de conversión. También prohíbe la terapia de conversión para adultos, cuando ocurre por la fuerza, el fraude o la presión.</w:t>
      </w:r>
    </w:p>
    <w:p w14:paraId="3AF08CBE"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Malta hay una prohibición nacional. En diciembre de 2016, el Parlamento de Malta aprobó por unanimidad la Ley de Afirmación de Orientación Sexual, Identidad de Género y Expresión de Género, convirtiéndose en el primer país de la Unión Europea en prohibir la terapia de conversión.</w:t>
      </w:r>
    </w:p>
    <w:p w14:paraId="39541B75" w14:textId="77777777"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España los ECOSIG están prohibida en las comunidades autónomas de Murcia (desde 2016), Madrid (desde 2017), Valencia (desde 2017), Andalucía (desde 2018), y Aragón (desde 2019). En Murcia, la prohibición solo se aplica a los profesionales sanitarios registrados, pero la prohibición de Madrid se aplica a todos, incluidos los grupos religiosos.</w:t>
      </w:r>
    </w:p>
    <w:p w14:paraId="6AAE2773" w14:textId="2D3EF648" w:rsidR="00B83766" w:rsidRPr="00B83766" w:rsidRDefault="00B83766" w:rsidP="00843D7C">
      <w:pPr>
        <w:spacing w:before="80" w:afterLines="80" w:after="192" w:line="360" w:lineRule="auto"/>
        <w:jc w:val="both"/>
        <w:rPr>
          <w:rFonts w:ascii="Century Gothic" w:hAnsi="Century Gothic" w:cstheme="minorHAnsi"/>
          <w:sz w:val="24"/>
          <w:szCs w:val="24"/>
        </w:rPr>
      </w:pPr>
      <w:r w:rsidRPr="00B83766">
        <w:rPr>
          <w:rFonts w:ascii="Century Gothic" w:hAnsi="Century Gothic" w:cstheme="minorHAnsi"/>
          <w:sz w:val="24"/>
          <w:szCs w:val="24"/>
        </w:rPr>
        <w:t>En Estados Unidos de América los ECOSIG están prohibido</w:t>
      </w:r>
      <w:r w:rsidR="007B74E0">
        <w:rPr>
          <w:rFonts w:ascii="Century Gothic" w:hAnsi="Century Gothic" w:cstheme="minorHAnsi"/>
          <w:sz w:val="24"/>
          <w:szCs w:val="24"/>
        </w:rPr>
        <w:t>s</w:t>
      </w:r>
      <w:r w:rsidRPr="00B83766">
        <w:rPr>
          <w:rFonts w:ascii="Century Gothic" w:hAnsi="Century Gothic" w:cstheme="minorHAnsi"/>
          <w:sz w:val="24"/>
          <w:szCs w:val="24"/>
        </w:rPr>
        <w:t xml:space="preserve"> en 20 estados.</w:t>
      </w:r>
    </w:p>
    <w:p w14:paraId="362C5FB6" w14:textId="5F569E20" w:rsidR="00B83766" w:rsidRPr="009F1080" w:rsidRDefault="00B83766" w:rsidP="00843D7C">
      <w:pPr>
        <w:pStyle w:val="NormalWeb"/>
        <w:shd w:val="clear" w:color="auto" w:fill="FFFFFF"/>
        <w:spacing w:before="80" w:beforeAutospacing="0" w:afterLines="80" w:after="192" w:afterAutospacing="0" w:line="360" w:lineRule="auto"/>
        <w:jc w:val="both"/>
        <w:rPr>
          <w:rFonts w:ascii="Century Gothic" w:hAnsi="Century Gothic"/>
          <w:color w:val="3E3E3E"/>
        </w:rPr>
      </w:pPr>
      <w:r w:rsidRPr="009F1080">
        <w:rPr>
          <w:rFonts w:ascii="Century Gothic" w:hAnsi="Century Gothic" w:cstheme="minorHAnsi"/>
        </w:rPr>
        <w:t xml:space="preserve">En Francia en el presente mes, </w:t>
      </w:r>
      <w:r w:rsidRPr="009F1080">
        <w:rPr>
          <w:rFonts w:ascii="Century Gothic" w:hAnsi="Century Gothic"/>
          <w:color w:val="3E3E3E"/>
        </w:rPr>
        <w:t xml:space="preserve">los diputados franceses aprobaron por unanimidad la proposición de ley para prohibir los ECOSIG. Aunque aún no es aprobada en el Senado, </w:t>
      </w:r>
      <w:r w:rsidR="00843D7C">
        <w:rPr>
          <w:rFonts w:ascii="Century Gothic" w:hAnsi="Century Gothic"/>
          <w:color w:val="3E3E3E"/>
        </w:rPr>
        <w:t>en la tipificación se</w:t>
      </w:r>
      <w:r w:rsidRPr="009F1080">
        <w:rPr>
          <w:rFonts w:ascii="Century Gothic" w:hAnsi="Century Gothic"/>
          <w:color w:val="3E3E3E"/>
        </w:rPr>
        <w:t xml:space="preserve"> prevén dos años de cárcel y 30,000 euros de multa, e incluso tres años de cárcel en caso de reincidencia.</w:t>
      </w:r>
    </w:p>
    <w:p w14:paraId="3125AC43" w14:textId="77777777" w:rsidR="00FA1A4F" w:rsidRDefault="00B83766" w:rsidP="00843D7C">
      <w:pPr>
        <w:spacing w:before="80" w:afterLines="80" w:after="192" w:line="360" w:lineRule="auto"/>
        <w:jc w:val="both"/>
        <w:rPr>
          <w:rFonts w:ascii="Century Gothic" w:hAnsi="Century Gothic" w:cstheme="minorHAnsi"/>
          <w:color w:val="242424"/>
          <w:sz w:val="24"/>
          <w:szCs w:val="24"/>
        </w:rPr>
      </w:pPr>
      <w:r w:rsidRPr="00B83766">
        <w:rPr>
          <w:rFonts w:ascii="Century Gothic" w:hAnsi="Century Gothic" w:cstheme="minorHAnsi"/>
          <w:sz w:val="24"/>
          <w:szCs w:val="24"/>
        </w:rPr>
        <w:t xml:space="preserve">En México, en julio de 2020 el Congreso de la Ciudad de México aprobó la tipificación de los ECOSIG. </w:t>
      </w:r>
      <w:r w:rsidRPr="00B83766">
        <w:rPr>
          <w:rFonts w:ascii="Century Gothic" w:hAnsi="Century Gothic" w:cstheme="minorHAnsi"/>
          <w:color w:val="242424"/>
          <w:sz w:val="24"/>
          <w:szCs w:val="24"/>
        </w:rPr>
        <w:t>De esta manera, el Código Penal de la Ciudad de México considera como delito contra el libre desarrollo de la personalidad y la identidad sexual aquellas conductas que obliguen a una persona a recibir una "terapia de conversión”. Los responsables pueden ser sentenciados a una pena de dos a cinco años de cárcel y de 50 a 100 días de trabajo comunitario.</w:t>
      </w:r>
      <w:r w:rsidR="00FA1A4F">
        <w:rPr>
          <w:rFonts w:ascii="Century Gothic" w:hAnsi="Century Gothic" w:cstheme="minorHAnsi"/>
          <w:color w:val="242424"/>
          <w:sz w:val="24"/>
          <w:szCs w:val="24"/>
        </w:rPr>
        <w:t xml:space="preserve"> </w:t>
      </w:r>
    </w:p>
    <w:p w14:paraId="3FC6A7B8" w14:textId="593267C5" w:rsidR="00B83766" w:rsidRDefault="00FA1A4F" w:rsidP="00843D7C">
      <w:pPr>
        <w:spacing w:before="80" w:afterLines="80" w:after="192" w:line="360" w:lineRule="auto"/>
        <w:jc w:val="both"/>
        <w:rPr>
          <w:rFonts w:ascii="Century Gothic" w:hAnsi="Century Gothic" w:cstheme="minorHAnsi"/>
          <w:color w:val="242424"/>
          <w:sz w:val="24"/>
          <w:szCs w:val="24"/>
        </w:rPr>
      </w:pPr>
      <w:r>
        <w:rPr>
          <w:rFonts w:ascii="Century Gothic" w:hAnsi="Century Gothic" w:cstheme="minorHAnsi"/>
          <w:color w:val="242424"/>
          <w:sz w:val="24"/>
          <w:szCs w:val="24"/>
        </w:rPr>
        <w:t>Posteriormente, en octubre del 2020 la prohibición fue aprobada por el Congreso del Estado de México, entrando en vigor el 8 de marzo de 2021.</w:t>
      </w:r>
      <w:r w:rsidR="00B83766" w:rsidRPr="00B83766">
        <w:rPr>
          <w:rFonts w:ascii="Century Gothic" w:hAnsi="Century Gothic" w:cstheme="minorHAnsi"/>
          <w:color w:val="242424"/>
          <w:sz w:val="24"/>
          <w:szCs w:val="24"/>
        </w:rPr>
        <w:t xml:space="preserve"> </w:t>
      </w:r>
      <w:r>
        <w:rPr>
          <w:rFonts w:ascii="Century Gothic" w:hAnsi="Century Gothic" w:cstheme="minorHAnsi"/>
          <w:color w:val="242424"/>
          <w:sz w:val="24"/>
          <w:szCs w:val="24"/>
        </w:rPr>
        <w:t xml:space="preserve">En Baja California Sur, el 28 de junio de 2021, fue aprobada una reforma al Código Penal en el mismo sentido. El 25 de agosto de 2021 en Yucatán, al mismo tiempo que se aprobó el matrimonio igualitario, también se aprobó la </w:t>
      </w:r>
      <w:r w:rsidRPr="002639CA">
        <w:rPr>
          <w:rFonts w:ascii="Century Gothic" w:hAnsi="Century Gothic" w:cstheme="minorHAnsi"/>
          <w:color w:val="242424"/>
          <w:sz w:val="24"/>
          <w:szCs w:val="24"/>
        </w:rPr>
        <w:t xml:space="preserve">prohibición de los ECOSIG. </w:t>
      </w:r>
      <w:r w:rsidR="007579FC" w:rsidRPr="002639CA">
        <w:rPr>
          <w:rFonts w:ascii="Century Gothic" w:hAnsi="Century Gothic" w:cstheme="minorHAnsi"/>
          <w:color w:val="242424"/>
          <w:sz w:val="24"/>
          <w:szCs w:val="24"/>
        </w:rPr>
        <w:t>El 2</w:t>
      </w:r>
      <w:r w:rsidR="00B55036" w:rsidRPr="002639CA">
        <w:rPr>
          <w:rFonts w:ascii="Century Gothic" w:hAnsi="Century Gothic" w:cstheme="minorHAnsi"/>
          <w:color w:val="242424"/>
          <w:sz w:val="24"/>
          <w:szCs w:val="24"/>
        </w:rPr>
        <w:t>8</w:t>
      </w:r>
      <w:r w:rsidR="007579FC" w:rsidRPr="002639CA">
        <w:rPr>
          <w:rFonts w:ascii="Century Gothic" w:hAnsi="Century Gothic" w:cstheme="minorHAnsi"/>
          <w:color w:val="242424"/>
          <w:sz w:val="24"/>
          <w:szCs w:val="24"/>
        </w:rPr>
        <w:t xml:space="preserve"> de septiembre en Colima</w:t>
      </w:r>
      <w:r w:rsidR="00B55036" w:rsidRPr="002639CA">
        <w:rPr>
          <w:rFonts w:ascii="Century Gothic" w:hAnsi="Century Gothic" w:cstheme="minorHAnsi"/>
          <w:color w:val="242424"/>
          <w:sz w:val="24"/>
          <w:szCs w:val="24"/>
        </w:rPr>
        <w:t xml:space="preserve"> también se tipificaron los ECOSIG en el Código Penal local</w:t>
      </w:r>
      <w:r w:rsidR="007579FC" w:rsidRPr="002639CA">
        <w:rPr>
          <w:rFonts w:ascii="Century Gothic" w:hAnsi="Century Gothic" w:cstheme="minorHAnsi"/>
          <w:color w:val="242424"/>
          <w:sz w:val="24"/>
          <w:szCs w:val="24"/>
        </w:rPr>
        <w:t>.</w:t>
      </w:r>
      <w:r w:rsidR="002639CA" w:rsidRPr="002639CA">
        <w:rPr>
          <w:rFonts w:ascii="Century Gothic" w:hAnsi="Century Gothic" w:cstheme="minorHAnsi"/>
          <w:color w:val="242424"/>
          <w:sz w:val="24"/>
          <w:szCs w:val="24"/>
        </w:rPr>
        <w:t xml:space="preserve"> Por último, el 18 de octubre pasado, </w:t>
      </w:r>
      <w:r w:rsidR="002639CA">
        <w:rPr>
          <w:rFonts w:ascii="Century Gothic" w:hAnsi="Century Gothic" w:cstheme="minorHAnsi"/>
          <w:color w:val="242424"/>
          <w:sz w:val="24"/>
          <w:szCs w:val="24"/>
        </w:rPr>
        <w:t xml:space="preserve">el </w:t>
      </w:r>
      <w:r w:rsidR="002639CA" w:rsidRPr="002639CA">
        <w:rPr>
          <w:rFonts w:ascii="Century Gothic" w:hAnsi="Century Gothic"/>
          <w:color w:val="000000"/>
          <w:sz w:val="24"/>
          <w:szCs w:val="24"/>
          <w:shd w:val="clear" w:color="auto" w:fill="FFFFFF"/>
        </w:rPr>
        <w:t>Congreso del Estado de Tlaxcala</w:t>
      </w:r>
      <w:r w:rsidR="002639CA">
        <w:rPr>
          <w:rFonts w:ascii="Century Gothic" w:hAnsi="Century Gothic"/>
          <w:color w:val="000000"/>
          <w:sz w:val="24"/>
          <w:szCs w:val="24"/>
          <w:shd w:val="clear" w:color="auto" w:fill="FFFFFF"/>
        </w:rPr>
        <w:t xml:space="preserve"> aprobó</w:t>
      </w:r>
      <w:r w:rsidR="002639CA" w:rsidRPr="002639CA">
        <w:rPr>
          <w:rFonts w:ascii="Century Gothic" w:hAnsi="Century Gothic"/>
          <w:color w:val="000000"/>
          <w:sz w:val="24"/>
          <w:szCs w:val="24"/>
          <w:shd w:val="clear" w:color="auto" w:fill="FFFFFF"/>
        </w:rPr>
        <w:t xml:space="preserve"> las reformas para prohibir las terapias de conversión</w:t>
      </w:r>
      <w:r w:rsidR="002639CA">
        <w:rPr>
          <w:rFonts w:ascii="Century Gothic" w:hAnsi="Century Gothic"/>
          <w:color w:val="000000"/>
          <w:sz w:val="24"/>
          <w:szCs w:val="24"/>
          <w:shd w:val="clear" w:color="auto" w:fill="FFFFFF"/>
        </w:rPr>
        <w:t>.</w:t>
      </w:r>
      <w:r w:rsidR="007579FC" w:rsidRPr="002639CA">
        <w:rPr>
          <w:rFonts w:ascii="Century Gothic" w:hAnsi="Century Gothic" w:cstheme="minorHAnsi"/>
          <w:color w:val="242424"/>
          <w:sz w:val="24"/>
          <w:szCs w:val="24"/>
        </w:rPr>
        <w:t xml:space="preserve"> </w:t>
      </w:r>
      <w:r w:rsidR="00B83766" w:rsidRPr="002639CA">
        <w:rPr>
          <w:rFonts w:ascii="Century Gothic" w:hAnsi="Century Gothic" w:cstheme="minorHAnsi"/>
          <w:color w:val="242424"/>
          <w:sz w:val="24"/>
          <w:szCs w:val="24"/>
        </w:rPr>
        <w:t>En el último</w:t>
      </w:r>
      <w:r w:rsidR="00B83766" w:rsidRPr="00B83766">
        <w:rPr>
          <w:rFonts w:ascii="Century Gothic" w:hAnsi="Century Gothic" w:cstheme="minorHAnsi"/>
          <w:color w:val="242424"/>
          <w:sz w:val="24"/>
          <w:szCs w:val="24"/>
        </w:rPr>
        <w:t xml:space="preserve"> año, se han presentado iniciativas con el mismo objetivo en las entidades federativas de Jalisco, </w:t>
      </w:r>
      <w:r w:rsidR="00C8129A">
        <w:rPr>
          <w:rFonts w:ascii="Century Gothic" w:hAnsi="Century Gothic" w:cstheme="minorHAnsi"/>
          <w:color w:val="242424"/>
          <w:sz w:val="24"/>
          <w:szCs w:val="24"/>
        </w:rPr>
        <w:t xml:space="preserve">Puebla, </w:t>
      </w:r>
      <w:r w:rsidR="00B83766" w:rsidRPr="00B83766">
        <w:rPr>
          <w:rFonts w:ascii="Century Gothic" w:hAnsi="Century Gothic" w:cstheme="minorHAnsi"/>
          <w:color w:val="242424"/>
          <w:sz w:val="24"/>
          <w:szCs w:val="24"/>
        </w:rPr>
        <w:t>Baja California y Guanajuato.</w:t>
      </w:r>
    </w:p>
    <w:p w14:paraId="642FC34B" w14:textId="7137DAC6" w:rsidR="00BA040F" w:rsidRPr="00BA040F" w:rsidRDefault="00BA040F" w:rsidP="00BA040F">
      <w:pPr>
        <w:spacing w:before="80" w:afterLines="80" w:after="192" w:line="360" w:lineRule="auto"/>
        <w:jc w:val="both"/>
        <w:rPr>
          <w:rFonts w:ascii="Century Gothic" w:hAnsi="Century Gothic" w:cstheme="minorHAnsi"/>
          <w:sz w:val="24"/>
          <w:szCs w:val="24"/>
        </w:rPr>
      </w:pPr>
      <w:r w:rsidRPr="00BA040F">
        <w:rPr>
          <w:rFonts w:ascii="Century Gothic" w:hAnsi="Century Gothic" w:cstheme="minorHAnsi"/>
          <w:sz w:val="24"/>
          <w:szCs w:val="24"/>
        </w:rPr>
        <w:t xml:space="preserve">El Estado de Chihuahua no se queda atrás en </w:t>
      </w:r>
      <w:r w:rsidR="009C758C">
        <w:rPr>
          <w:rFonts w:ascii="Century Gothic" w:hAnsi="Century Gothic" w:cstheme="minorHAnsi"/>
          <w:sz w:val="24"/>
          <w:szCs w:val="24"/>
        </w:rPr>
        <w:t>la problemática de los ECOSIG</w:t>
      </w:r>
      <w:r w:rsidRPr="00BA040F">
        <w:rPr>
          <w:rFonts w:ascii="Century Gothic" w:hAnsi="Century Gothic" w:cstheme="minorHAnsi"/>
          <w:sz w:val="24"/>
          <w:szCs w:val="24"/>
        </w:rPr>
        <w:t xml:space="preserve">. La falta de estadísticas y de instituciones gubernamentales especializadas en atención de este tipo de casos hace más difícil rastrear los lugares donde se llevan a cabo estas lamentables prácticas, sin embargo, organizaciones de la sociedad civil que se dedican a la defensa de los derechos de las personas LGBTTTI llevan años atendiendo a sobrevivientes de </w:t>
      </w:r>
      <w:r w:rsidR="00A16AE0">
        <w:rPr>
          <w:rFonts w:ascii="Century Gothic" w:hAnsi="Century Gothic" w:cstheme="minorHAnsi"/>
          <w:sz w:val="24"/>
          <w:szCs w:val="24"/>
        </w:rPr>
        <w:t>los ECOSIG.</w:t>
      </w:r>
    </w:p>
    <w:p w14:paraId="797B32B1" w14:textId="604340AB" w:rsidR="00B66504" w:rsidRDefault="00524EC9" w:rsidP="00BA040F">
      <w:pPr>
        <w:spacing w:before="80" w:afterLines="80" w:after="192" w:line="360" w:lineRule="auto"/>
        <w:jc w:val="both"/>
        <w:rPr>
          <w:rFonts w:ascii="Century Gothic" w:hAnsi="Century Gothic" w:cstheme="minorHAnsi"/>
          <w:sz w:val="24"/>
          <w:szCs w:val="24"/>
        </w:rPr>
      </w:pPr>
      <w:r>
        <w:rPr>
          <w:rFonts w:ascii="Century Gothic" w:hAnsi="Century Gothic" w:cstheme="minorHAnsi"/>
          <w:sz w:val="24"/>
          <w:szCs w:val="24"/>
        </w:rPr>
        <w:t xml:space="preserve">A </w:t>
      </w:r>
      <w:r w:rsidR="00BA040F" w:rsidRPr="00BA040F">
        <w:rPr>
          <w:rFonts w:ascii="Century Gothic" w:hAnsi="Century Gothic" w:cstheme="minorHAnsi"/>
          <w:sz w:val="24"/>
          <w:szCs w:val="24"/>
        </w:rPr>
        <w:t xml:space="preserve">la fecha </w:t>
      </w:r>
      <w:r>
        <w:rPr>
          <w:rFonts w:ascii="Century Gothic" w:hAnsi="Century Gothic" w:cstheme="minorHAnsi"/>
          <w:sz w:val="24"/>
          <w:szCs w:val="24"/>
        </w:rPr>
        <w:t xml:space="preserve">se tiene registro de </w:t>
      </w:r>
      <w:r w:rsidR="00E1423E">
        <w:rPr>
          <w:rFonts w:ascii="Century Gothic" w:hAnsi="Century Gothic" w:cstheme="minorHAnsi"/>
          <w:sz w:val="24"/>
          <w:szCs w:val="24"/>
        </w:rPr>
        <w:t xml:space="preserve">63 </w:t>
      </w:r>
      <w:r w:rsidR="00BA040F" w:rsidRPr="00BA040F">
        <w:rPr>
          <w:rFonts w:ascii="Century Gothic" w:hAnsi="Century Gothic" w:cstheme="minorHAnsi"/>
          <w:sz w:val="24"/>
          <w:szCs w:val="24"/>
        </w:rPr>
        <w:t xml:space="preserve">personas gays, lesbianas, bisexuales y trans, </w:t>
      </w:r>
      <w:r>
        <w:rPr>
          <w:rFonts w:ascii="Century Gothic" w:hAnsi="Century Gothic" w:cstheme="minorHAnsi"/>
          <w:sz w:val="24"/>
          <w:szCs w:val="24"/>
        </w:rPr>
        <w:t xml:space="preserve">que </w:t>
      </w:r>
      <w:r w:rsidR="00BA040F" w:rsidRPr="00BA040F">
        <w:rPr>
          <w:rFonts w:ascii="Century Gothic" w:hAnsi="Century Gothic" w:cstheme="minorHAnsi"/>
          <w:sz w:val="24"/>
          <w:szCs w:val="24"/>
        </w:rPr>
        <w:t xml:space="preserve">han sido atendidas por </w:t>
      </w:r>
      <w:r w:rsidR="00B76F89">
        <w:rPr>
          <w:rFonts w:ascii="Century Gothic" w:hAnsi="Century Gothic" w:cstheme="minorHAnsi"/>
          <w:sz w:val="24"/>
          <w:szCs w:val="24"/>
        </w:rPr>
        <w:t xml:space="preserve">diversos organismos, como </w:t>
      </w:r>
      <w:r w:rsidR="00BA040F" w:rsidRPr="00BA040F">
        <w:rPr>
          <w:rFonts w:ascii="Century Gothic" w:hAnsi="Century Gothic" w:cstheme="minorHAnsi"/>
          <w:sz w:val="24"/>
          <w:szCs w:val="24"/>
        </w:rPr>
        <w:t xml:space="preserve">el Comité de la Diversidad Sexual de Chihuahua, Pro TRANS, Unión y Fuerza de Mujeres Trans, Cheros AC, Género Sin Frontera, y Colegach. Estos casos </w:t>
      </w:r>
      <w:r w:rsidR="00B76F89">
        <w:rPr>
          <w:rFonts w:ascii="Century Gothic" w:hAnsi="Century Gothic" w:cstheme="minorHAnsi"/>
          <w:sz w:val="24"/>
          <w:szCs w:val="24"/>
        </w:rPr>
        <w:t>se han identificado en</w:t>
      </w:r>
      <w:r w:rsidR="00BA040F" w:rsidRPr="00BA040F">
        <w:rPr>
          <w:rFonts w:ascii="Century Gothic" w:hAnsi="Century Gothic" w:cstheme="minorHAnsi"/>
          <w:sz w:val="24"/>
          <w:szCs w:val="24"/>
        </w:rPr>
        <w:t xml:space="preserve"> Ciudad Juárez, </w:t>
      </w:r>
      <w:r w:rsidR="00B76F89">
        <w:rPr>
          <w:rFonts w:ascii="Century Gothic" w:hAnsi="Century Gothic" w:cstheme="minorHAnsi"/>
          <w:sz w:val="24"/>
          <w:szCs w:val="24"/>
        </w:rPr>
        <w:t>en la ciudad de Chihuahua</w:t>
      </w:r>
      <w:r w:rsidR="00BA040F" w:rsidRPr="00BA040F">
        <w:rPr>
          <w:rFonts w:ascii="Century Gothic" w:hAnsi="Century Gothic" w:cstheme="minorHAnsi"/>
          <w:sz w:val="24"/>
          <w:szCs w:val="24"/>
        </w:rPr>
        <w:t xml:space="preserve">, Delicias, Cuauhtémoc y Camargo. Sin embargo, se </w:t>
      </w:r>
      <w:r w:rsidR="00B76F89">
        <w:rPr>
          <w:rFonts w:ascii="Century Gothic" w:hAnsi="Century Gothic" w:cstheme="minorHAnsi"/>
          <w:sz w:val="24"/>
          <w:szCs w:val="24"/>
        </w:rPr>
        <w:t>sabe</w:t>
      </w:r>
      <w:r w:rsidR="00BA040F" w:rsidRPr="00BA040F">
        <w:rPr>
          <w:rFonts w:ascii="Century Gothic" w:hAnsi="Century Gothic" w:cstheme="minorHAnsi"/>
          <w:sz w:val="24"/>
          <w:szCs w:val="24"/>
        </w:rPr>
        <w:t xml:space="preserve"> que es algo que sucede en toda la entidad.</w:t>
      </w:r>
      <w:r w:rsidR="00A16AE0">
        <w:rPr>
          <w:rFonts w:ascii="Century Gothic" w:hAnsi="Century Gothic" w:cstheme="minorHAnsi"/>
          <w:sz w:val="24"/>
          <w:szCs w:val="24"/>
        </w:rPr>
        <w:t xml:space="preserve"> </w:t>
      </w:r>
      <w:r w:rsidR="00B66504">
        <w:rPr>
          <w:rFonts w:ascii="Century Gothic" w:hAnsi="Century Gothic" w:cstheme="minorHAnsi"/>
          <w:sz w:val="24"/>
          <w:szCs w:val="24"/>
        </w:rPr>
        <w:t xml:space="preserve">Dichas víctimas han </w:t>
      </w:r>
      <w:r w:rsidR="00B66504" w:rsidRPr="00B66504">
        <w:rPr>
          <w:rFonts w:ascii="Century Gothic" w:hAnsi="Century Gothic" w:cstheme="minorHAnsi"/>
          <w:sz w:val="24"/>
          <w:szCs w:val="24"/>
        </w:rPr>
        <w:t>sido apoyadas por estos organismos, con refugio y tratamiento psicológico.</w:t>
      </w:r>
      <w:r w:rsidR="00B66504">
        <w:rPr>
          <w:rFonts w:ascii="Century Gothic" w:hAnsi="Century Gothic" w:cstheme="minorHAnsi"/>
          <w:sz w:val="24"/>
          <w:szCs w:val="24"/>
        </w:rPr>
        <w:t xml:space="preserve"> En Chihuahua, e</w:t>
      </w:r>
      <w:r w:rsidR="00B76F89">
        <w:rPr>
          <w:rFonts w:ascii="Century Gothic" w:hAnsi="Century Gothic" w:cstheme="minorHAnsi"/>
          <w:sz w:val="24"/>
          <w:szCs w:val="24"/>
        </w:rPr>
        <w:t>xisten</w:t>
      </w:r>
      <w:r w:rsidR="00A16AE0">
        <w:rPr>
          <w:rFonts w:ascii="Century Gothic" w:hAnsi="Century Gothic" w:cstheme="minorHAnsi"/>
          <w:sz w:val="24"/>
          <w:szCs w:val="24"/>
        </w:rPr>
        <w:t xml:space="preserve"> centenares de casos que no son de</w:t>
      </w:r>
      <w:r w:rsidR="00B76F89">
        <w:rPr>
          <w:rFonts w:ascii="Century Gothic" w:hAnsi="Century Gothic" w:cstheme="minorHAnsi"/>
          <w:sz w:val="24"/>
          <w:szCs w:val="24"/>
        </w:rPr>
        <w:t>l</w:t>
      </w:r>
      <w:r w:rsidR="00A16AE0">
        <w:rPr>
          <w:rFonts w:ascii="Century Gothic" w:hAnsi="Century Gothic" w:cstheme="minorHAnsi"/>
          <w:sz w:val="24"/>
          <w:szCs w:val="24"/>
        </w:rPr>
        <w:t xml:space="preserve"> conocimiento de los colectivos </w:t>
      </w:r>
      <w:r w:rsidR="00B76F89">
        <w:rPr>
          <w:rFonts w:ascii="Century Gothic" w:hAnsi="Century Gothic" w:cstheme="minorHAnsi"/>
          <w:sz w:val="24"/>
          <w:szCs w:val="24"/>
        </w:rPr>
        <w:t>y</w:t>
      </w:r>
      <w:r w:rsidR="00A16AE0">
        <w:rPr>
          <w:rFonts w:ascii="Century Gothic" w:hAnsi="Century Gothic" w:cstheme="minorHAnsi"/>
          <w:sz w:val="24"/>
          <w:szCs w:val="24"/>
        </w:rPr>
        <w:t xml:space="preserve"> las instituciones, por temor o vergüenza</w:t>
      </w:r>
      <w:r w:rsidR="009C758C">
        <w:rPr>
          <w:rFonts w:ascii="Century Gothic" w:hAnsi="Century Gothic" w:cstheme="minorHAnsi"/>
          <w:sz w:val="24"/>
          <w:szCs w:val="24"/>
        </w:rPr>
        <w:t xml:space="preserve"> de las víctimas. </w:t>
      </w:r>
    </w:p>
    <w:p w14:paraId="47F3D341" w14:textId="6FFC36A8" w:rsidR="00383163" w:rsidRDefault="00B66504" w:rsidP="00BA040F">
      <w:pPr>
        <w:spacing w:before="80" w:afterLines="80" w:after="192" w:line="360" w:lineRule="auto"/>
        <w:jc w:val="both"/>
        <w:rPr>
          <w:rFonts w:ascii="Century Gothic" w:hAnsi="Century Gothic" w:cstheme="minorHAnsi"/>
          <w:sz w:val="24"/>
          <w:szCs w:val="24"/>
        </w:rPr>
      </w:pPr>
      <w:r w:rsidRPr="00B66504">
        <w:rPr>
          <w:rFonts w:ascii="Century Gothic" w:hAnsi="Century Gothic" w:cstheme="minorHAnsi"/>
          <w:sz w:val="24"/>
          <w:szCs w:val="24"/>
        </w:rPr>
        <w:t xml:space="preserve">La </w:t>
      </w:r>
      <w:r w:rsidR="00B76F89" w:rsidRPr="00B66504">
        <w:rPr>
          <w:rFonts w:ascii="Century Gothic" w:hAnsi="Century Gothic" w:cstheme="minorHAnsi"/>
          <w:sz w:val="24"/>
          <w:szCs w:val="24"/>
        </w:rPr>
        <w:t xml:space="preserve"> </w:t>
      </w:r>
      <w:r w:rsidR="00BA040F" w:rsidRPr="00B66504">
        <w:rPr>
          <w:rFonts w:ascii="Century Gothic" w:hAnsi="Century Gothic" w:cstheme="minorHAnsi"/>
          <w:sz w:val="24"/>
          <w:szCs w:val="24"/>
        </w:rPr>
        <w:t xml:space="preserve">homofobia, lesbofobia, bifobia y transfobia </w:t>
      </w:r>
      <w:r w:rsidRPr="00B66504">
        <w:rPr>
          <w:rFonts w:ascii="Century Gothic" w:hAnsi="Century Gothic" w:cstheme="minorHAnsi"/>
          <w:sz w:val="24"/>
          <w:szCs w:val="24"/>
        </w:rPr>
        <w:t xml:space="preserve">ha afectado a </w:t>
      </w:r>
      <w:r w:rsidR="00AC4E14" w:rsidRPr="00B66504">
        <w:rPr>
          <w:rFonts w:ascii="Century Gothic" w:hAnsi="Century Gothic" w:cstheme="minorHAnsi"/>
          <w:sz w:val="24"/>
          <w:szCs w:val="24"/>
        </w:rPr>
        <w:t>una gran proporción de la población chihuahuense</w:t>
      </w:r>
      <w:r w:rsidR="00BA040F" w:rsidRPr="00B66504">
        <w:rPr>
          <w:rFonts w:ascii="Century Gothic" w:hAnsi="Century Gothic" w:cstheme="minorHAnsi"/>
          <w:sz w:val="24"/>
          <w:szCs w:val="24"/>
        </w:rPr>
        <w:t>.</w:t>
      </w:r>
      <w:r w:rsidR="00524EC9">
        <w:rPr>
          <w:rFonts w:ascii="Century Gothic" w:hAnsi="Century Gothic" w:cstheme="minorHAnsi"/>
          <w:sz w:val="24"/>
          <w:szCs w:val="24"/>
        </w:rPr>
        <w:t xml:space="preserve"> </w:t>
      </w:r>
      <w:r w:rsidR="00BA040F" w:rsidRPr="00BA040F">
        <w:rPr>
          <w:rFonts w:ascii="Century Gothic" w:hAnsi="Century Gothic" w:cstheme="minorHAnsi"/>
          <w:sz w:val="24"/>
          <w:szCs w:val="24"/>
        </w:rPr>
        <w:t>Esto no es un asunto</w:t>
      </w:r>
      <w:r w:rsidR="009C758C">
        <w:rPr>
          <w:rFonts w:ascii="Century Gothic" w:hAnsi="Century Gothic" w:cstheme="minorHAnsi"/>
          <w:sz w:val="24"/>
          <w:szCs w:val="24"/>
        </w:rPr>
        <w:t xml:space="preserve"> ajeno a todas y todos nosotros, </w:t>
      </w:r>
      <w:r w:rsidR="00BA040F" w:rsidRPr="00BA040F">
        <w:rPr>
          <w:rFonts w:ascii="Century Gothic" w:hAnsi="Century Gothic" w:cstheme="minorHAnsi"/>
          <w:sz w:val="24"/>
          <w:szCs w:val="24"/>
        </w:rPr>
        <w:t>es algo que está sucediendo en nuestras familias, con nuestros vecinos, con nuestras amistades. Estas pseudoterapias lejos de ayudar, destruyen</w:t>
      </w:r>
      <w:r>
        <w:rPr>
          <w:rFonts w:ascii="Century Gothic" w:hAnsi="Century Gothic" w:cstheme="minorHAnsi"/>
          <w:sz w:val="24"/>
          <w:szCs w:val="24"/>
        </w:rPr>
        <w:t xml:space="preserve"> personas y</w:t>
      </w:r>
      <w:r w:rsidR="00BA040F" w:rsidRPr="00BA040F">
        <w:rPr>
          <w:rFonts w:ascii="Century Gothic" w:hAnsi="Century Gothic" w:cstheme="minorHAnsi"/>
          <w:sz w:val="24"/>
          <w:szCs w:val="24"/>
        </w:rPr>
        <w:t xml:space="preserve"> famil</w:t>
      </w:r>
      <w:r>
        <w:rPr>
          <w:rFonts w:ascii="Century Gothic" w:hAnsi="Century Gothic" w:cstheme="minorHAnsi"/>
          <w:sz w:val="24"/>
          <w:szCs w:val="24"/>
        </w:rPr>
        <w:t>ias chihuahuenses, p</w:t>
      </w:r>
      <w:r w:rsidR="00BA040F" w:rsidRPr="00BA040F">
        <w:rPr>
          <w:rFonts w:ascii="Century Gothic" w:hAnsi="Century Gothic" w:cstheme="minorHAnsi"/>
          <w:sz w:val="24"/>
          <w:szCs w:val="24"/>
        </w:rPr>
        <w:t xml:space="preserve">or eso es importante </w:t>
      </w:r>
      <w:r w:rsidR="00383163">
        <w:rPr>
          <w:rFonts w:ascii="Century Gothic" w:hAnsi="Century Gothic" w:cstheme="minorHAnsi"/>
          <w:sz w:val="24"/>
          <w:szCs w:val="24"/>
        </w:rPr>
        <w:t>identificarlas y prohibirlas.</w:t>
      </w:r>
    </w:p>
    <w:p w14:paraId="39C9C743" w14:textId="77777777" w:rsidR="00383163" w:rsidRPr="00B83766" w:rsidRDefault="00383163" w:rsidP="00BA040F">
      <w:pPr>
        <w:spacing w:before="80" w:afterLines="80" w:after="192" w:line="360" w:lineRule="auto"/>
        <w:jc w:val="both"/>
        <w:rPr>
          <w:rFonts w:ascii="Century Gothic" w:hAnsi="Century Gothic" w:cstheme="minorHAnsi"/>
          <w:sz w:val="24"/>
          <w:szCs w:val="24"/>
        </w:rPr>
      </w:pPr>
    </w:p>
    <w:p w14:paraId="48540FEE" w14:textId="77777777" w:rsidR="004F08C8" w:rsidRPr="004F08C8" w:rsidRDefault="004F08C8" w:rsidP="00843D7C">
      <w:pPr>
        <w:pStyle w:val="NormalWeb"/>
        <w:numPr>
          <w:ilvl w:val="0"/>
          <w:numId w:val="7"/>
        </w:numPr>
        <w:shd w:val="clear" w:color="auto" w:fill="FFFFFF"/>
        <w:spacing w:beforeLines="80" w:before="192" w:beforeAutospacing="0" w:after="80" w:afterAutospacing="0" w:line="360" w:lineRule="auto"/>
        <w:jc w:val="both"/>
        <w:textAlignment w:val="baseline"/>
        <w:rPr>
          <w:rFonts w:ascii="Century Gothic" w:hAnsi="Century Gothic" w:cstheme="minorHAnsi"/>
          <w:b/>
        </w:rPr>
      </w:pPr>
      <w:r w:rsidRPr="004F08C8">
        <w:rPr>
          <w:rFonts w:ascii="Century Gothic" w:hAnsi="Century Gothic" w:cstheme="minorHAnsi"/>
          <w:b/>
        </w:rPr>
        <w:t>Derechos humanos vulnerados</w:t>
      </w:r>
    </w:p>
    <w:p w14:paraId="5BF40828" w14:textId="77777777" w:rsidR="004F08C8" w:rsidRPr="004F08C8" w:rsidRDefault="004F08C8" w:rsidP="00843D7C">
      <w:pPr>
        <w:pStyle w:val="NormalWeb"/>
        <w:shd w:val="clear" w:color="auto" w:fill="FFFFFF"/>
        <w:spacing w:beforeLines="80" w:before="192" w:beforeAutospacing="0" w:after="80" w:afterAutospacing="0" w:line="360" w:lineRule="auto"/>
        <w:jc w:val="both"/>
        <w:textAlignment w:val="baseline"/>
        <w:rPr>
          <w:rFonts w:ascii="Century Gothic" w:hAnsi="Century Gothic" w:cstheme="minorHAnsi"/>
        </w:rPr>
      </w:pPr>
      <w:r w:rsidRPr="004F08C8">
        <w:rPr>
          <w:rFonts w:ascii="Century Gothic" w:hAnsi="Century Gothic" w:cstheme="minorHAnsi"/>
        </w:rPr>
        <w:t xml:space="preserve">Los ECOSIG son prácticas muy comunes -no normales- que vulneran los siguientes derechos humanos: </w:t>
      </w:r>
    </w:p>
    <w:p w14:paraId="3BE9D98C" w14:textId="659B2EEF" w:rsidR="004F08C8" w:rsidRPr="004F08C8" w:rsidRDefault="004F08C8" w:rsidP="00843D7C">
      <w:pPr>
        <w:pStyle w:val="NormalWeb"/>
        <w:shd w:val="clear" w:color="auto" w:fill="FFFFFF"/>
        <w:spacing w:beforeLines="80" w:before="192" w:beforeAutospacing="0" w:after="80" w:afterAutospacing="0" w:line="360" w:lineRule="auto"/>
        <w:ind w:left="708"/>
        <w:jc w:val="both"/>
        <w:textAlignment w:val="baseline"/>
        <w:rPr>
          <w:rFonts w:ascii="Century Gothic" w:hAnsi="Century Gothic" w:cstheme="minorHAnsi"/>
        </w:rPr>
      </w:pPr>
      <w:r w:rsidRPr="004F08C8">
        <w:rPr>
          <w:rFonts w:ascii="Century Gothic" w:hAnsi="Century Gothic" w:cstheme="minorHAnsi"/>
          <w:b/>
        </w:rPr>
        <w:t>Derecho a la no discriminación</w:t>
      </w:r>
      <w:r w:rsidRPr="004F08C8">
        <w:rPr>
          <w:rFonts w:ascii="Century Gothic" w:hAnsi="Century Gothic" w:cstheme="minorHAnsi"/>
        </w:rPr>
        <w:t xml:space="preserve">. Previsto en los artículos 1 de la Constitución Política de los Estados Unidos Mexicanos, 1 y 24 de la Convención Americana sobre Derechos Humanos, 2 y 26 del Pacto Internacional de Derechos Civiles y Políticos, 2 del Pacto Internacional de Derechos Económicos, Sociales y Culturales y Principio 2 de Principios de Yogyakarta. La aplicación del derecho internacional de los derechos humanos se guía por los principios fundamentales de universalidad, igualdad y no discriminación. </w:t>
      </w:r>
      <w:r w:rsidR="00E207AA">
        <w:rPr>
          <w:rFonts w:ascii="Century Gothic" w:hAnsi="Century Gothic" w:cstheme="minorHAnsi"/>
        </w:rPr>
        <w:t xml:space="preserve">Los ECOSIG </w:t>
      </w:r>
      <w:r w:rsidRPr="004F08C8">
        <w:rPr>
          <w:rFonts w:ascii="Century Gothic" w:hAnsi="Century Gothic" w:cstheme="minorHAnsi"/>
        </w:rPr>
        <w:t>están dirigidas a un grupo concreto de personas únicamente en razón de su orientación sexual e identidad de género con el objetivo específico de interferir en su integridad y autonomía personales.</w:t>
      </w:r>
    </w:p>
    <w:p w14:paraId="154BA2BC" w14:textId="5AD5F93D" w:rsidR="004F08C8" w:rsidRPr="004F08C8" w:rsidRDefault="004F08C8" w:rsidP="00843D7C">
      <w:pPr>
        <w:pStyle w:val="NormalWeb"/>
        <w:shd w:val="clear" w:color="auto" w:fill="FFFFFF"/>
        <w:spacing w:beforeLines="80" w:before="192" w:beforeAutospacing="0" w:after="80" w:afterAutospacing="0" w:line="360" w:lineRule="auto"/>
        <w:ind w:left="708"/>
        <w:jc w:val="both"/>
        <w:textAlignment w:val="baseline"/>
        <w:rPr>
          <w:rFonts w:ascii="Century Gothic" w:hAnsi="Century Gothic" w:cstheme="minorHAnsi"/>
        </w:rPr>
      </w:pPr>
      <w:r w:rsidRPr="004F08C8">
        <w:rPr>
          <w:rFonts w:ascii="Century Gothic" w:hAnsi="Century Gothic" w:cstheme="minorHAnsi"/>
          <w:b/>
        </w:rPr>
        <w:t>Derecho a la salud</w:t>
      </w:r>
      <w:r w:rsidRPr="004F08C8">
        <w:rPr>
          <w:rFonts w:ascii="Century Gothic" w:hAnsi="Century Gothic" w:cstheme="minorHAnsi"/>
          <w:i/>
        </w:rPr>
        <w:t xml:space="preserve">. </w:t>
      </w:r>
      <w:r w:rsidRPr="004F08C8">
        <w:rPr>
          <w:rFonts w:ascii="Century Gothic" w:hAnsi="Century Gothic" w:cstheme="minorHAnsi"/>
        </w:rPr>
        <w:t>Previsto en los artículos 1 y 4 de la Constitución Política de los Estados Unidos Mexicanos, 26 de la Convención Americana sobre Derechos Humanos, 12 del Pacto Internacional de Derechos Económicos, Sociales y Culturales, 1</w:t>
      </w:r>
      <w:r w:rsidR="00093EFB">
        <w:rPr>
          <w:rFonts w:ascii="Century Gothic" w:hAnsi="Century Gothic" w:cstheme="minorHAnsi"/>
        </w:rPr>
        <w:t>0</w:t>
      </w:r>
      <w:r w:rsidRPr="004F08C8">
        <w:rPr>
          <w:rFonts w:ascii="Century Gothic" w:hAnsi="Century Gothic" w:cstheme="minorHAnsi"/>
        </w:rPr>
        <w:t xml:space="preserve"> del Protocolo adicional a la Convención Americana sobre Derechos Humanos en Materia de Derechos Económicos, Sociales y Culturales y Principios 17 y 19 de los Principios de Yogyakarta, 17, 38, 44 y 45 de la Ley General de Salud, 71 y 75 del Reglamento en Materia de Prestación de Servicios y Atención Médica, 5.1.1 y 5.1.3 de la Norma Oficial Mexicana NOM 005-SSA2-1993, De los Servicios de Planificación Familiar, Artículos 6.1 y 6.2 de la Norma Oficial Mexicana NOM039-SSA2-2002, para la Prevención y control de las infecciones de transmisión sexual. Todas las personas, sin distinción alguna, deberían poder disfrutar del más alto nivel posible de salud física y mental. Además, el derecho a la salud sexual y reproductiva abarca el derecho de las personas a ser plenamente respetadas por su orientación sexual e identidad de género. A este respecto, el Comité de Derechos Económicos, Sociales y Culturales determinó que las normas que disponían que las personas lesbianas, gays, bisexuales, transgénero e intersexuales fueran tratadas como enfermos mentales o psiquiátricos, o fueran “curadas” mediante un “tratamiento”, constituían una clara violación de su derecho a la salud sexual y reproductiva.</w:t>
      </w:r>
    </w:p>
    <w:p w14:paraId="3062A1CE" w14:textId="7594E27A" w:rsidR="007C2FB0" w:rsidRDefault="004F08C8" w:rsidP="00427280">
      <w:pPr>
        <w:pStyle w:val="NormalWeb"/>
        <w:shd w:val="clear" w:color="auto" w:fill="FFFFFF"/>
        <w:spacing w:beforeLines="80" w:before="192" w:beforeAutospacing="0" w:after="80" w:afterAutospacing="0" w:line="360" w:lineRule="auto"/>
        <w:ind w:left="708"/>
        <w:jc w:val="both"/>
        <w:textAlignment w:val="baseline"/>
        <w:rPr>
          <w:rFonts w:ascii="Century Gothic" w:hAnsi="Century Gothic" w:cstheme="minorHAnsi"/>
        </w:rPr>
      </w:pPr>
      <w:r w:rsidRPr="004F08C8">
        <w:rPr>
          <w:rFonts w:ascii="Century Gothic" w:hAnsi="Century Gothic" w:cstheme="minorHAnsi"/>
          <w:b/>
        </w:rPr>
        <w:t>El derecho de toda persona a no ser sometida a torturas, ni a penas o tratos crueles, inhumanos o degradantes.</w:t>
      </w:r>
      <w:r w:rsidRPr="004F08C8">
        <w:rPr>
          <w:rFonts w:ascii="Century Gothic" w:hAnsi="Century Gothic" w:cstheme="minorHAnsi"/>
        </w:rPr>
        <w:t xml:space="preserve"> Previsto en los artículos 5 de la Declaración Universal de Derechos Humanos, 5 de la Convención Americana Sobre Derechos Humanos, 7 del Pacto Internacional de Derechos Civiles y Políticos. Distintas entidades de las Naciones Unidas y mecanismos de derechos humanos han expresado preocupación por las “terapias de conversión”, y los mecanismos de las Naciones Unidas de lucha contra la tortura han concluido que esas prácticas pueden equivaler a tortura u otros tratos crueles, inhumanos o degradantes. </w:t>
      </w:r>
    </w:p>
    <w:p w14:paraId="6BC15F4C" w14:textId="77777777" w:rsidR="00427280" w:rsidRDefault="00427280" w:rsidP="00427280">
      <w:pPr>
        <w:pStyle w:val="NormalWeb"/>
        <w:shd w:val="clear" w:color="auto" w:fill="FFFFFF"/>
        <w:spacing w:beforeLines="80" w:before="192" w:beforeAutospacing="0" w:after="80" w:afterAutospacing="0" w:line="360" w:lineRule="auto"/>
        <w:ind w:left="708"/>
        <w:jc w:val="both"/>
        <w:textAlignment w:val="baseline"/>
        <w:rPr>
          <w:rFonts w:ascii="Century Gothic" w:hAnsi="Century Gothic" w:cstheme="minorHAnsi"/>
        </w:rPr>
      </w:pPr>
    </w:p>
    <w:p w14:paraId="7E118772" w14:textId="1B9B408C" w:rsidR="007B74E0" w:rsidRDefault="00B4759E" w:rsidP="00843D7C">
      <w:pPr>
        <w:spacing w:beforeLines="80" w:before="192" w:after="80" w:line="360" w:lineRule="auto"/>
        <w:jc w:val="both"/>
        <w:rPr>
          <w:rFonts w:ascii="Century Gothic" w:hAnsi="Century Gothic" w:cstheme="minorHAnsi"/>
          <w:sz w:val="24"/>
          <w:szCs w:val="24"/>
        </w:rPr>
      </w:pPr>
      <w:r>
        <w:rPr>
          <w:rFonts w:ascii="Century Gothic" w:hAnsi="Century Gothic" w:cstheme="minorHAnsi"/>
          <w:sz w:val="24"/>
          <w:szCs w:val="24"/>
        </w:rPr>
        <w:t>Tanto los</w:t>
      </w:r>
      <w:r w:rsidR="004F08C8" w:rsidRPr="004F08C8">
        <w:rPr>
          <w:rFonts w:ascii="Century Gothic" w:hAnsi="Century Gothic" w:cstheme="minorHAnsi"/>
          <w:sz w:val="24"/>
          <w:szCs w:val="24"/>
        </w:rPr>
        <w:t xml:space="preserve"> sectores público y privado deben proteger los derechos asociados a la construcción del proyecto de vida de las personas LGBTTTI, alertar sobre la crisis de vulneración de derechos humanos de esta población, invitar a la reflexión sobre estas problemáticas y sumarse a la promoción del respeto a la dignidad y libertades de las personas. Dado que la homosexualidad y transexualidad no son enfermedades, se debe impulsar la existencia de sanciones claras y firmes para las personas que impartan o promuevan los ECOSIG que violan los derechos humanos de las personas LGBTTT</w:t>
      </w:r>
      <w:r w:rsidR="00E30EFD">
        <w:rPr>
          <w:rFonts w:ascii="Century Gothic" w:hAnsi="Century Gothic" w:cstheme="minorHAnsi"/>
          <w:sz w:val="24"/>
          <w:szCs w:val="24"/>
        </w:rPr>
        <w:t>I</w:t>
      </w:r>
      <w:r w:rsidR="004F08C8" w:rsidRPr="004F08C8">
        <w:rPr>
          <w:rFonts w:ascii="Century Gothic" w:hAnsi="Century Gothic" w:cstheme="minorHAnsi"/>
          <w:sz w:val="24"/>
          <w:szCs w:val="24"/>
        </w:rPr>
        <w:t xml:space="preserve">. </w:t>
      </w:r>
    </w:p>
    <w:p w14:paraId="63D2A197" w14:textId="5DFE9CCD" w:rsidR="004F08C8" w:rsidRPr="004F08C8" w:rsidRDefault="004F08C8" w:rsidP="00843D7C">
      <w:pPr>
        <w:spacing w:beforeLines="80" w:before="192" w:after="80" w:line="360" w:lineRule="auto"/>
        <w:jc w:val="both"/>
        <w:rPr>
          <w:rFonts w:ascii="Century Gothic" w:hAnsi="Century Gothic" w:cstheme="minorHAnsi"/>
          <w:sz w:val="24"/>
          <w:szCs w:val="24"/>
        </w:rPr>
      </w:pPr>
      <w:r w:rsidRPr="004F08C8">
        <w:rPr>
          <w:rFonts w:ascii="Century Gothic" w:hAnsi="Century Gothic" w:cstheme="minorHAnsi"/>
          <w:sz w:val="24"/>
          <w:szCs w:val="24"/>
        </w:rPr>
        <w:t xml:space="preserve">El Estado de Chihuahua tiene la obligación de legislar con enfoque antidiscriminatorio para prohibir </w:t>
      </w:r>
      <w:r w:rsidR="00E30EFD">
        <w:rPr>
          <w:rFonts w:ascii="Century Gothic" w:hAnsi="Century Gothic" w:cstheme="minorHAnsi"/>
          <w:sz w:val="24"/>
          <w:szCs w:val="24"/>
        </w:rPr>
        <w:t>estas</w:t>
      </w:r>
      <w:r w:rsidRPr="004F08C8">
        <w:rPr>
          <w:rFonts w:ascii="Century Gothic" w:hAnsi="Century Gothic" w:cstheme="minorHAnsi"/>
          <w:sz w:val="24"/>
          <w:szCs w:val="24"/>
        </w:rPr>
        <w:t xml:space="preserve"> práctica</w:t>
      </w:r>
      <w:r w:rsidR="00E30EFD">
        <w:rPr>
          <w:rFonts w:ascii="Century Gothic" w:hAnsi="Century Gothic" w:cstheme="minorHAnsi"/>
          <w:sz w:val="24"/>
          <w:szCs w:val="24"/>
        </w:rPr>
        <w:t>s</w:t>
      </w:r>
      <w:r w:rsidRPr="004F08C8">
        <w:rPr>
          <w:rFonts w:ascii="Century Gothic" w:hAnsi="Century Gothic" w:cstheme="minorHAnsi"/>
          <w:sz w:val="24"/>
          <w:szCs w:val="24"/>
        </w:rPr>
        <w:t>, ya que tienen por objeto la restricción o el menoscabo de los derechos humanos, y siendo mayormente reprochable cuando tales prácticas se dirigen o aplican en personas con</w:t>
      </w:r>
      <w:r w:rsidR="00B5649E">
        <w:rPr>
          <w:rFonts w:ascii="Century Gothic" w:hAnsi="Century Gothic" w:cstheme="minorHAnsi"/>
          <w:sz w:val="24"/>
          <w:szCs w:val="24"/>
        </w:rPr>
        <w:t xml:space="preserve"> vulnerabilidad agravada, tal son</w:t>
      </w:r>
      <w:r w:rsidRPr="004F08C8">
        <w:rPr>
          <w:rFonts w:ascii="Century Gothic" w:hAnsi="Century Gothic" w:cstheme="minorHAnsi"/>
          <w:sz w:val="24"/>
          <w:szCs w:val="24"/>
        </w:rPr>
        <w:t xml:space="preserve"> </w:t>
      </w:r>
      <w:r w:rsidR="00B5649E" w:rsidRPr="004F08C8">
        <w:rPr>
          <w:rFonts w:ascii="Century Gothic" w:hAnsi="Century Gothic" w:cstheme="minorHAnsi"/>
          <w:sz w:val="24"/>
          <w:szCs w:val="24"/>
        </w:rPr>
        <w:t>los casos de niñas, niños y adolescentes</w:t>
      </w:r>
      <w:r w:rsidRPr="004F08C8">
        <w:rPr>
          <w:rFonts w:ascii="Century Gothic" w:hAnsi="Century Gothic" w:cstheme="minorHAnsi"/>
          <w:sz w:val="24"/>
          <w:szCs w:val="24"/>
        </w:rPr>
        <w:t xml:space="preserve">. </w:t>
      </w:r>
    </w:p>
    <w:p w14:paraId="6AFE253C" w14:textId="52E6372C" w:rsidR="00937C39" w:rsidRPr="007C2FB0" w:rsidRDefault="00FA411A" w:rsidP="007C2FB0">
      <w:pPr>
        <w:spacing w:beforeLines="80" w:before="192" w:after="80" w:line="360" w:lineRule="auto"/>
        <w:jc w:val="both"/>
        <w:rPr>
          <w:rFonts w:ascii="Century Gothic" w:hAnsi="Century Gothic" w:cstheme="minorHAnsi"/>
          <w:sz w:val="24"/>
          <w:szCs w:val="24"/>
        </w:rPr>
      </w:pPr>
      <w:r w:rsidRPr="00FA411A">
        <w:rPr>
          <w:rFonts w:ascii="Century Gothic" w:hAnsi="Century Gothic"/>
          <w:sz w:val="24"/>
          <w:szCs w:val="24"/>
        </w:rPr>
        <w:t xml:space="preserve">Los ECOSIG no son admisibles en una sociedad donde el faro que nos guía son los derechos humanos. </w:t>
      </w:r>
      <w:r w:rsidR="004F08C8" w:rsidRPr="00FA411A">
        <w:rPr>
          <w:rFonts w:ascii="Century Gothic" w:hAnsi="Century Gothic" w:cstheme="minorHAnsi"/>
          <w:sz w:val="24"/>
          <w:szCs w:val="24"/>
        </w:rPr>
        <w:t>Solamente a través de la inclusión de la diversidad sexual y de género en todos los espacios</w:t>
      </w:r>
      <w:r w:rsidR="004F08C8" w:rsidRPr="004F08C8">
        <w:rPr>
          <w:rFonts w:ascii="Century Gothic" w:hAnsi="Century Gothic" w:cstheme="minorHAnsi"/>
          <w:sz w:val="24"/>
          <w:szCs w:val="24"/>
        </w:rPr>
        <w:t xml:space="preserve"> es que lograremos crear una sociedad en donde todas las personas gocen del respeto a la dignidad y libre desarrollo de la personalidad, sin violencia y discriminación</w:t>
      </w:r>
      <w:r w:rsidR="00E207AA">
        <w:rPr>
          <w:rFonts w:ascii="Century Gothic" w:hAnsi="Century Gothic" w:cstheme="minorHAnsi"/>
          <w:sz w:val="24"/>
          <w:szCs w:val="24"/>
        </w:rPr>
        <w:t>.</w:t>
      </w:r>
      <w:r>
        <w:rPr>
          <w:rFonts w:ascii="Century Gothic" w:hAnsi="Century Gothic" w:cstheme="minorHAnsi"/>
          <w:sz w:val="24"/>
          <w:szCs w:val="24"/>
        </w:rPr>
        <w:t xml:space="preserve"> </w:t>
      </w:r>
    </w:p>
    <w:p w14:paraId="1829B354" w14:textId="12D15497" w:rsidR="00E207AA" w:rsidRDefault="0045240B" w:rsidP="00843D7C">
      <w:pPr>
        <w:pStyle w:val="NormalWeb"/>
        <w:shd w:val="clear" w:color="auto" w:fill="FDFDFD"/>
        <w:spacing w:before="0" w:beforeAutospacing="0" w:after="0" w:afterAutospacing="0" w:line="360" w:lineRule="auto"/>
        <w:jc w:val="both"/>
        <w:rPr>
          <w:rFonts w:ascii="Century Gothic" w:hAnsi="Century Gothic" w:cstheme="minorHAnsi"/>
        </w:rPr>
      </w:pPr>
      <w:r>
        <w:rPr>
          <w:rFonts w:ascii="Century Gothic" w:hAnsi="Century Gothic" w:cstheme="minorHAnsi"/>
        </w:rPr>
        <w:t xml:space="preserve">Por lo anteriormente expuesto, con fundamento en lo </w:t>
      </w:r>
      <w:r w:rsidR="00306FE4">
        <w:rPr>
          <w:rFonts w:ascii="Century Gothic" w:hAnsi="Century Gothic" w:cstheme="minorHAnsi"/>
        </w:rPr>
        <w:t>establece</w:t>
      </w:r>
      <w:r>
        <w:rPr>
          <w:rFonts w:ascii="Century Gothic" w:hAnsi="Century Gothic" w:cstheme="minorHAnsi"/>
        </w:rPr>
        <w:t xml:space="preserve">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 </w:t>
      </w:r>
    </w:p>
    <w:p w14:paraId="4DB20B85" w14:textId="77777777" w:rsidR="006F57F0" w:rsidRDefault="006F57F0" w:rsidP="0092285F">
      <w:pPr>
        <w:jc w:val="center"/>
        <w:rPr>
          <w:rFonts w:ascii="Century Gothic" w:hAnsi="Century Gothic" w:cs="Arial"/>
          <w:b/>
          <w:sz w:val="28"/>
          <w:szCs w:val="28"/>
          <w:shd w:val="clear" w:color="auto" w:fill="FFFFFF"/>
        </w:rPr>
      </w:pPr>
    </w:p>
    <w:p w14:paraId="4270D7A4" w14:textId="77777777" w:rsidR="006F57F0" w:rsidRDefault="006F57F0" w:rsidP="0092285F">
      <w:pPr>
        <w:jc w:val="center"/>
        <w:rPr>
          <w:rFonts w:ascii="Century Gothic" w:hAnsi="Century Gothic" w:cs="Arial"/>
          <w:b/>
          <w:sz w:val="28"/>
          <w:szCs w:val="28"/>
          <w:shd w:val="clear" w:color="auto" w:fill="FFFFFF"/>
        </w:rPr>
      </w:pPr>
    </w:p>
    <w:p w14:paraId="0897DCF7" w14:textId="07B5E5DB" w:rsidR="006017FC" w:rsidRPr="00E207AA" w:rsidRDefault="00772816" w:rsidP="0092285F">
      <w:pPr>
        <w:jc w:val="center"/>
        <w:rPr>
          <w:rFonts w:ascii="Century Gothic" w:hAnsi="Century Gothic" w:cs="Arial"/>
          <w:b/>
          <w:sz w:val="28"/>
          <w:szCs w:val="28"/>
          <w:shd w:val="clear" w:color="auto" w:fill="FFFFFF"/>
        </w:rPr>
      </w:pPr>
      <w:r>
        <w:rPr>
          <w:rFonts w:ascii="Century Gothic" w:hAnsi="Century Gothic" w:cs="Arial"/>
          <w:b/>
          <w:sz w:val="28"/>
          <w:szCs w:val="28"/>
          <w:shd w:val="clear" w:color="auto" w:fill="FFFFFF"/>
        </w:rPr>
        <w:t>D E C R E T O</w:t>
      </w:r>
    </w:p>
    <w:p w14:paraId="4504A0CF" w14:textId="77777777" w:rsidR="006017FC" w:rsidRPr="006017FC" w:rsidRDefault="006017FC" w:rsidP="00843D7C">
      <w:pPr>
        <w:jc w:val="both"/>
        <w:rPr>
          <w:rFonts w:ascii="Century Gothic" w:hAnsi="Century Gothic" w:cs="Arial"/>
          <w:b/>
          <w:sz w:val="24"/>
          <w:szCs w:val="24"/>
          <w:shd w:val="clear" w:color="auto" w:fill="FFFFFF"/>
        </w:rPr>
      </w:pPr>
    </w:p>
    <w:p w14:paraId="51C29496" w14:textId="4644F232" w:rsidR="00080904" w:rsidRDefault="00EF5E46" w:rsidP="00843D7C">
      <w:pPr>
        <w:pStyle w:val="Prrafodelista"/>
        <w:spacing w:after="0" w:line="360" w:lineRule="auto"/>
        <w:ind w:left="0"/>
        <w:jc w:val="both"/>
        <w:rPr>
          <w:rFonts w:ascii="Century Gothic" w:hAnsi="Century Gothic" w:cstheme="minorHAnsi"/>
          <w:bCs/>
          <w:sz w:val="24"/>
          <w:szCs w:val="24"/>
        </w:rPr>
      </w:pPr>
      <w:r>
        <w:rPr>
          <w:rFonts w:ascii="Century Gothic" w:hAnsi="Century Gothic" w:cs="Arial"/>
          <w:b/>
          <w:sz w:val="28"/>
          <w:szCs w:val="28"/>
          <w:shd w:val="clear" w:color="auto" w:fill="FFFFFF"/>
        </w:rPr>
        <w:t xml:space="preserve">ARTÍCULO </w:t>
      </w:r>
      <w:r w:rsidR="00404D67" w:rsidRPr="002619B0">
        <w:rPr>
          <w:rFonts w:ascii="Century Gothic" w:hAnsi="Century Gothic" w:cs="Arial"/>
          <w:b/>
          <w:sz w:val="28"/>
          <w:szCs w:val="28"/>
          <w:shd w:val="clear" w:color="auto" w:fill="FFFFFF"/>
        </w:rPr>
        <w:t xml:space="preserve">ÚNICO. </w:t>
      </w:r>
      <w:r w:rsidR="004C2672" w:rsidRPr="002619B0">
        <w:rPr>
          <w:rFonts w:ascii="Century Gothic" w:hAnsi="Century Gothic" w:cs="Arial"/>
          <w:b/>
          <w:sz w:val="28"/>
          <w:szCs w:val="28"/>
          <w:shd w:val="clear" w:color="auto" w:fill="FFFFFF"/>
        </w:rPr>
        <w:t>–</w:t>
      </w:r>
      <w:r w:rsidR="00A5448E" w:rsidRPr="002619B0">
        <w:rPr>
          <w:rFonts w:ascii="Century Gothic" w:hAnsi="Century Gothic" w:cs="Arial"/>
          <w:b/>
          <w:sz w:val="28"/>
          <w:szCs w:val="28"/>
          <w:shd w:val="clear" w:color="auto" w:fill="FFFFFF"/>
        </w:rPr>
        <w:t xml:space="preserve"> </w:t>
      </w:r>
      <w:r w:rsidR="001421A7" w:rsidRPr="002619B0">
        <w:rPr>
          <w:rFonts w:ascii="Century Gothic" w:hAnsi="Century Gothic" w:cs="Arial"/>
          <w:sz w:val="24"/>
          <w:szCs w:val="24"/>
          <w:shd w:val="clear" w:color="auto" w:fill="FFFFFF"/>
        </w:rPr>
        <w:t>La Sexagésima Séptima</w:t>
      </w:r>
      <w:r w:rsidR="00A5448E" w:rsidRPr="002619B0">
        <w:rPr>
          <w:rFonts w:ascii="Century Gothic" w:hAnsi="Century Gothic" w:cs="Arial"/>
          <w:sz w:val="24"/>
          <w:szCs w:val="24"/>
          <w:shd w:val="clear" w:color="auto" w:fill="FFFFFF"/>
        </w:rPr>
        <w:t xml:space="preserve"> Legislatura del Estado Libre y </w:t>
      </w:r>
      <w:r w:rsidR="00E25065" w:rsidRPr="002619B0">
        <w:rPr>
          <w:rFonts w:ascii="Century Gothic" w:hAnsi="Century Gothic" w:cs="Arial"/>
          <w:sz w:val="24"/>
          <w:szCs w:val="24"/>
          <w:shd w:val="clear" w:color="auto" w:fill="FFFFFF"/>
        </w:rPr>
        <w:t>Soberano de Chihuahua</w:t>
      </w:r>
      <w:r w:rsidR="002619B0" w:rsidRPr="002619B0">
        <w:rPr>
          <w:rFonts w:ascii="Century Gothic" w:hAnsi="Century Gothic" w:cs="Arial"/>
          <w:sz w:val="24"/>
          <w:szCs w:val="24"/>
          <w:shd w:val="clear" w:color="auto" w:fill="FFFFFF"/>
        </w:rPr>
        <w:t xml:space="preserve"> </w:t>
      </w:r>
      <w:r w:rsidR="002619B0" w:rsidRPr="002619B0">
        <w:rPr>
          <w:rFonts w:ascii="Century Gothic" w:hAnsi="Century Gothic" w:cstheme="minorHAnsi"/>
          <w:bCs/>
          <w:sz w:val="24"/>
          <w:szCs w:val="24"/>
        </w:rPr>
        <w:t xml:space="preserve">adiciona </w:t>
      </w:r>
      <w:r w:rsidR="00536F31">
        <w:rPr>
          <w:rFonts w:ascii="Century Gothic" w:hAnsi="Century Gothic" w:cstheme="minorHAnsi"/>
          <w:bCs/>
          <w:sz w:val="24"/>
          <w:szCs w:val="24"/>
        </w:rPr>
        <w:t xml:space="preserve">el </w:t>
      </w:r>
      <w:r w:rsidR="00536F31" w:rsidRPr="00536F31">
        <w:rPr>
          <w:rFonts w:ascii="Century Gothic" w:hAnsi="Century Gothic" w:cstheme="minorHAnsi"/>
          <w:b/>
          <w:bCs/>
          <w:sz w:val="24"/>
          <w:szCs w:val="24"/>
        </w:rPr>
        <w:t>Capítulo IV Esfuerzos para Corregir la Orientación Sexual y la Identidad de Género</w:t>
      </w:r>
      <w:r w:rsidR="00536F31">
        <w:rPr>
          <w:rFonts w:ascii="Century Gothic" w:hAnsi="Century Gothic" w:cstheme="minorHAnsi"/>
          <w:b/>
          <w:bCs/>
          <w:sz w:val="24"/>
          <w:szCs w:val="24"/>
        </w:rPr>
        <w:t xml:space="preserve"> (ECOSIG)</w:t>
      </w:r>
      <w:r w:rsidR="00536F31">
        <w:rPr>
          <w:rFonts w:ascii="Century Gothic" w:hAnsi="Century Gothic" w:cstheme="minorHAnsi"/>
          <w:bCs/>
          <w:sz w:val="24"/>
          <w:szCs w:val="24"/>
        </w:rPr>
        <w:t xml:space="preserve">, y los artículos </w:t>
      </w:r>
      <w:r w:rsidR="00536F31" w:rsidRPr="00536F31">
        <w:rPr>
          <w:rFonts w:ascii="Century Gothic" w:hAnsi="Century Gothic" w:cstheme="minorHAnsi"/>
          <w:b/>
          <w:bCs/>
          <w:sz w:val="24"/>
          <w:szCs w:val="24"/>
        </w:rPr>
        <w:t xml:space="preserve">201 </w:t>
      </w:r>
      <w:r w:rsidR="002619B0" w:rsidRPr="00536F31">
        <w:rPr>
          <w:rFonts w:ascii="Century Gothic" w:hAnsi="Century Gothic" w:cstheme="minorHAnsi"/>
          <w:b/>
          <w:bCs/>
          <w:sz w:val="24"/>
          <w:szCs w:val="24"/>
        </w:rPr>
        <w:t>bis</w:t>
      </w:r>
      <w:r w:rsidR="00E30EFD">
        <w:rPr>
          <w:rFonts w:ascii="Century Gothic" w:hAnsi="Century Gothic" w:cstheme="minorHAnsi"/>
          <w:bCs/>
          <w:sz w:val="24"/>
          <w:szCs w:val="24"/>
        </w:rPr>
        <w:t xml:space="preserve">, </w:t>
      </w:r>
      <w:r w:rsidR="00536F31" w:rsidRPr="00536F31">
        <w:rPr>
          <w:rFonts w:ascii="Century Gothic" w:hAnsi="Century Gothic" w:cstheme="minorHAnsi"/>
          <w:b/>
          <w:bCs/>
          <w:sz w:val="24"/>
          <w:szCs w:val="24"/>
        </w:rPr>
        <w:t>201</w:t>
      </w:r>
      <w:r w:rsidR="00E30EFD" w:rsidRPr="00536F31">
        <w:rPr>
          <w:rFonts w:ascii="Century Gothic" w:hAnsi="Century Gothic" w:cstheme="minorHAnsi"/>
          <w:b/>
          <w:bCs/>
          <w:sz w:val="24"/>
          <w:szCs w:val="24"/>
        </w:rPr>
        <w:t xml:space="preserve"> ter</w:t>
      </w:r>
      <w:r w:rsidR="00E30EFD">
        <w:rPr>
          <w:rFonts w:ascii="Century Gothic" w:hAnsi="Century Gothic" w:cstheme="minorHAnsi"/>
          <w:bCs/>
          <w:sz w:val="24"/>
          <w:szCs w:val="24"/>
        </w:rPr>
        <w:t xml:space="preserve"> y </w:t>
      </w:r>
      <w:r w:rsidR="00536F31" w:rsidRPr="00536F31">
        <w:rPr>
          <w:rFonts w:ascii="Century Gothic" w:hAnsi="Century Gothic" w:cstheme="minorHAnsi"/>
          <w:b/>
          <w:bCs/>
          <w:sz w:val="24"/>
          <w:szCs w:val="24"/>
        </w:rPr>
        <w:t xml:space="preserve">201 </w:t>
      </w:r>
      <w:r w:rsidR="00E30EFD" w:rsidRPr="00536F31">
        <w:rPr>
          <w:rFonts w:ascii="Century Gothic" w:hAnsi="Century Gothic" w:cstheme="minorHAnsi"/>
          <w:b/>
          <w:bCs/>
          <w:sz w:val="24"/>
          <w:szCs w:val="24"/>
        </w:rPr>
        <w:t>quat</w:t>
      </w:r>
      <w:r w:rsidR="00AC6496" w:rsidRPr="00536F31">
        <w:rPr>
          <w:rFonts w:ascii="Century Gothic" w:hAnsi="Century Gothic" w:cstheme="minorHAnsi"/>
          <w:b/>
          <w:bCs/>
          <w:sz w:val="24"/>
          <w:szCs w:val="24"/>
        </w:rPr>
        <w:t>er</w:t>
      </w:r>
      <w:r w:rsidR="00AC6496">
        <w:rPr>
          <w:rFonts w:ascii="Century Gothic" w:hAnsi="Century Gothic" w:cstheme="minorHAnsi"/>
          <w:bCs/>
          <w:sz w:val="24"/>
          <w:szCs w:val="24"/>
        </w:rPr>
        <w:t xml:space="preserve"> </w:t>
      </w:r>
      <w:r w:rsidR="006F57F0">
        <w:rPr>
          <w:rFonts w:ascii="Century Gothic" w:hAnsi="Century Gothic" w:cstheme="minorHAnsi"/>
          <w:bCs/>
          <w:sz w:val="24"/>
          <w:szCs w:val="24"/>
        </w:rPr>
        <w:t>a</w:t>
      </w:r>
      <w:r w:rsidR="002619B0" w:rsidRPr="002619B0">
        <w:rPr>
          <w:rFonts w:ascii="Century Gothic" w:hAnsi="Century Gothic" w:cstheme="minorHAnsi"/>
          <w:bCs/>
          <w:sz w:val="24"/>
          <w:szCs w:val="24"/>
        </w:rPr>
        <w:t xml:space="preserve">l Código Penal del Estado de Chihuahua </w:t>
      </w:r>
      <w:r w:rsidR="002C4850" w:rsidRPr="002619B0">
        <w:rPr>
          <w:rFonts w:ascii="Century Gothic" w:hAnsi="Century Gothic" w:cstheme="minorHAnsi"/>
          <w:bCs/>
          <w:sz w:val="24"/>
          <w:szCs w:val="24"/>
        </w:rPr>
        <w:t>para quedar redactados de la siguiente manera:</w:t>
      </w:r>
    </w:p>
    <w:p w14:paraId="07302314" w14:textId="77777777" w:rsidR="00536F31" w:rsidRDefault="00536F31" w:rsidP="00843D7C">
      <w:pPr>
        <w:pStyle w:val="Prrafodelista"/>
        <w:spacing w:after="0" w:line="360" w:lineRule="auto"/>
        <w:ind w:left="0"/>
        <w:jc w:val="both"/>
        <w:rPr>
          <w:rFonts w:ascii="Century Gothic" w:hAnsi="Century Gothic" w:cstheme="minorHAnsi"/>
          <w:bCs/>
          <w:sz w:val="24"/>
          <w:szCs w:val="24"/>
        </w:rPr>
      </w:pPr>
    </w:p>
    <w:p w14:paraId="19854C11" w14:textId="77777777" w:rsidR="006F57F0" w:rsidRDefault="006F57F0" w:rsidP="00843D7C">
      <w:pPr>
        <w:pStyle w:val="Prrafodelista"/>
        <w:spacing w:after="0" w:line="360" w:lineRule="auto"/>
        <w:ind w:left="0"/>
        <w:jc w:val="both"/>
        <w:rPr>
          <w:rFonts w:ascii="Century Gothic" w:hAnsi="Century Gothic" w:cstheme="minorHAnsi"/>
          <w:bCs/>
          <w:sz w:val="24"/>
          <w:szCs w:val="24"/>
        </w:rPr>
      </w:pPr>
    </w:p>
    <w:p w14:paraId="70A80D88" w14:textId="77777777" w:rsidR="00EC6046" w:rsidRDefault="00EC6046" w:rsidP="00536F31">
      <w:pPr>
        <w:pStyle w:val="Prrafodelista"/>
        <w:spacing w:after="0" w:line="360" w:lineRule="auto"/>
        <w:ind w:left="0"/>
        <w:jc w:val="center"/>
        <w:rPr>
          <w:rFonts w:ascii="Century Gothic" w:hAnsi="Century Gothic" w:cstheme="minorHAnsi"/>
          <w:b/>
          <w:bCs/>
          <w:sz w:val="24"/>
          <w:szCs w:val="24"/>
        </w:rPr>
      </w:pPr>
    </w:p>
    <w:p w14:paraId="47E28410" w14:textId="58BC7D58" w:rsidR="00536F31" w:rsidRDefault="00536F31" w:rsidP="00536F31">
      <w:pPr>
        <w:pStyle w:val="Prrafodelista"/>
        <w:spacing w:after="0" w:line="360" w:lineRule="auto"/>
        <w:ind w:left="0"/>
        <w:jc w:val="center"/>
        <w:rPr>
          <w:rFonts w:ascii="Century Gothic" w:hAnsi="Century Gothic" w:cstheme="minorHAnsi"/>
          <w:b/>
          <w:bCs/>
          <w:sz w:val="24"/>
          <w:szCs w:val="24"/>
        </w:rPr>
      </w:pPr>
      <w:r w:rsidRPr="00536F31">
        <w:rPr>
          <w:rFonts w:ascii="Century Gothic" w:hAnsi="Century Gothic" w:cstheme="minorHAnsi"/>
          <w:b/>
          <w:bCs/>
          <w:sz w:val="24"/>
          <w:szCs w:val="24"/>
        </w:rPr>
        <w:t>Capítulo IV</w:t>
      </w:r>
    </w:p>
    <w:p w14:paraId="5CBE72A8" w14:textId="66A47D6E" w:rsidR="00536F31" w:rsidRPr="00536F31" w:rsidRDefault="00536F31" w:rsidP="00536F31">
      <w:pPr>
        <w:pStyle w:val="Prrafodelista"/>
        <w:spacing w:after="0" w:line="360" w:lineRule="auto"/>
        <w:ind w:left="0"/>
        <w:jc w:val="center"/>
        <w:rPr>
          <w:rFonts w:ascii="Century Gothic" w:hAnsi="Century Gothic" w:cstheme="minorHAnsi"/>
          <w:b/>
          <w:sz w:val="24"/>
          <w:szCs w:val="24"/>
        </w:rPr>
      </w:pPr>
      <w:r w:rsidRPr="00536F31">
        <w:rPr>
          <w:rFonts w:ascii="Century Gothic" w:hAnsi="Century Gothic" w:cstheme="minorHAnsi"/>
          <w:b/>
          <w:bCs/>
          <w:sz w:val="24"/>
          <w:szCs w:val="24"/>
        </w:rPr>
        <w:t>Esfuerzos para Corregir la Orientación Sexual y la Identidad de Género</w:t>
      </w:r>
      <w:r>
        <w:rPr>
          <w:rFonts w:ascii="Century Gothic" w:hAnsi="Century Gothic" w:cstheme="minorHAnsi"/>
          <w:b/>
          <w:bCs/>
          <w:sz w:val="24"/>
          <w:szCs w:val="24"/>
        </w:rPr>
        <w:t xml:space="preserve"> (ECOSIG)</w:t>
      </w:r>
    </w:p>
    <w:p w14:paraId="5D5D9E58" w14:textId="77777777" w:rsidR="006F57F0" w:rsidRDefault="006F57F0" w:rsidP="00843D7C">
      <w:pPr>
        <w:pStyle w:val="NormalWeb"/>
        <w:shd w:val="clear" w:color="auto" w:fill="FFFFFF"/>
        <w:spacing w:before="80" w:beforeAutospacing="0" w:afterLines="80" w:after="192" w:afterAutospacing="0" w:line="360" w:lineRule="auto"/>
        <w:ind w:left="708"/>
        <w:jc w:val="both"/>
        <w:textAlignment w:val="baseline"/>
        <w:rPr>
          <w:rFonts w:ascii="Century Gothic" w:hAnsi="Century Gothic" w:cs="Arial"/>
          <w:b/>
        </w:rPr>
      </w:pPr>
    </w:p>
    <w:p w14:paraId="69841C1F" w14:textId="0BF53CF3" w:rsidR="002619B0" w:rsidRPr="003220C1" w:rsidRDefault="002619B0" w:rsidP="00843D7C">
      <w:pPr>
        <w:pStyle w:val="NormalWeb"/>
        <w:shd w:val="clear" w:color="auto" w:fill="FFFFFF"/>
        <w:spacing w:before="80" w:beforeAutospacing="0" w:afterLines="80" w:after="192" w:afterAutospacing="0" w:line="360" w:lineRule="auto"/>
        <w:ind w:left="708"/>
        <w:jc w:val="both"/>
        <w:textAlignment w:val="baseline"/>
        <w:rPr>
          <w:rFonts w:ascii="Century Gothic" w:hAnsi="Century Gothic" w:cs="Arial"/>
          <w:b/>
        </w:rPr>
      </w:pPr>
      <w:r w:rsidRPr="003220C1">
        <w:rPr>
          <w:rFonts w:ascii="Century Gothic" w:hAnsi="Century Gothic" w:cs="Arial"/>
          <w:b/>
        </w:rPr>
        <w:t xml:space="preserve">Artículo </w:t>
      </w:r>
      <w:r w:rsidR="00536F31">
        <w:rPr>
          <w:rFonts w:ascii="Century Gothic" w:hAnsi="Century Gothic" w:cs="Arial"/>
          <w:b/>
        </w:rPr>
        <w:t>201</w:t>
      </w:r>
      <w:r w:rsidRPr="003220C1">
        <w:rPr>
          <w:rFonts w:ascii="Century Gothic" w:hAnsi="Century Gothic" w:cs="Arial"/>
          <w:b/>
        </w:rPr>
        <w:t xml:space="preserve"> bis. </w:t>
      </w:r>
    </w:p>
    <w:p w14:paraId="1455929D" w14:textId="683FB9B4" w:rsidR="00175B86" w:rsidRPr="003220C1" w:rsidRDefault="002619B0" w:rsidP="00512354">
      <w:pPr>
        <w:pStyle w:val="NormalWeb"/>
        <w:shd w:val="clear" w:color="auto" w:fill="FFFFFF"/>
        <w:spacing w:before="80" w:beforeAutospacing="0" w:afterLines="80" w:after="192" w:afterAutospacing="0" w:line="360" w:lineRule="auto"/>
        <w:ind w:left="709"/>
        <w:jc w:val="both"/>
        <w:textAlignment w:val="baseline"/>
        <w:rPr>
          <w:rFonts w:ascii="Century Gothic" w:hAnsi="Century Gothic" w:cs="Arial"/>
          <w:b/>
        </w:rPr>
      </w:pPr>
      <w:r w:rsidRPr="003220C1">
        <w:rPr>
          <w:rFonts w:ascii="Century Gothic" w:hAnsi="Century Gothic" w:cs="Arial"/>
          <w:b/>
        </w:rPr>
        <w:t>A quien</w:t>
      </w:r>
      <w:r w:rsidR="00B6671F" w:rsidRPr="003220C1">
        <w:rPr>
          <w:rFonts w:ascii="Century Gothic" w:hAnsi="Century Gothic" w:cs="Arial"/>
          <w:b/>
        </w:rPr>
        <w:t xml:space="preserve">, </w:t>
      </w:r>
      <w:r w:rsidR="00B6671F" w:rsidRPr="00B55036">
        <w:rPr>
          <w:rFonts w:ascii="Century Gothic" w:hAnsi="Century Gothic" w:cs="Arial"/>
          <w:b/>
        </w:rPr>
        <w:t>por medio de la coacción, amenaza o engaño,</w:t>
      </w:r>
      <w:r w:rsidRPr="00B55036">
        <w:rPr>
          <w:rFonts w:ascii="Century Gothic" w:hAnsi="Century Gothic" w:cs="Arial"/>
          <w:b/>
        </w:rPr>
        <w:t xml:space="preserve"> imparta, </w:t>
      </w:r>
      <w:r w:rsidR="00C721B4" w:rsidRPr="00B55036">
        <w:rPr>
          <w:rFonts w:ascii="Century Gothic" w:hAnsi="Century Gothic" w:cs="Arial"/>
          <w:b/>
        </w:rPr>
        <w:t xml:space="preserve">obligue, </w:t>
      </w:r>
      <w:r w:rsidR="0092285F" w:rsidRPr="00B55036">
        <w:rPr>
          <w:rFonts w:ascii="Century Gothic" w:hAnsi="Century Gothic" w:cs="Arial"/>
          <w:b/>
        </w:rPr>
        <w:t xml:space="preserve">financie, </w:t>
      </w:r>
      <w:r w:rsidRPr="00B55036">
        <w:rPr>
          <w:rFonts w:ascii="Century Gothic" w:hAnsi="Century Gothic" w:cs="Arial"/>
          <w:b/>
        </w:rPr>
        <w:t>aplique</w:t>
      </w:r>
      <w:r w:rsidR="00C721B4" w:rsidRPr="00B55036">
        <w:rPr>
          <w:rFonts w:ascii="Century Gothic" w:hAnsi="Century Gothic" w:cs="Arial"/>
          <w:b/>
        </w:rPr>
        <w:t>,</w:t>
      </w:r>
      <w:r w:rsidRPr="00B55036">
        <w:rPr>
          <w:rFonts w:ascii="Century Gothic" w:hAnsi="Century Gothic" w:cs="Arial"/>
          <w:b/>
        </w:rPr>
        <w:t xml:space="preserve"> cualquier tipo de tratamiento, terapia, servicio o práctica, con el objetivo</w:t>
      </w:r>
      <w:r w:rsidRPr="003220C1">
        <w:rPr>
          <w:rFonts w:ascii="Century Gothic" w:hAnsi="Century Gothic" w:cs="Arial"/>
          <w:b/>
        </w:rPr>
        <w:t xml:space="preserve"> de obstaculizar, restringir, impedir, menoscabar, anular o modificar la orientación sexual, identidad o expresión de género de una persona, se le impondrán de </w:t>
      </w:r>
      <w:r w:rsidR="00B6671F" w:rsidRPr="003220C1">
        <w:rPr>
          <w:rFonts w:ascii="Century Gothic" w:hAnsi="Century Gothic" w:cs="Arial"/>
          <w:b/>
        </w:rPr>
        <w:t>dos</w:t>
      </w:r>
      <w:r w:rsidRPr="003220C1">
        <w:rPr>
          <w:rFonts w:ascii="Century Gothic" w:hAnsi="Century Gothic" w:cs="Arial"/>
          <w:b/>
        </w:rPr>
        <w:t xml:space="preserve"> a </w:t>
      </w:r>
      <w:r w:rsidR="00B6671F" w:rsidRPr="003220C1">
        <w:rPr>
          <w:rFonts w:ascii="Century Gothic" w:hAnsi="Century Gothic" w:cs="Arial"/>
          <w:b/>
        </w:rPr>
        <w:t>cinco</w:t>
      </w:r>
      <w:r w:rsidRPr="003220C1">
        <w:rPr>
          <w:rFonts w:ascii="Century Gothic" w:hAnsi="Century Gothic" w:cs="Arial"/>
          <w:b/>
        </w:rPr>
        <w:t xml:space="preserve"> años de prisión y de cien a mil días </w:t>
      </w:r>
      <w:r w:rsidR="001728AC">
        <w:rPr>
          <w:rFonts w:ascii="Century Gothic" w:hAnsi="Century Gothic" w:cs="Arial"/>
          <w:b/>
        </w:rPr>
        <w:t xml:space="preserve">de </w:t>
      </w:r>
      <w:r w:rsidRPr="003220C1">
        <w:rPr>
          <w:rFonts w:ascii="Century Gothic" w:hAnsi="Century Gothic" w:cs="Arial"/>
          <w:b/>
        </w:rPr>
        <w:t>multa.</w:t>
      </w:r>
    </w:p>
    <w:p w14:paraId="7079C2D3" w14:textId="3CA92BDD" w:rsidR="003D6821" w:rsidRPr="003220C1" w:rsidRDefault="00C721B4" w:rsidP="00843D7C">
      <w:pPr>
        <w:spacing w:before="80" w:afterLines="80" w:after="192" w:line="360" w:lineRule="auto"/>
        <w:ind w:left="709"/>
        <w:jc w:val="both"/>
        <w:rPr>
          <w:rFonts w:ascii="Century Gothic" w:hAnsi="Century Gothic"/>
          <w:b/>
          <w:sz w:val="24"/>
          <w:szCs w:val="24"/>
        </w:rPr>
      </w:pPr>
      <w:r w:rsidRPr="003220C1">
        <w:rPr>
          <w:rFonts w:ascii="Century Gothic" w:hAnsi="Century Gothic"/>
          <w:b/>
          <w:sz w:val="24"/>
          <w:szCs w:val="24"/>
        </w:rPr>
        <w:t>Las penas a que se refiere e</w:t>
      </w:r>
      <w:r w:rsidR="003220C1">
        <w:rPr>
          <w:rFonts w:ascii="Century Gothic" w:hAnsi="Century Gothic"/>
          <w:b/>
          <w:sz w:val="24"/>
          <w:szCs w:val="24"/>
        </w:rPr>
        <w:t>n el primer párrafo</w:t>
      </w:r>
      <w:r w:rsidRPr="003220C1">
        <w:rPr>
          <w:rFonts w:ascii="Century Gothic" w:hAnsi="Century Gothic"/>
          <w:b/>
          <w:sz w:val="24"/>
          <w:szCs w:val="24"/>
        </w:rPr>
        <w:t>, se aumentarán</w:t>
      </w:r>
      <w:r w:rsidR="003D6821" w:rsidRPr="003220C1">
        <w:rPr>
          <w:rFonts w:ascii="Century Gothic" w:hAnsi="Century Gothic"/>
          <w:b/>
          <w:sz w:val="24"/>
          <w:szCs w:val="24"/>
        </w:rPr>
        <w:t xml:space="preserve"> en una mitad </w:t>
      </w:r>
      <w:r w:rsidRPr="003220C1">
        <w:rPr>
          <w:rFonts w:ascii="Century Gothic" w:hAnsi="Century Gothic"/>
          <w:b/>
          <w:sz w:val="24"/>
          <w:szCs w:val="24"/>
        </w:rPr>
        <w:t>cuando el delito se cometa en contra de una persona menor de dieciocho años o que no tenga la capacidad de comprender el significado de</w:t>
      </w:r>
      <w:r w:rsidR="001728AC">
        <w:rPr>
          <w:rFonts w:ascii="Century Gothic" w:hAnsi="Century Gothic"/>
          <w:b/>
          <w:sz w:val="24"/>
          <w:szCs w:val="24"/>
        </w:rPr>
        <w:t>l hecho, aú</w:t>
      </w:r>
      <w:r w:rsidRPr="003220C1">
        <w:rPr>
          <w:rFonts w:ascii="Century Gothic" w:hAnsi="Century Gothic"/>
          <w:b/>
          <w:sz w:val="24"/>
          <w:szCs w:val="24"/>
        </w:rPr>
        <w:t xml:space="preserve">n y cuando no existiere </w:t>
      </w:r>
      <w:r w:rsidRPr="003220C1">
        <w:rPr>
          <w:rFonts w:ascii="Century Gothic" w:hAnsi="Century Gothic" w:cs="Arial"/>
          <w:b/>
          <w:sz w:val="24"/>
          <w:szCs w:val="24"/>
        </w:rPr>
        <w:t>coacción, amenaza o engaño</w:t>
      </w:r>
      <w:r w:rsidRPr="003220C1">
        <w:rPr>
          <w:rFonts w:ascii="Century Gothic" w:hAnsi="Century Gothic"/>
          <w:b/>
          <w:sz w:val="24"/>
          <w:szCs w:val="24"/>
        </w:rPr>
        <w:t>.</w:t>
      </w:r>
    </w:p>
    <w:p w14:paraId="6B906D55" w14:textId="2063E339" w:rsidR="006F57F0" w:rsidRDefault="003D6821" w:rsidP="00383163">
      <w:pPr>
        <w:spacing w:before="80" w:afterLines="80" w:after="192" w:line="360" w:lineRule="auto"/>
        <w:ind w:left="709"/>
        <w:jc w:val="both"/>
        <w:rPr>
          <w:rFonts w:ascii="Century Gothic" w:hAnsi="Century Gothic" w:cs="Arial"/>
          <w:b/>
          <w:sz w:val="24"/>
          <w:szCs w:val="24"/>
        </w:rPr>
      </w:pPr>
      <w:r w:rsidRPr="003220C1">
        <w:rPr>
          <w:rFonts w:ascii="Century Gothic" w:hAnsi="Century Gothic"/>
          <w:b/>
          <w:sz w:val="24"/>
          <w:szCs w:val="24"/>
        </w:rPr>
        <w:t>En caso de que sea el padre, madre o tutor de la víctima los que incurran en las conductas sancionadas en el segundo párrafo de este artículo, se les aplicará</w:t>
      </w:r>
      <w:r w:rsidR="003220C1" w:rsidRPr="003220C1">
        <w:rPr>
          <w:rFonts w:ascii="Century Gothic" w:hAnsi="Century Gothic"/>
          <w:b/>
          <w:sz w:val="24"/>
          <w:szCs w:val="24"/>
        </w:rPr>
        <w:t xml:space="preserve">n únicamente de </w:t>
      </w:r>
      <w:r w:rsidR="003220C1" w:rsidRPr="003220C1">
        <w:rPr>
          <w:rFonts w:ascii="Century Gothic" w:hAnsi="Century Gothic" w:cs="Arial"/>
          <w:b/>
          <w:sz w:val="24"/>
          <w:szCs w:val="24"/>
        </w:rPr>
        <w:t>doscientos a dos mil días</w:t>
      </w:r>
      <w:r w:rsidR="001728AC">
        <w:rPr>
          <w:rFonts w:ascii="Century Gothic" w:hAnsi="Century Gothic" w:cs="Arial"/>
          <w:b/>
          <w:sz w:val="24"/>
          <w:szCs w:val="24"/>
        </w:rPr>
        <w:t xml:space="preserve"> de </w:t>
      </w:r>
      <w:r w:rsidR="00383163">
        <w:rPr>
          <w:rFonts w:ascii="Century Gothic" w:hAnsi="Century Gothic" w:cs="Arial"/>
          <w:b/>
          <w:sz w:val="24"/>
          <w:szCs w:val="24"/>
        </w:rPr>
        <w:t xml:space="preserve"> multa.</w:t>
      </w:r>
    </w:p>
    <w:p w14:paraId="6371D0CB" w14:textId="77777777" w:rsidR="00383163" w:rsidRDefault="00383163" w:rsidP="00383163">
      <w:pPr>
        <w:spacing w:before="80" w:afterLines="80" w:after="192" w:line="360" w:lineRule="auto"/>
        <w:ind w:left="709"/>
        <w:jc w:val="both"/>
        <w:rPr>
          <w:rFonts w:ascii="Century Gothic" w:hAnsi="Century Gothic"/>
          <w:b/>
          <w:sz w:val="24"/>
          <w:szCs w:val="24"/>
        </w:rPr>
      </w:pPr>
    </w:p>
    <w:p w14:paraId="3310D5A1" w14:textId="77777777" w:rsidR="00383163" w:rsidRPr="00383163" w:rsidRDefault="00383163" w:rsidP="00383163">
      <w:pPr>
        <w:spacing w:before="80" w:afterLines="80" w:after="192" w:line="360" w:lineRule="auto"/>
        <w:ind w:left="709"/>
        <w:jc w:val="both"/>
        <w:rPr>
          <w:rFonts w:ascii="Century Gothic" w:hAnsi="Century Gothic"/>
          <w:b/>
          <w:sz w:val="24"/>
          <w:szCs w:val="24"/>
        </w:rPr>
      </w:pPr>
    </w:p>
    <w:p w14:paraId="1EBF4E24" w14:textId="77777777" w:rsidR="006F57F0" w:rsidRDefault="006F57F0" w:rsidP="00843D7C">
      <w:pPr>
        <w:pStyle w:val="NormalWeb"/>
        <w:shd w:val="clear" w:color="auto" w:fill="FFFFFF"/>
        <w:spacing w:before="80" w:beforeAutospacing="0" w:afterLines="80" w:after="192" w:afterAutospacing="0" w:line="360" w:lineRule="auto"/>
        <w:ind w:left="708"/>
        <w:jc w:val="both"/>
        <w:textAlignment w:val="baseline"/>
        <w:rPr>
          <w:rFonts w:ascii="Century Gothic" w:hAnsi="Century Gothic" w:cs="Arial"/>
          <w:b/>
        </w:rPr>
      </w:pPr>
    </w:p>
    <w:p w14:paraId="5AA1FE96" w14:textId="7ACB66EC" w:rsidR="003220C1" w:rsidRDefault="003220C1" w:rsidP="00843D7C">
      <w:pPr>
        <w:pStyle w:val="NormalWeb"/>
        <w:shd w:val="clear" w:color="auto" w:fill="FFFFFF"/>
        <w:spacing w:before="80" w:beforeAutospacing="0" w:afterLines="80" w:after="192" w:afterAutospacing="0" w:line="360" w:lineRule="auto"/>
        <w:ind w:left="708"/>
        <w:jc w:val="both"/>
        <w:textAlignment w:val="baseline"/>
        <w:rPr>
          <w:rFonts w:ascii="Century Gothic" w:hAnsi="Century Gothic" w:cs="Arial"/>
          <w:b/>
        </w:rPr>
      </w:pPr>
      <w:r w:rsidRPr="003220C1">
        <w:rPr>
          <w:rFonts w:ascii="Century Gothic" w:hAnsi="Century Gothic" w:cs="Arial"/>
          <w:b/>
        </w:rPr>
        <w:t xml:space="preserve">Artículo </w:t>
      </w:r>
      <w:r w:rsidR="00536F31">
        <w:rPr>
          <w:rFonts w:ascii="Century Gothic" w:hAnsi="Century Gothic" w:cs="Arial"/>
          <w:b/>
        </w:rPr>
        <w:t>201</w:t>
      </w:r>
      <w:r w:rsidRPr="003220C1">
        <w:rPr>
          <w:rFonts w:ascii="Century Gothic" w:hAnsi="Century Gothic" w:cs="Arial"/>
          <w:b/>
        </w:rPr>
        <w:t xml:space="preserve"> </w:t>
      </w:r>
      <w:r>
        <w:rPr>
          <w:rFonts w:ascii="Century Gothic" w:hAnsi="Century Gothic" w:cs="Arial"/>
          <w:b/>
        </w:rPr>
        <w:t>ter.</w:t>
      </w:r>
    </w:p>
    <w:p w14:paraId="29C3F368" w14:textId="21C18375" w:rsidR="006F57F0" w:rsidRPr="00383163" w:rsidRDefault="003220C1" w:rsidP="00383163">
      <w:pPr>
        <w:pStyle w:val="NormalWeb"/>
        <w:shd w:val="clear" w:color="auto" w:fill="FFFFFF"/>
        <w:spacing w:before="80" w:beforeAutospacing="0" w:afterLines="80" w:after="192" w:afterAutospacing="0" w:line="360" w:lineRule="auto"/>
        <w:ind w:left="709"/>
        <w:jc w:val="both"/>
        <w:textAlignment w:val="baseline"/>
        <w:rPr>
          <w:rFonts w:ascii="Century Gothic" w:hAnsi="Century Gothic" w:cs="Arial"/>
          <w:b/>
        </w:rPr>
      </w:pPr>
      <w:r>
        <w:rPr>
          <w:rFonts w:ascii="Century Gothic" w:hAnsi="Century Gothic" w:cs="Arial"/>
          <w:b/>
        </w:rPr>
        <w:t>A quien publicite</w:t>
      </w:r>
      <w:r w:rsidR="00512354">
        <w:rPr>
          <w:rFonts w:ascii="Century Gothic" w:hAnsi="Century Gothic" w:cs="Arial"/>
          <w:b/>
        </w:rPr>
        <w:t xml:space="preserve"> o promueva</w:t>
      </w:r>
      <w:r>
        <w:rPr>
          <w:rFonts w:ascii="Century Gothic" w:hAnsi="Century Gothic" w:cs="Arial"/>
          <w:b/>
        </w:rPr>
        <w:t xml:space="preserve"> </w:t>
      </w:r>
      <w:r w:rsidRPr="003220C1">
        <w:rPr>
          <w:rFonts w:ascii="Century Gothic" w:hAnsi="Century Gothic" w:cs="Arial"/>
          <w:b/>
        </w:rPr>
        <w:t>cualquier tipo de tratamiento, terapia, servicio o práctica, con el objetivo de obstaculizar, restringir, impedir, menoscabar, anular o modificar la orientación sexual, identidad o expresión de género de una persona, se le impondrán</w:t>
      </w:r>
      <w:r w:rsidR="001728AC" w:rsidRPr="001728AC">
        <w:rPr>
          <w:rFonts w:ascii="Century Gothic" w:hAnsi="Century Gothic" w:cs="Arial"/>
          <w:b/>
        </w:rPr>
        <w:t xml:space="preserve"> </w:t>
      </w:r>
      <w:r w:rsidRPr="003220C1">
        <w:rPr>
          <w:rFonts w:ascii="Century Gothic" w:hAnsi="Century Gothic" w:cs="Arial"/>
          <w:b/>
        </w:rPr>
        <w:t>de</w:t>
      </w:r>
      <w:r w:rsidRPr="003220C1">
        <w:rPr>
          <w:rFonts w:ascii="Century Gothic" w:hAnsi="Century Gothic"/>
          <w:b/>
        </w:rPr>
        <w:t xml:space="preserve"> </w:t>
      </w:r>
      <w:r w:rsidRPr="003220C1">
        <w:rPr>
          <w:rFonts w:ascii="Century Gothic" w:hAnsi="Century Gothic" w:cs="Arial"/>
          <w:b/>
        </w:rPr>
        <w:t>doscientos a dos mil días</w:t>
      </w:r>
      <w:r w:rsidR="001728AC">
        <w:rPr>
          <w:rFonts w:ascii="Century Gothic" w:hAnsi="Century Gothic" w:cs="Arial"/>
          <w:b/>
        </w:rPr>
        <w:t xml:space="preserve"> de</w:t>
      </w:r>
      <w:r w:rsidRPr="003220C1">
        <w:rPr>
          <w:rFonts w:ascii="Century Gothic" w:hAnsi="Century Gothic" w:cs="Arial"/>
          <w:b/>
        </w:rPr>
        <w:t xml:space="preserve"> multa.</w:t>
      </w:r>
    </w:p>
    <w:p w14:paraId="2E0CD0E7" w14:textId="54448DF5" w:rsidR="0092285F" w:rsidRPr="0092285F" w:rsidRDefault="0092285F" w:rsidP="0092285F">
      <w:pPr>
        <w:spacing w:before="80" w:afterLines="80" w:after="192" w:line="360" w:lineRule="auto"/>
        <w:ind w:left="708"/>
        <w:jc w:val="both"/>
        <w:rPr>
          <w:rFonts w:ascii="Century Gothic" w:hAnsi="Century Gothic"/>
          <w:b/>
          <w:bCs/>
          <w:sz w:val="24"/>
          <w:szCs w:val="24"/>
        </w:rPr>
      </w:pPr>
      <w:r w:rsidRPr="0092285F">
        <w:rPr>
          <w:rFonts w:ascii="Century Gothic" w:hAnsi="Century Gothic"/>
          <w:b/>
          <w:bCs/>
          <w:sz w:val="24"/>
          <w:szCs w:val="24"/>
        </w:rPr>
        <w:t xml:space="preserve">Artículo </w:t>
      </w:r>
      <w:r w:rsidR="00536F31">
        <w:rPr>
          <w:rFonts w:ascii="Century Gothic" w:hAnsi="Century Gothic"/>
          <w:b/>
          <w:bCs/>
          <w:sz w:val="24"/>
          <w:szCs w:val="24"/>
        </w:rPr>
        <w:t>201</w:t>
      </w:r>
      <w:r w:rsidRPr="0092285F">
        <w:rPr>
          <w:rFonts w:ascii="Century Gothic" w:hAnsi="Century Gothic"/>
          <w:b/>
          <w:bCs/>
          <w:sz w:val="24"/>
          <w:szCs w:val="24"/>
        </w:rPr>
        <w:t xml:space="preserve"> quater.</w:t>
      </w:r>
    </w:p>
    <w:p w14:paraId="6CEC112C" w14:textId="753BCCD2" w:rsidR="0092285F" w:rsidRPr="0092285F" w:rsidRDefault="002828FC" w:rsidP="0092285F">
      <w:pPr>
        <w:spacing w:line="360" w:lineRule="auto"/>
        <w:ind w:left="708"/>
        <w:jc w:val="both"/>
        <w:rPr>
          <w:rFonts w:ascii="Century Gothic" w:hAnsi="Century Gothic" w:cstheme="minorHAnsi"/>
          <w:b/>
          <w:bCs/>
          <w:sz w:val="24"/>
          <w:szCs w:val="24"/>
        </w:rPr>
      </w:pPr>
      <w:r>
        <w:rPr>
          <w:rFonts w:ascii="Century Gothic" w:hAnsi="Century Gothic" w:cstheme="minorHAnsi"/>
          <w:b/>
          <w:bCs/>
          <w:sz w:val="24"/>
          <w:szCs w:val="24"/>
        </w:rPr>
        <w:t>Las</w:t>
      </w:r>
      <w:r w:rsidR="0092285F" w:rsidRPr="0092285F">
        <w:rPr>
          <w:rFonts w:ascii="Century Gothic" w:hAnsi="Century Gothic" w:cstheme="minorHAnsi"/>
          <w:b/>
          <w:bCs/>
          <w:sz w:val="24"/>
          <w:szCs w:val="24"/>
        </w:rPr>
        <w:t xml:space="preserve"> intervenciones médicas quirúrgicas o tratamientos hormonales que t</w:t>
      </w:r>
      <w:r>
        <w:rPr>
          <w:rFonts w:ascii="Century Gothic" w:hAnsi="Century Gothic" w:cstheme="minorHAnsi"/>
          <w:b/>
          <w:bCs/>
          <w:sz w:val="24"/>
          <w:szCs w:val="24"/>
        </w:rPr>
        <w:t>engan</w:t>
      </w:r>
      <w:r w:rsidR="0092285F" w:rsidRPr="0092285F">
        <w:rPr>
          <w:rFonts w:ascii="Century Gothic" w:hAnsi="Century Gothic" w:cstheme="minorHAnsi"/>
          <w:b/>
          <w:bCs/>
          <w:sz w:val="24"/>
          <w:szCs w:val="24"/>
        </w:rPr>
        <w:t xml:space="preserve"> como objetivo expresar la identidad de género autopercibida</w:t>
      </w:r>
      <w:r>
        <w:rPr>
          <w:rFonts w:ascii="Century Gothic" w:hAnsi="Century Gothic" w:cstheme="minorHAnsi"/>
          <w:b/>
          <w:bCs/>
          <w:sz w:val="24"/>
          <w:szCs w:val="24"/>
        </w:rPr>
        <w:t xml:space="preserve"> de una persona</w:t>
      </w:r>
      <w:r w:rsidR="0092285F" w:rsidRPr="0092285F">
        <w:rPr>
          <w:rFonts w:ascii="Century Gothic" w:hAnsi="Century Gothic" w:cstheme="minorHAnsi"/>
          <w:b/>
          <w:bCs/>
          <w:sz w:val="24"/>
          <w:szCs w:val="24"/>
        </w:rPr>
        <w:t xml:space="preserve"> o satisfacer </w:t>
      </w:r>
      <w:r w:rsidR="00D62873">
        <w:rPr>
          <w:rFonts w:ascii="Century Gothic" w:hAnsi="Century Gothic" w:cstheme="minorHAnsi"/>
          <w:b/>
          <w:bCs/>
          <w:sz w:val="24"/>
          <w:szCs w:val="24"/>
        </w:rPr>
        <w:t>el</w:t>
      </w:r>
      <w:r w:rsidR="0092285F" w:rsidRPr="0092285F">
        <w:rPr>
          <w:rFonts w:ascii="Century Gothic" w:hAnsi="Century Gothic" w:cstheme="minorHAnsi"/>
          <w:b/>
          <w:bCs/>
          <w:sz w:val="24"/>
          <w:szCs w:val="24"/>
        </w:rPr>
        <w:t xml:space="preserve"> deseo de una </w:t>
      </w:r>
      <w:r w:rsidR="00D62873">
        <w:rPr>
          <w:rFonts w:ascii="Century Gothic" w:hAnsi="Century Gothic" w:cstheme="minorHAnsi"/>
          <w:b/>
          <w:bCs/>
          <w:sz w:val="24"/>
          <w:szCs w:val="24"/>
        </w:rPr>
        <w:t xml:space="preserve">persona de una </w:t>
      </w:r>
      <w:r w:rsidR="0092285F" w:rsidRPr="0092285F">
        <w:rPr>
          <w:rFonts w:ascii="Century Gothic" w:hAnsi="Century Gothic" w:cstheme="minorHAnsi"/>
          <w:b/>
          <w:bCs/>
          <w:sz w:val="24"/>
          <w:szCs w:val="24"/>
        </w:rPr>
        <w:t>aparien</w:t>
      </w:r>
      <w:r w:rsidR="00536F31">
        <w:rPr>
          <w:rFonts w:ascii="Century Gothic" w:hAnsi="Century Gothic" w:cstheme="minorHAnsi"/>
          <w:b/>
          <w:bCs/>
          <w:sz w:val="24"/>
          <w:szCs w:val="24"/>
        </w:rPr>
        <w:t>cia física masculina o femenina</w:t>
      </w:r>
      <w:r>
        <w:rPr>
          <w:rFonts w:ascii="Century Gothic" w:hAnsi="Century Gothic" w:cstheme="minorHAnsi"/>
          <w:b/>
          <w:bCs/>
          <w:sz w:val="24"/>
          <w:szCs w:val="24"/>
        </w:rPr>
        <w:t>, quedan excluida</w:t>
      </w:r>
      <w:r w:rsidR="00536F31">
        <w:rPr>
          <w:rFonts w:ascii="Century Gothic" w:hAnsi="Century Gothic" w:cstheme="minorHAnsi"/>
          <w:b/>
          <w:bCs/>
          <w:sz w:val="24"/>
          <w:szCs w:val="24"/>
        </w:rPr>
        <w:t>s de l</w:t>
      </w:r>
      <w:r w:rsidR="00536F31" w:rsidRPr="0092285F">
        <w:rPr>
          <w:rFonts w:ascii="Century Gothic" w:hAnsi="Century Gothic" w:cstheme="minorHAnsi"/>
          <w:b/>
          <w:bCs/>
          <w:sz w:val="24"/>
          <w:szCs w:val="24"/>
        </w:rPr>
        <w:t xml:space="preserve">as conductas sancionadas en los artículos </w:t>
      </w:r>
      <w:r w:rsidR="00536F31">
        <w:rPr>
          <w:rFonts w:ascii="Century Gothic" w:hAnsi="Century Gothic" w:cstheme="minorHAnsi"/>
          <w:b/>
          <w:bCs/>
          <w:sz w:val="24"/>
          <w:szCs w:val="24"/>
        </w:rPr>
        <w:t>201 bis</w:t>
      </w:r>
      <w:r w:rsidR="00536F31" w:rsidRPr="0092285F">
        <w:rPr>
          <w:rFonts w:ascii="Century Gothic" w:hAnsi="Century Gothic" w:cstheme="minorHAnsi"/>
          <w:b/>
          <w:bCs/>
          <w:sz w:val="24"/>
          <w:szCs w:val="24"/>
        </w:rPr>
        <w:t xml:space="preserve"> y </w:t>
      </w:r>
      <w:r w:rsidR="00536F31">
        <w:rPr>
          <w:rFonts w:ascii="Century Gothic" w:hAnsi="Century Gothic" w:cstheme="minorHAnsi"/>
          <w:b/>
          <w:bCs/>
          <w:sz w:val="24"/>
          <w:szCs w:val="24"/>
        </w:rPr>
        <w:t>201 ter.</w:t>
      </w:r>
    </w:p>
    <w:p w14:paraId="29863E85" w14:textId="77777777" w:rsidR="00383163" w:rsidRDefault="00383163" w:rsidP="00383163">
      <w:pPr>
        <w:pStyle w:val="Prrafodelista"/>
        <w:spacing w:before="80" w:afterLines="80" w:after="192" w:line="360" w:lineRule="auto"/>
        <w:ind w:left="0"/>
        <w:jc w:val="center"/>
        <w:rPr>
          <w:rFonts w:ascii="Century Gothic" w:hAnsi="Century Gothic" w:cstheme="minorHAnsi"/>
          <w:b/>
          <w:bCs/>
          <w:sz w:val="28"/>
          <w:szCs w:val="28"/>
        </w:rPr>
      </w:pPr>
    </w:p>
    <w:p w14:paraId="7A1C0D0B" w14:textId="77777777" w:rsidR="00EC6046" w:rsidRDefault="00EC6046" w:rsidP="00383163">
      <w:pPr>
        <w:pStyle w:val="Prrafodelista"/>
        <w:spacing w:before="80" w:afterLines="80" w:after="192" w:line="360" w:lineRule="auto"/>
        <w:ind w:left="0"/>
        <w:jc w:val="center"/>
        <w:rPr>
          <w:rFonts w:ascii="Century Gothic" w:hAnsi="Century Gothic" w:cstheme="minorHAnsi"/>
          <w:b/>
          <w:bCs/>
          <w:sz w:val="28"/>
          <w:szCs w:val="28"/>
          <w:lang w:val="en-US"/>
        </w:rPr>
      </w:pPr>
    </w:p>
    <w:p w14:paraId="3ED70A9A" w14:textId="27E045C0" w:rsidR="001728AC" w:rsidRDefault="00772816" w:rsidP="00383163">
      <w:pPr>
        <w:pStyle w:val="Prrafodelista"/>
        <w:spacing w:before="80" w:afterLines="80" w:after="192" w:line="360" w:lineRule="auto"/>
        <w:ind w:left="0"/>
        <w:jc w:val="center"/>
        <w:rPr>
          <w:rFonts w:ascii="Century Gothic" w:hAnsi="Century Gothic" w:cstheme="minorHAnsi"/>
          <w:b/>
          <w:bCs/>
          <w:sz w:val="28"/>
          <w:szCs w:val="28"/>
          <w:lang w:val="en-US"/>
        </w:rPr>
      </w:pPr>
      <w:r w:rsidRPr="00124628">
        <w:rPr>
          <w:rFonts w:ascii="Century Gothic" w:hAnsi="Century Gothic" w:cstheme="minorHAnsi"/>
          <w:b/>
          <w:bCs/>
          <w:sz w:val="28"/>
          <w:szCs w:val="28"/>
          <w:lang w:val="en-US"/>
        </w:rPr>
        <w:t>T R A N S I T O R I O S</w:t>
      </w:r>
      <w:r w:rsidR="00E24806" w:rsidRPr="00124628">
        <w:rPr>
          <w:rFonts w:ascii="Century Gothic" w:hAnsi="Century Gothic" w:cstheme="minorHAnsi"/>
          <w:b/>
          <w:bCs/>
          <w:sz w:val="28"/>
          <w:szCs w:val="28"/>
          <w:lang w:val="en-US"/>
        </w:rPr>
        <w:t>:</w:t>
      </w:r>
    </w:p>
    <w:p w14:paraId="61E09C6E" w14:textId="77777777" w:rsidR="00383163" w:rsidRPr="00383163" w:rsidRDefault="00383163" w:rsidP="00383163">
      <w:pPr>
        <w:pStyle w:val="Prrafodelista"/>
        <w:spacing w:before="80" w:afterLines="80" w:after="192" w:line="360" w:lineRule="auto"/>
        <w:ind w:left="0"/>
        <w:jc w:val="center"/>
        <w:rPr>
          <w:rFonts w:ascii="Century Gothic" w:hAnsi="Century Gothic" w:cstheme="minorHAnsi"/>
          <w:b/>
          <w:bCs/>
          <w:sz w:val="28"/>
          <w:szCs w:val="28"/>
          <w:lang w:val="en-US"/>
        </w:rPr>
      </w:pPr>
    </w:p>
    <w:p w14:paraId="5F8E15A8" w14:textId="2DAF8AD0" w:rsidR="001A343E" w:rsidRDefault="00DD4B52" w:rsidP="00843D7C">
      <w:pPr>
        <w:pStyle w:val="Prrafodelista"/>
        <w:spacing w:before="80" w:afterLines="80" w:after="192" w:line="360" w:lineRule="auto"/>
        <w:ind w:left="0"/>
        <w:jc w:val="both"/>
        <w:rPr>
          <w:rFonts w:ascii="Century Gothic" w:hAnsi="Century Gothic" w:cstheme="minorHAnsi"/>
          <w:sz w:val="24"/>
          <w:szCs w:val="24"/>
        </w:rPr>
      </w:pPr>
      <w:r>
        <w:rPr>
          <w:rFonts w:ascii="Century Gothic" w:hAnsi="Century Gothic" w:cstheme="minorHAnsi"/>
          <w:b/>
          <w:sz w:val="28"/>
          <w:szCs w:val="28"/>
        </w:rPr>
        <w:t>ARTÍCULO PRIMERO</w:t>
      </w:r>
      <w:r w:rsidR="0088268D">
        <w:rPr>
          <w:rFonts w:ascii="Century Gothic" w:hAnsi="Century Gothic" w:cstheme="minorHAnsi"/>
          <w:b/>
          <w:sz w:val="28"/>
          <w:szCs w:val="28"/>
        </w:rPr>
        <w:t xml:space="preserve">. </w:t>
      </w:r>
      <w:r w:rsidR="00063741">
        <w:rPr>
          <w:rFonts w:ascii="Century Gothic" w:hAnsi="Century Gothic" w:cstheme="minorHAnsi"/>
          <w:b/>
          <w:sz w:val="28"/>
          <w:szCs w:val="28"/>
        </w:rPr>
        <w:t xml:space="preserve"> </w:t>
      </w:r>
      <w:r w:rsidR="00772816">
        <w:rPr>
          <w:rFonts w:ascii="Century Gothic" w:hAnsi="Century Gothic" w:cstheme="minorHAnsi"/>
          <w:sz w:val="24"/>
          <w:szCs w:val="24"/>
        </w:rPr>
        <w:t xml:space="preserve">El presente Decreto entrará en vigor al </w:t>
      </w:r>
      <w:r w:rsidR="00E24806">
        <w:rPr>
          <w:rFonts w:ascii="Century Gothic" w:hAnsi="Century Gothic" w:cstheme="minorHAnsi"/>
          <w:sz w:val="24"/>
          <w:szCs w:val="24"/>
        </w:rPr>
        <w:t>día</w:t>
      </w:r>
      <w:r w:rsidR="00772816">
        <w:rPr>
          <w:rFonts w:ascii="Century Gothic" w:hAnsi="Century Gothic" w:cstheme="minorHAnsi"/>
          <w:sz w:val="24"/>
          <w:szCs w:val="24"/>
        </w:rPr>
        <w:t xml:space="preserve"> siguiente de su publicación en el Periódico Oficial del Estado.</w:t>
      </w:r>
    </w:p>
    <w:p w14:paraId="3597DC57" w14:textId="77777777" w:rsidR="00296579" w:rsidRDefault="00296579" w:rsidP="00843D7C">
      <w:pPr>
        <w:pStyle w:val="Prrafodelista"/>
        <w:spacing w:before="80" w:afterLines="80" w:after="192" w:line="360" w:lineRule="auto"/>
        <w:ind w:left="0"/>
        <w:jc w:val="both"/>
        <w:rPr>
          <w:rFonts w:ascii="Century Gothic" w:hAnsi="Century Gothic" w:cstheme="minorHAnsi"/>
          <w:b/>
          <w:sz w:val="28"/>
          <w:szCs w:val="28"/>
        </w:rPr>
      </w:pPr>
    </w:p>
    <w:p w14:paraId="313FF151" w14:textId="5B1EDD41" w:rsidR="00397FDC" w:rsidRDefault="00397FDC" w:rsidP="00843D7C">
      <w:pPr>
        <w:pStyle w:val="Prrafodelista"/>
        <w:spacing w:before="80" w:afterLines="80" w:after="192" w:line="360" w:lineRule="auto"/>
        <w:ind w:left="0"/>
        <w:jc w:val="both"/>
        <w:rPr>
          <w:rFonts w:ascii="Century Gothic" w:hAnsi="Century Gothic" w:cstheme="minorHAnsi"/>
          <w:sz w:val="24"/>
          <w:szCs w:val="24"/>
        </w:rPr>
      </w:pPr>
      <w:r w:rsidRPr="00610662">
        <w:rPr>
          <w:rFonts w:ascii="Century Gothic" w:hAnsi="Century Gothic" w:cstheme="minorHAnsi"/>
          <w:b/>
          <w:bCs/>
          <w:sz w:val="28"/>
          <w:szCs w:val="28"/>
        </w:rPr>
        <w:t>ECONÓMICO</w:t>
      </w:r>
      <w:r>
        <w:rPr>
          <w:rFonts w:ascii="Century Gothic" w:hAnsi="Century Gothic" w:cstheme="minorHAnsi"/>
          <w:b/>
          <w:bCs/>
          <w:sz w:val="24"/>
          <w:szCs w:val="24"/>
        </w:rPr>
        <w:t xml:space="preserve">. - </w:t>
      </w:r>
      <w:r w:rsidRPr="00E24806">
        <w:rPr>
          <w:rFonts w:ascii="Century Gothic" w:hAnsi="Century Gothic" w:cstheme="minorHAnsi"/>
          <w:sz w:val="24"/>
          <w:szCs w:val="24"/>
        </w:rPr>
        <w:t>Aprobado que sea túrnese a la Secretaría de Asuntos Legislativos y Jurídicos para que elabore la minuta de Decreto en los términos que deba publicarse.</w:t>
      </w:r>
    </w:p>
    <w:p w14:paraId="4A1ADFA1" w14:textId="77777777" w:rsidR="00B4759E" w:rsidRPr="00E24806" w:rsidRDefault="00B4759E" w:rsidP="00843D7C">
      <w:pPr>
        <w:pStyle w:val="Prrafodelista"/>
        <w:spacing w:before="80" w:afterLines="80" w:after="192" w:line="360" w:lineRule="auto"/>
        <w:ind w:left="0"/>
        <w:jc w:val="both"/>
        <w:rPr>
          <w:rFonts w:ascii="Century Gothic" w:hAnsi="Century Gothic" w:cstheme="minorHAnsi"/>
          <w:sz w:val="24"/>
          <w:szCs w:val="24"/>
        </w:rPr>
      </w:pPr>
    </w:p>
    <w:p w14:paraId="39024D5C" w14:textId="1D5E1EF9" w:rsidR="001A343E" w:rsidRPr="00004561" w:rsidRDefault="001A343E" w:rsidP="00843D7C">
      <w:pPr>
        <w:pStyle w:val="Prrafodelista"/>
        <w:spacing w:before="80" w:afterLines="80" w:after="192" w:line="360" w:lineRule="auto"/>
        <w:ind w:left="0"/>
        <w:jc w:val="both"/>
        <w:rPr>
          <w:rFonts w:ascii="Century Gothic" w:hAnsi="Century Gothic" w:cstheme="minorHAnsi"/>
          <w:sz w:val="24"/>
          <w:szCs w:val="24"/>
        </w:rPr>
      </w:pPr>
      <w:r w:rsidRPr="00AD56FF">
        <w:rPr>
          <w:rFonts w:ascii="Century Gothic" w:hAnsi="Century Gothic" w:cstheme="minorHAnsi"/>
          <w:b/>
          <w:sz w:val="28"/>
          <w:szCs w:val="28"/>
        </w:rPr>
        <w:t>D A D O</w:t>
      </w:r>
      <w:r w:rsidRPr="00AD56FF">
        <w:rPr>
          <w:rFonts w:ascii="Century Gothic" w:hAnsi="Century Gothic" w:cstheme="minorHAnsi"/>
          <w:sz w:val="28"/>
          <w:szCs w:val="28"/>
        </w:rPr>
        <w:t xml:space="preserve"> </w:t>
      </w:r>
      <w:r w:rsidRPr="00004561">
        <w:rPr>
          <w:rFonts w:ascii="Century Gothic" w:hAnsi="Century Gothic" w:cstheme="minorHAnsi"/>
          <w:sz w:val="24"/>
          <w:szCs w:val="24"/>
        </w:rPr>
        <w:t>en el salón de sesiones del Poder Legislat</w:t>
      </w:r>
      <w:r w:rsidR="005442F2" w:rsidRPr="00004561">
        <w:rPr>
          <w:rFonts w:ascii="Century Gothic" w:hAnsi="Century Gothic" w:cstheme="minorHAnsi"/>
          <w:sz w:val="24"/>
          <w:szCs w:val="24"/>
        </w:rPr>
        <w:t>ivo</w:t>
      </w:r>
      <w:r w:rsidR="00451E1E">
        <w:rPr>
          <w:rFonts w:ascii="Century Gothic" w:hAnsi="Century Gothic" w:cstheme="minorHAnsi"/>
          <w:sz w:val="24"/>
          <w:szCs w:val="24"/>
        </w:rPr>
        <w:t xml:space="preserve"> </w:t>
      </w:r>
      <w:r w:rsidR="00327B56" w:rsidRPr="00004561">
        <w:rPr>
          <w:rFonts w:ascii="Century Gothic" w:hAnsi="Century Gothic" w:cstheme="minorHAnsi"/>
          <w:sz w:val="24"/>
          <w:szCs w:val="24"/>
        </w:rPr>
        <w:t>a</w:t>
      </w:r>
      <w:r w:rsidR="00004561">
        <w:rPr>
          <w:rFonts w:ascii="Century Gothic" w:hAnsi="Century Gothic" w:cstheme="minorHAnsi"/>
          <w:sz w:val="24"/>
          <w:szCs w:val="24"/>
        </w:rPr>
        <w:t xml:space="preserve"> </w:t>
      </w:r>
      <w:r w:rsidR="001421A7">
        <w:rPr>
          <w:rFonts w:ascii="Century Gothic" w:hAnsi="Century Gothic" w:cstheme="minorHAnsi"/>
          <w:sz w:val="24"/>
          <w:szCs w:val="24"/>
        </w:rPr>
        <w:t xml:space="preserve">los </w:t>
      </w:r>
      <w:r w:rsidR="001728AC">
        <w:rPr>
          <w:rFonts w:ascii="Century Gothic" w:hAnsi="Century Gothic" w:cstheme="minorHAnsi"/>
          <w:sz w:val="24"/>
          <w:szCs w:val="24"/>
        </w:rPr>
        <w:t xml:space="preserve">21 </w:t>
      </w:r>
      <w:r w:rsidR="008A723B">
        <w:rPr>
          <w:rFonts w:ascii="Century Gothic" w:hAnsi="Century Gothic" w:cstheme="minorHAnsi"/>
          <w:sz w:val="24"/>
          <w:szCs w:val="24"/>
        </w:rPr>
        <w:t>días</w:t>
      </w:r>
      <w:r w:rsidR="00004561">
        <w:rPr>
          <w:rFonts w:ascii="Century Gothic" w:hAnsi="Century Gothic" w:cstheme="minorHAnsi"/>
          <w:sz w:val="24"/>
          <w:szCs w:val="24"/>
        </w:rPr>
        <w:t xml:space="preserve"> </w:t>
      </w:r>
      <w:r w:rsidR="0096119C" w:rsidRPr="00004561">
        <w:rPr>
          <w:rFonts w:ascii="Century Gothic" w:hAnsi="Century Gothic" w:cstheme="minorHAnsi"/>
          <w:sz w:val="24"/>
          <w:szCs w:val="24"/>
        </w:rPr>
        <w:t>de</w:t>
      </w:r>
      <w:r w:rsidR="00414AA3">
        <w:rPr>
          <w:rFonts w:ascii="Century Gothic" w:hAnsi="Century Gothic" w:cstheme="minorHAnsi"/>
          <w:sz w:val="24"/>
          <w:szCs w:val="24"/>
        </w:rPr>
        <w:t xml:space="preserve">l mes de </w:t>
      </w:r>
      <w:r w:rsidR="002619B0">
        <w:rPr>
          <w:rFonts w:ascii="Century Gothic" w:hAnsi="Century Gothic" w:cstheme="minorHAnsi"/>
          <w:sz w:val="24"/>
          <w:szCs w:val="24"/>
        </w:rPr>
        <w:t>octubre</w:t>
      </w:r>
      <w:r w:rsidR="0096119C" w:rsidRPr="00004561">
        <w:rPr>
          <w:rFonts w:ascii="Century Gothic" w:hAnsi="Century Gothic" w:cstheme="minorHAnsi"/>
          <w:sz w:val="24"/>
          <w:szCs w:val="24"/>
        </w:rPr>
        <w:t xml:space="preserve"> de</w:t>
      </w:r>
      <w:r w:rsidR="008A723B">
        <w:rPr>
          <w:rFonts w:ascii="Century Gothic" w:hAnsi="Century Gothic" w:cstheme="minorHAnsi"/>
          <w:sz w:val="24"/>
          <w:szCs w:val="24"/>
        </w:rPr>
        <w:t>l año</w:t>
      </w:r>
      <w:r w:rsidR="0096119C" w:rsidRPr="00004561">
        <w:rPr>
          <w:rFonts w:ascii="Century Gothic" w:hAnsi="Century Gothic" w:cstheme="minorHAnsi"/>
          <w:sz w:val="24"/>
          <w:szCs w:val="24"/>
        </w:rPr>
        <w:t xml:space="preserve"> dos mil veintiuno</w:t>
      </w:r>
      <w:r w:rsidR="00D35546" w:rsidRPr="00004561">
        <w:rPr>
          <w:rFonts w:ascii="Century Gothic" w:hAnsi="Century Gothic" w:cstheme="minorHAnsi"/>
          <w:sz w:val="24"/>
          <w:szCs w:val="24"/>
        </w:rPr>
        <w:t>.</w:t>
      </w:r>
    </w:p>
    <w:p w14:paraId="5C705E5A" w14:textId="77777777" w:rsidR="00383163" w:rsidRDefault="00383163" w:rsidP="00383163">
      <w:pPr>
        <w:jc w:val="both"/>
        <w:rPr>
          <w:rFonts w:ascii="Century Gothic" w:eastAsia="Times New Roman" w:hAnsi="Century Gothic" w:cs="Arial"/>
          <w:b/>
          <w:bCs/>
        </w:rPr>
      </w:pPr>
    </w:p>
    <w:p w14:paraId="1E194CCF" w14:textId="77777777" w:rsidR="00383163" w:rsidRDefault="00383163" w:rsidP="00383163">
      <w:pPr>
        <w:jc w:val="center"/>
        <w:rPr>
          <w:rFonts w:ascii="Century Gothic" w:hAnsi="Century Gothic" w:cstheme="minorHAnsi"/>
          <w:b/>
          <w:sz w:val="28"/>
          <w:szCs w:val="28"/>
        </w:rPr>
      </w:pPr>
    </w:p>
    <w:p w14:paraId="4BA46888" w14:textId="77777777" w:rsidR="00383163" w:rsidRDefault="00383163" w:rsidP="00383163">
      <w:pPr>
        <w:jc w:val="center"/>
        <w:rPr>
          <w:rFonts w:ascii="Century Gothic" w:hAnsi="Century Gothic" w:cstheme="minorHAnsi"/>
          <w:b/>
          <w:sz w:val="28"/>
          <w:szCs w:val="28"/>
        </w:rPr>
      </w:pPr>
    </w:p>
    <w:p w14:paraId="5DE09C01" w14:textId="77777777" w:rsidR="00383163" w:rsidRPr="00CD7505" w:rsidRDefault="00383163" w:rsidP="00383163">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0CCDAF21" w14:textId="77777777" w:rsidR="00383163" w:rsidRDefault="00383163" w:rsidP="00383163">
      <w:pPr>
        <w:pStyle w:val="Prrafodelista"/>
        <w:spacing w:line="240" w:lineRule="auto"/>
        <w:ind w:left="0"/>
        <w:rPr>
          <w:rFonts w:ascii="Century Gothic" w:hAnsi="Century Gothic" w:cs="Arial"/>
          <w:b/>
          <w:sz w:val="28"/>
          <w:szCs w:val="28"/>
          <w:shd w:val="clear" w:color="auto" w:fill="FFFFFF"/>
        </w:rPr>
      </w:pPr>
    </w:p>
    <w:p w14:paraId="49C43385" w14:textId="77777777" w:rsidR="00383163" w:rsidRDefault="00383163" w:rsidP="00383163">
      <w:pPr>
        <w:pStyle w:val="Prrafodelista"/>
        <w:spacing w:line="240" w:lineRule="auto"/>
        <w:ind w:left="0"/>
        <w:rPr>
          <w:rFonts w:ascii="Century Gothic" w:hAnsi="Century Gothic" w:cs="Arial"/>
          <w:b/>
          <w:sz w:val="28"/>
          <w:szCs w:val="28"/>
          <w:shd w:val="clear" w:color="auto" w:fill="FFFFFF"/>
        </w:rPr>
      </w:pPr>
    </w:p>
    <w:p w14:paraId="06F94771" w14:textId="77777777" w:rsidR="00383163" w:rsidRDefault="00383163" w:rsidP="00383163">
      <w:pPr>
        <w:pStyle w:val="Prrafodelista"/>
        <w:spacing w:line="240" w:lineRule="auto"/>
        <w:ind w:left="0"/>
        <w:rPr>
          <w:rFonts w:ascii="Century Gothic" w:hAnsi="Century Gothic" w:cs="Arial"/>
          <w:b/>
          <w:sz w:val="28"/>
          <w:szCs w:val="28"/>
          <w:shd w:val="clear" w:color="auto" w:fill="FFFFFF"/>
        </w:rPr>
      </w:pPr>
    </w:p>
    <w:p w14:paraId="24367087" w14:textId="77777777" w:rsidR="00383163" w:rsidRPr="00B01F48" w:rsidRDefault="00383163" w:rsidP="00383163">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Pr>
          <w:rFonts w:ascii="Century Gothic" w:eastAsia="Times New Roman" w:hAnsi="Century Gothic" w:cstheme="minorHAnsi"/>
          <w:b/>
          <w:sz w:val="28"/>
          <w:szCs w:val="28"/>
        </w:rPr>
        <w:t xml:space="preserve"> LETICIA ORTEGA MÁYNEZ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83163" w14:paraId="2F005F59" w14:textId="77777777" w:rsidTr="00B55008">
        <w:trPr>
          <w:trHeight w:val="1984"/>
        </w:trPr>
        <w:tc>
          <w:tcPr>
            <w:tcW w:w="4414" w:type="dxa"/>
            <w:vAlign w:val="bottom"/>
          </w:tcPr>
          <w:p w14:paraId="5787A08A" w14:textId="77777777" w:rsidR="00383163" w:rsidRPr="00B4691A" w:rsidRDefault="00383163" w:rsidP="00B55008">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tc>
        <w:tc>
          <w:tcPr>
            <w:tcW w:w="4414" w:type="dxa"/>
            <w:vAlign w:val="bottom"/>
          </w:tcPr>
          <w:p w14:paraId="0926C280" w14:textId="77777777" w:rsidR="00383163" w:rsidRPr="00B95BB5" w:rsidRDefault="00383163" w:rsidP="00B55008">
            <w:pPr>
              <w:jc w:val="center"/>
              <w:rPr>
                <w:rFonts w:ascii="Century Gothic" w:hAnsi="Century Gothic" w:cs="Arial"/>
                <w:b/>
                <w:bCs/>
                <w:sz w:val="28"/>
                <w:szCs w:val="28"/>
              </w:rPr>
            </w:pPr>
            <w:r w:rsidRPr="00B95BB5">
              <w:rPr>
                <w:rFonts w:ascii="Century Gothic" w:hAnsi="Century Gothic" w:cs="Arial"/>
                <w:b/>
                <w:bCs/>
                <w:sz w:val="28"/>
                <w:szCs w:val="28"/>
              </w:rPr>
              <w:t>DIP. ÓSCAR DANIEL AVITIA ARELLANES</w:t>
            </w:r>
          </w:p>
        </w:tc>
      </w:tr>
      <w:tr w:rsidR="00383163" w14:paraId="3B26D768" w14:textId="77777777" w:rsidTr="00B55008">
        <w:trPr>
          <w:trHeight w:val="1984"/>
        </w:trPr>
        <w:tc>
          <w:tcPr>
            <w:tcW w:w="4414" w:type="dxa"/>
            <w:vAlign w:val="bottom"/>
          </w:tcPr>
          <w:p w14:paraId="3C56B1AC" w14:textId="77777777" w:rsidR="00383163"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 xml:space="preserve">DIP. ROSANA DÍAZ </w:t>
            </w:r>
          </w:p>
          <w:p w14:paraId="64EAF33E"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REYES</w:t>
            </w:r>
          </w:p>
        </w:tc>
        <w:tc>
          <w:tcPr>
            <w:tcW w:w="4414" w:type="dxa"/>
            <w:vAlign w:val="bottom"/>
          </w:tcPr>
          <w:p w14:paraId="2482709C"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DIP. GUSTAVO DE LA ROSA HICKERSON</w:t>
            </w:r>
          </w:p>
        </w:tc>
      </w:tr>
      <w:tr w:rsidR="00383163" w14:paraId="0A1B4475" w14:textId="77777777" w:rsidTr="00B55008">
        <w:trPr>
          <w:trHeight w:val="1984"/>
        </w:trPr>
        <w:tc>
          <w:tcPr>
            <w:tcW w:w="4414" w:type="dxa"/>
            <w:vAlign w:val="bottom"/>
          </w:tcPr>
          <w:p w14:paraId="5C22763D" w14:textId="77777777" w:rsidR="00383163" w:rsidRPr="00BE34A6" w:rsidRDefault="00383163" w:rsidP="00B55008">
            <w:pPr>
              <w:jc w:val="center"/>
              <w:rPr>
                <w:rFonts w:ascii="Century Gothic" w:hAnsi="Century Gothic" w:cs="Arial"/>
                <w:b/>
                <w:bCs/>
                <w:sz w:val="28"/>
                <w:szCs w:val="28"/>
              </w:rPr>
            </w:pPr>
            <w:r>
              <w:rPr>
                <w:rFonts w:ascii="Century Gothic" w:eastAsia="Times New Roman" w:hAnsi="Century Gothic" w:cstheme="minorHAnsi"/>
                <w:b/>
                <w:sz w:val="28"/>
                <w:szCs w:val="28"/>
              </w:rPr>
              <w:t xml:space="preserve">DIP. </w:t>
            </w:r>
            <w:r w:rsidRPr="00F2284F">
              <w:rPr>
                <w:rFonts w:ascii="Century Gothic" w:eastAsia="Times New Roman" w:hAnsi="Century Gothic" w:cstheme="minorHAnsi"/>
                <w:b/>
                <w:sz w:val="28"/>
                <w:szCs w:val="28"/>
              </w:rPr>
              <w:t>MAGDALENA RENTERÍA PÉREZ</w:t>
            </w:r>
          </w:p>
        </w:tc>
        <w:tc>
          <w:tcPr>
            <w:tcW w:w="4414" w:type="dxa"/>
            <w:vAlign w:val="bottom"/>
          </w:tcPr>
          <w:p w14:paraId="311EEA9D"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DIP. MAR</w:t>
            </w:r>
            <w:r>
              <w:rPr>
                <w:rFonts w:ascii="Century Gothic" w:hAnsi="Century Gothic" w:cs="Arial"/>
                <w:b/>
                <w:bCs/>
                <w:sz w:val="28"/>
                <w:szCs w:val="28"/>
              </w:rPr>
              <w:t>Í</w:t>
            </w:r>
            <w:r w:rsidRPr="00BE34A6">
              <w:rPr>
                <w:rFonts w:ascii="Century Gothic" w:hAnsi="Century Gothic" w:cs="Arial"/>
                <w:b/>
                <w:bCs/>
                <w:sz w:val="28"/>
                <w:szCs w:val="28"/>
              </w:rPr>
              <w:t>A ANTONIETA PÉREZ REYES</w:t>
            </w:r>
          </w:p>
        </w:tc>
      </w:tr>
      <w:tr w:rsidR="00383163" w14:paraId="318DF7A7" w14:textId="77777777" w:rsidTr="00B55008">
        <w:trPr>
          <w:trHeight w:val="1984"/>
        </w:trPr>
        <w:tc>
          <w:tcPr>
            <w:tcW w:w="4414" w:type="dxa"/>
            <w:vAlign w:val="bottom"/>
          </w:tcPr>
          <w:p w14:paraId="531DF18D"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DIP. ADRIANA TERRAZAS PORRAS</w:t>
            </w:r>
          </w:p>
        </w:tc>
        <w:tc>
          <w:tcPr>
            <w:tcW w:w="4414" w:type="dxa"/>
            <w:vAlign w:val="bottom"/>
          </w:tcPr>
          <w:p w14:paraId="3EC89F24"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DIP. BENJAMÍN CARRERA CHÁVEZ</w:t>
            </w:r>
          </w:p>
        </w:tc>
      </w:tr>
      <w:tr w:rsidR="00383163" w14:paraId="144CF16A" w14:textId="77777777" w:rsidTr="00B55008">
        <w:trPr>
          <w:trHeight w:val="1984"/>
        </w:trPr>
        <w:tc>
          <w:tcPr>
            <w:tcW w:w="4414" w:type="dxa"/>
            <w:vAlign w:val="bottom"/>
          </w:tcPr>
          <w:p w14:paraId="2E6297C3" w14:textId="77777777" w:rsidR="00383163" w:rsidRPr="00BE34A6" w:rsidRDefault="00383163" w:rsidP="00B55008">
            <w:pPr>
              <w:jc w:val="center"/>
              <w:rPr>
                <w:rFonts w:ascii="Century Gothic" w:hAnsi="Century Gothic" w:cs="Arial"/>
                <w:b/>
                <w:bCs/>
                <w:sz w:val="28"/>
                <w:szCs w:val="28"/>
              </w:rPr>
            </w:pPr>
            <w:r w:rsidRPr="00BE34A6">
              <w:rPr>
                <w:rFonts w:ascii="Century Gothic" w:hAnsi="Century Gothic" w:cs="Arial"/>
                <w:b/>
                <w:bCs/>
                <w:sz w:val="28"/>
                <w:szCs w:val="28"/>
              </w:rPr>
              <w:t>DIP. DAVID OSCAR CASTREJÓN RIVAS</w:t>
            </w:r>
          </w:p>
        </w:tc>
        <w:tc>
          <w:tcPr>
            <w:tcW w:w="4414" w:type="dxa"/>
          </w:tcPr>
          <w:p w14:paraId="1764E25E" w14:textId="77777777" w:rsidR="00383163" w:rsidRDefault="00383163" w:rsidP="00B55008">
            <w:pPr>
              <w:jc w:val="center"/>
              <w:rPr>
                <w:rFonts w:ascii="Century Gothic" w:hAnsi="Century Gothic" w:cs="Arial"/>
                <w:sz w:val="28"/>
                <w:szCs w:val="28"/>
              </w:rPr>
            </w:pPr>
          </w:p>
        </w:tc>
      </w:tr>
    </w:tbl>
    <w:p w14:paraId="66D62B00" w14:textId="77777777" w:rsidR="00383163" w:rsidRPr="00B01F48" w:rsidRDefault="00383163" w:rsidP="00383163">
      <w:pPr>
        <w:rPr>
          <w:rFonts w:ascii="Century Gothic" w:eastAsia="Arial Unicode MS" w:hAnsi="Century Gothic" w:cs="Arial"/>
          <w:b/>
          <w:sz w:val="28"/>
          <w:szCs w:val="28"/>
        </w:rPr>
      </w:pPr>
    </w:p>
    <w:p w14:paraId="3E017D88" w14:textId="1770C633" w:rsidR="00AE775B" w:rsidRPr="00EA432F" w:rsidRDefault="00AE775B" w:rsidP="00383163">
      <w:pPr>
        <w:jc w:val="center"/>
        <w:rPr>
          <w:rFonts w:ascii="Century Gothic" w:eastAsia="Arial Unicode MS" w:hAnsi="Century Gothic" w:cs="Arial"/>
          <w:b/>
          <w:sz w:val="28"/>
          <w:szCs w:val="28"/>
        </w:rPr>
      </w:pPr>
    </w:p>
    <w:sectPr w:rsidR="00AE775B" w:rsidRPr="00EA432F" w:rsidSect="00EF0A59">
      <w:headerReference w:type="default" r:id="rId8"/>
      <w:footerReference w:type="default" r:id="rId9"/>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D6CD2" w14:textId="77777777" w:rsidR="001B41D2" w:rsidRDefault="001B41D2" w:rsidP="00C251A4">
      <w:r>
        <w:separator/>
      </w:r>
    </w:p>
  </w:endnote>
  <w:endnote w:type="continuationSeparator" w:id="0">
    <w:p w14:paraId="293A75D6" w14:textId="77777777" w:rsidR="001B41D2" w:rsidRDefault="001B41D2"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5C49F6">
              <w:rPr>
                <w:rFonts w:ascii="Century Gothic" w:hAnsi="Century Gothic"/>
                <w:b/>
                <w:bCs/>
                <w:noProof/>
                <w:color w:val="525252" w:themeColor="accent3" w:themeShade="80"/>
                <w:sz w:val="16"/>
                <w:szCs w:val="16"/>
              </w:rPr>
              <w:t>1</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5C49F6">
              <w:rPr>
                <w:rFonts w:ascii="Century Gothic" w:hAnsi="Century Gothic"/>
                <w:b/>
                <w:bCs/>
                <w:noProof/>
                <w:color w:val="525252" w:themeColor="accent3" w:themeShade="80"/>
                <w:sz w:val="16"/>
                <w:szCs w:val="16"/>
              </w:rPr>
              <w:t>20</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036D" w14:textId="77777777" w:rsidR="001B41D2" w:rsidRDefault="001B41D2" w:rsidP="00C251A4">
      <w:r>
        <w:separator/>
      </w:r>
    </w:p>
  </w:footnote>
  <w:footnote w:type="continuationSeparator" w:id="0">
    <w:p w14:paraId="1BB17D80" w14:textId="77777777" w:rsidR="001B41D2" w:rsidRDefault="001B41D2" w:rsidP="00C251A4">
      <w:r>
        <w:continuationSeparator/>
      </w:r>
    </w:p>
  </w:footnote>
  <w:footnote w:id="1">
    <w:p w14:paraId="3FD68620" w14:textId="77777777" w:rsidR="004F08C8" w:rsidRPr="007C2FB0" w:rsidRDefault="004F08C8" w:rsidP="00EA432F">
      <w:pPr>
        <w:pStyle w:val="Textonotapie"/>
        <w:spacing w:afterLines="20" w:after="48" w:line="276" w:lineRule="auto"/>
        <w:rPr>
          <w:rFonts w:ascii="Century Gothic" w:hAnsi="Century Gothic" w:cstheme="minorHAnsi"/>
          <w:sz w:val="16"/>
          <w:szCs w:val="16"/>
        </w:rPr>
      </w:pPr>
      <w:r w:rsidRPr="007C2FB0">
        <w:rPr>
          <w:rStyle w:val="Refdenotaalpie"/>
          <w:rFonts w:ascii="Century Gothic" w:hAnsi="Century Gothic" w:cstheme="minorHAnsi"/>
          <w:sz w:val="16"/>
          <w:szCs w:val="16"/>
        </w:rPr>
        <w:footnoteRef/>
      </w:r>
      <w:r w:rsidRPr="007C2FB0">
        <w:rPr>
          <w:rFonts w:ascii="Century Gothic" w:hAnsi="Century Gothic" w:cstheme="minorHAnsi"/>
          <w:sz w:val="16"/>
          <w:szCs w:val="16"/>
        </w:rPr>
        <w:t xml:space="preserve"> El término ECOSIG se prefiere al uso de otros como “terapias de conversión” o “terapias reparativas” por dos razones: la primera es que al usar la palabra “terapia” se les valida como tal cuando no lo son; y la segunda es que es inexacto, ya que estas prácticas no pertenecen a la medicina o psicología formal, es decir, no son terapéuticas.</w:t>
      </w:r>
    </w:p>
  </w:footnote>
  <w:footnote w:id="2">
    <w:p w14:paraId="23E43E56" w14:textId="1092DA34" w:rsidR="004F08C8" w:rsidRPr="007C2FB0" w:rsidRDefault="004F08C8" w:rsidP="00EA432F">
      <w:pPr>
        <w:pStyle w:val="Textonotapie"/>
        <w:spacing w:afterLines="20" w:after="48"/>
        <w:rPr>
          <w:rFonts w:ascii="Century Gothic" w:hAnsi="Century Gothic" w:cstheme="minorHAnsi"/>
          <w:sz w:val="16"/>
          <w:szCs w:val="16"/>
        </w:rPr>
      </w:pPr>
      <w:r w:rsidRPr="007C2FB0">
        <w:rPr>
          <w:rStyle w:val="Refdenotaalpie"/>
          <w:rFonts w:ascii="Century Gothic" w:hAnsi="Century Gothic" w:cstheme="minorHAnsi"/>
          <w:sz w:val="16"/>
          <w:szCs w:val="16"/>
        </w:rPr>
        <w:footnoteRef/>
      </w:r>
      <w:r w:rsidRPr="007C2FB0">
        <w:rPr>
          <w:rFonts w:ascii="Century Gothic" w:hAnsi="Century Gothic" w:cstheme="minorHAnsi"/>
          <w:sz w:val="16"/>
          <w:szCs w:val="16"/>
        </w:rPr>
        <w:t xml:space="preserve"> </w:t>
      </w:r>
      <w:r w:rsidR="00C8129A" w:rsidRPr="007C2FB0">
        <w:rPr>
          <w:rFonts w:ascii="Century Gothic" w:hAnsi="Century Gothic" w:cstheme="minorHAnsi"/>
          <w:sz w:val="16"/>
          <w:szCs w:val="16"/>
        </w:rPr>
        <w:t xml:space="preserve">De acuerdo con los </w:t>
      </w:r>
      <w:r w:rsidRPr="007C2FB0">
        <w:rPr>
          <w:rFonts w:ascii="Century Gothic" w:hAnsi="Century Gothic" w:cstheme="minorHAnsi"/>
          <w:sz w:val="16"/>
          <w:szCs w:val="16"/>
        </w:rPr>
        <w:t xml:space="preserve">Principios de Yoogyakarta, </w:t>
      </w:r>
      <w:r w:rsidR="00C8129A" w:rsidRPr="007C2FB0">
        <w:rPr>
          <w:rFonts w:ascii="Century Gothic" w:hAnsi="Century Gothic" w:cstheme="minorHAnsi"/>
          <w:sz w:val="16"/>
          <w:szCs w:val="16"/>
        </w:rPr>
        <w:t>l</w:t>
      </w:r>
      <w:r w:rsidRPr="007C2FB0">
        <w:rPr>
          <w:rFonts w:ascii="Century Gothic" w:hAnsi="Century Gothic" w:cstheme="minorHAnsi"/>
          <w:sz w:val="16"/>
          <w:szCs w:val="16"/>
        </w:rPr>
        <w:t>a orientación sexual se refiere a la capacidad de cada persona de sentir una profunda atracción emocional, afectiva y sexual por personas de un género diferente al suyo, o de su mismo género, o de más de un género, así como la capacidad mantener relaciones íntimas y sexuales con estas personas."</w:t>
      </w:r>
    </w:p>
  </w:footnote>
  <w:footnote w:id="3">
    <w:p w14:paraId="06383260" w14:textId="72C226C2" w:rsidR="004F08C8" w:rsidRPr="007C2FB0" w:rsidRDefault="004F08C8" w:rsidP="00EA432F">
      <w:pPr>
        <w:pStyle w:val="Textonotapie"/>
        <w:spacing w:afterLines="20" w:after="48"/>
        <w:rPr>
          <w:rFonts w:ascii="Century Gothic" w:hAnsi="Century Gothic"/>
          <w:sz w:val="16"/>
          <w:szCs w:val="16"/>
        </w:rPr>
      </w:pPr>
      <w:r w:rsidRPr="007C2FB0">
        <w:rPr>
          <w:rStyle w:val="Refdenotaalpie"/>
          <w:rFonts w:ascii="Century Gothic" w:hAnsi="Century Gothic" w:cstheme="minorHAnsi"/>
          <w:sz w:val="16"/>
          <w:szCs w:val="16"/>
        </w:rPr>
        <w:footnoteRef/>
      </w:r>
      <w:r w:rsidRPr="007C2FB0">
        <w:rPr>
          <w:rFonts w:ascii="Century Gothic" w:hAnsi="Century Gothic" w:cstheme="minorHAnsi"/>
          <w:sz w:val="16"/>
          <w:szCs w:val="16"/>
        </w:rPr>
        <w:t xml:space="preserve"> </w:t>
      </w:r>
      <w:r w:rsidR="00C8129A" w:rsidRPr="007C2FB0">
        <w:rPr>
          <w:rFonts w:ascii="Century Gothic" w:hAnsi="Century Gothic" w:cstheme="minorHAnsi"/>
          <w:sz w:val="16"/>
          <w:szCs w:val="16"/>
        </w:rPr>
        <w:t xml:space="preserve">De acuerdo con </w:t>
      </w:r>
      <w:r w:rsidRPr="007C2FB0">
        <w:rPr>
          <w:rFonts w:ascii="Century Gothic" w:hAnsi="Century Gothic" w:cstheme="minorHAnsi"/>
          <w:sz w:val="16"/>
          <w:szCs w:val="16"/>
        </w:rPr>
        <w:t>Principios de Yoogyakarta</w:t>
      </w:r>
      <w:r w:rsidR="00C8129A" w:rsidRPr="007C2FB0">
        <w:rPr>
          <w:rFonts w:ascii="Century Gothic" w:hAnsi="Century Gothic" w:cstheme="minorHAnsi"/>
          <w:sz w:val="16"/>
          <w:szCs w:val="16"/>
        </w:rPr>
        <w:t xml:space="preserve"> l</w:t>
      </w:r>
      <w:r w:rsidRPr="007C2FB0">
        <w:rPr>
          <w:rFonts w:ascii="Century Gothic" w:hAnsi="Century Gothic" w:cstheme="minorHAnsi"/>
          <w:sz w:val="16"/>
          <w:szCs w:val="16"/>
        </w:rPr>
        <w:t xml:space="preserve">a identidad de género se refiere a la vivencia interna e individual del género tal como cada persona la siente profundamente, la cual podría corresponder o no con el sexo asignado al momento del nacimiento, incluyendo la vivencia personal del cuerpo (que podría involucrar la modificación de la apariencia o la función corporal a través de medios médicos, quirúrgicos o de otra índole, siempre que la misma sea libremente escogida) y otras expresiones de género, incluyendo la vestimenta, el modo de hablar y los modales. </w:t>
      </w:r>
    </w:p>
  </w:footnote>
  <w:footnote w:id="4">
    <w:p w14:paraId="18E3EABD" w14:textId="08AEBB99" w:rsidR="006B7C05" w:rsidRPr="007C2FB0" w:rsidRDefault="006B7C05" w:rsidP="00EA432F">
      <w:pPr>
        <w:pStyle w:val="Textonotapie"/>
        <w:spacing w:afterLines="20" w:after="48"/>
        <w:rPr>
          <w:rFonts w:ascii="Century Gothic" w:hAnsi="Century Gothic"/>
          <w:sz w:val="16"/>
          <w:szCs w:val="16"/>
          <w:lang w:val="es-419"/>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w:t>
      </w:r>
      <w:r w:rsidR="00FA411A" w:rsidRPr="007C2FB0">
        <w:rPr>
          <w:rFonts w:ascii="Century Gothic" w:hAnsi="Century Gothic" w:cstheme="minorHAnsi"/>
          <w:sz w:val="16"/>
          <w:szCs w:val="16"/>
          <w:shd w:val="clear" w:color="auto" w:fill="FFFFFF"/>
        </w:rPr>
        <w:t xml:space="preserve">La expresión de género es la manifestación externa de los rasgos culturales que permiten identificar a una persona como masculina o femenina conforme a los patrones considerados propios de cada género por una determinada sociedad en un momento histórico determinado. Por un lado, la expresión de género se refiere a la forma en la que las personas interpretan el género de una persona en particular, sin importar como ella misma se identifique. Por otro lado, como se mencionó previamente </w:t>
      </w:r>
      <w:r w:rsidR="00E30EFD">
        <w:rPr>
          <w:rFonts w:ascii="Century Gothic" w:hAnsi="Century Gothic" w:cstheme="minorHAnsi"/>
          <w:sz w:val="16"/>
          <w:szCs w:val="16"/>
          <w:shd w:val="clear" w:color="auto" w:fill="FFFFFF"/>
        </w:rPr>
        <w:t xml:space="preserve">que </w:t>
      </w:r>
      <w:r w:rsidR="00FA411A" w:rsidRPr="007C2FB0">
        <w:rPr>
          <w:rFonts w:ascii="Century Gothic" w:hAnsi="Century Gothic" w:cstheme="minorHAnsi"/>
          <w:sz w:val="16"/>
          <w:szCs w:val="16"/>
          <w:shd w:val="clear" w:color="auto" w:fill="FFFFFF"/>
        </w:rPr>
        <w:t>la identidad de género alude a la manera en que una persona se asume a sí misma, independientemente de cómo la perciben los demás.</w:t>
      </w:r>
    </w:p>
  </w:footnote>
  <w:footnote w:id="5">
    <w:p w14:paraId="1228C65D" w14:textId="7A81796F" w:rsidR="00901735" w:rsidRPr="007C2FB0" w:rsidRDefault="00901735" w:rsidP="00EA432F">
      <w:pPr>
        <w:pStyle w:val="Textonotapie"/>
        <w:spacing w:afterLines="20" w:after="48"/>
        <w:rPr>
          <w:rFonts w:ascii="Century Gothic" w:hAnsi="Century Gothic"/>
          <w:sz w:val="16"/>
          <w:szCs w:val="16"/>
          <w:lang w:val="es-419"/>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Informe del Experto Independiente sobre la protección contra la violencia y la discriminación por motivos de orientación sexual o identidad de género </w:t>
      </w:r>
      <w:r w:rsidR="0070032C" w:rsidRPr="007C2FB0">
        <w:rPr>
          <w:rFonts w:ascii="Century Gothic" w:hAnsi="Century Gothic"/>
          <w:sz w:val="16"/>
          <w:szCs w:val="16"/>
        </w:rPr>
        <w:t>presentado ante el Consejo de Derechos Humanos de la ONU. Véase en</w:t>
      </w:r>
      <w:r w:rsidRPr="007C2FB0">
        <w:rPr>
          <w:rFonts w:ascii="Century Gothic" w:hAnsi="Century Gothic"/>
          <w:sz w:val="16"/>
          <w:szCs w:val="16"/>
        </w:rPr>
        <w:t xml:space="preserve"> https://undocs.org/es/A/HRC/44/53</w:t>
      </w:r>
    </w:p>
  </w:footnote>
  <w:footnote w:id="6">
    <w:p w14:paraId="1F735897" w14:textId="3EA42512" w:rsidR="00901735" w:rsidRPr="007C2FB0" w:rsidRDefault="00901735" w:rsidP="00EA432F">
      <w:pPr>
        <w:pStyle w:val="Textonotapie"/>
        <w:spacing w:afterLines="20" w:after="48"/>
        <w:rPr>
          <w:rFonts w:ascii="Century Gothic" w:hAnsi="Century Gothic"/>
          <w:sz w:val="16"/>
          <w:szCs w:val="16"/>
          <w:lang w:val="es-419"/>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w:t>
      </w:r>
      <w:r w:rsidR="007C2FB0" w:rsidRPr="007C2FB0">
        <w:rPr>
          <w:rStyle w:val="nfasis"/>
          <w:rFonts w:ascii="Century Gothic" w:hAnsi="Century Gothic" w:cs="Arial"/>
          <w:i w:val="0"/>
          <w:iCs w:val="0"/>
          <w:sz w:val="16"/>
          <w:szCs w:val="16"/>
          <w:shd w:val="clear" w:color="auto" w:fill="FFFFFF"/>
        </w:rPr>
        <w:t>Resolución</w:t>
      </w:r>
      <w:r w:rsidR="007C2FB0" w:rsidRPr="007C2FB0">
        <w:rPr>
          <w:rFonts w:ascii="Century Gothic" w:hAnsi="Century Gothic" w:cs="Arial"/>
          <w:sz w:val="16"/>
          <w:szCs w:val="16"/>
          <w:shd w:val="clear" w:color="auto" w:fill="FFFFFF"/>
        </w:rPr>
        <w:t> sobre Derechos Humanos, Orientación Sexual e Identidad de Género, </w:t>
      </w:r>
      <w:r w:rsidR="007C2FB0" w:rsidRPr="007C2FB0">
        <w:rPr>
          <w:rStyle w:val="nfasis"/>
          <w:rFonts w:ascii="Century Gothic" w:hAnsi="Century Gothic" w:cs="Arial"/>
          <w:i w:val="0"/>
          <w:iCs w:val="0"/>
          <w:sz w:val="16"/>
          <w:szCs w:val="16"/>
          <w:shd w:val="clear" w:color="auto" w:fill="FFFFFF"/>
        </w:rPr>
        <w:t>AG</w:t>
      </w:r>
      <w:r w:rsidR="007C2FB0" w:rsidRPr="007C2FB0">
        <w:rPr>
          <w:rFonts w:ascii="Century Gothic" w:hAnsi="Century Gothic" w:cs="Arial"/>
          <w:sz w:val="16"/>
          <w:szCs w:val="16"/>
          <w:shd w:val="clear" w:color="auto" w:fill="FFFFFF"/>
        </w:rPr>
        <w:t>/</w:t>
      </w:r>
      <w:r w:rsidR="007C2FB0" w:rsidRPr="007C2FB0">
        <w:rPr>
          <w:rStyle w:val="nfasis"/>
          <w:rFonts w:ascii="Century Gothic" w:hAnsi="Century Gothic" w:cs="Arial"/>
          <w:i w:val="0"/>
          <w:iCs w:val="0"/>
          <w:sz w:val="16"/>
          <w:szCs w:val="16"/>
          <w:shd w:val="clear" w:color="auto" w:fill="FFFFFF"/>
        </w:rPr>
        <w:t>RES</w:t>
      </w:r>
      <w:r w:rsidR="007C2FB0" w:rsidRPr="007C2FB0">
        <w:rPr>
          <w:rFonts w:ascii="Century Gothic" w:hAnsi="Century Gothic" w:cs="Arial"/>
          <w:sz w:val="16"/>
          <w:szCs w:val="16"/>
          <w:shd w:val="clear" w:color="auto" w:fill="FFFFFF"/>
        </w:rPr>
        <w:t>. </w:t>
      </w:r>
      <w:r w:rsidR="007C2FB0" w:rsidRPr="007C2FB0">
        <w:rPr>
          <w:rStyle w:val="nfasis"/>
          <w:rFonts w:ascii="Century Gothic" w:hAnsi="Century Gothic" w:cs="Arial"/>
          <w:i w:val="0"/>
          <w:iCs w:val="0"/>
          <w:sz w:val="16"/>
          <w:szCs w:val="16"/>
          <w:shd w:val="clear" w:color="auto" w:fill="FFFFFF"/>
        </w:rPr>
        <w:t>2600</w:t>
      </w:r>
      <w:r w:rsidR="007C2FB0" w:rsidRPr="007C2FB0">
        <w:rPr>
          <w:rFonts w:ascii="Century Gothic" w:hAnsi="Century Gothic" w:cs="Arial"/>
          <w:sz w:val="16"/>
          <w:szCs w:val="16"/>
          <w:shd w:val="clear" w:color="auto" w:fill="FFFFFF"/>
        </w:rPr>
        <w:t> (</w:t>
      </w:r>
      <w:r w:rsidR="007C2FB0" w:rsidRPr="007C2FB0">
        <w:rPr>
          <w:rStyle w:val="nfasis"/>
          <w:rFonts w:ascii="Century Gothic" w:hAnsi="Century Gothic" w:cs="Arial"/>
          <w:i w:val="0"/>
          <w:iCs w:val="0"/>
          <w:sz w:val="16"/>
          <w:szCs w:val="16"/>
          <w:shd w:val="clear" w:color="auto" w:fill="FFFFFF"/>
        </w:rPr>
        <w:t>XL</w:t>
      </w:r>
      <w:r w:rsidR="007C2FB0" w:rsidRPr="007C2FB0">
        <w:rPr>
          <w:rFonts w:ascii="Century Gothic" w:hAnsi="Century Gothic" w:cs="Arial"/>
          <w:sz w:val="16"/>
          <w:szCs w:val="16"/>
          <w:shd w:val="clear" w:color="auto" w:fill="FFFFFF"/>
        </w:rPr>
        <w:t>-O/</w:t>
      </w:r>
      <w:r w:rsidR="007C2FB0" w:rsidRPr="007C2FB0">
        <w:rPr>
          <w:rStyle w:val="nfasis"/>
          <w:rFonts w:ascii="Century Gothic" w:hAnsi="Century Gothic" w:cs="Arial"/>
          <w:i w:val="0"/>
          <w:iCs w:val="0"/>
          <w:sz w:val="16"/>
          <w:szCs w:val="16"/>
          <w:shd w:val="clear" w:color="auto" w:fill="FFFFFF"/>
        </w:rPr>
        <w:t>10</w:t>
      </w:r>
      <w:r w:rsidR="007C2FB0" w:rsidRPr="007C2FB0">
        <w:rPr>
          <w:rFonts w:ascii="Century Gothic" w:hAnsi="Century Gothic" w:cs="Arial"/>
          <w:sz w:val="16"/>
          <w:szCs w:val="16"/>
          <w:shd w:val="clear" w:color="auto" w:fill="FFFFFF"/>
        </w:rPr>
        <w:t>).</w:t>
      </w:r>
      <w:r w:rsidR="007C2FB0" w:rsidRPr="007C2FB0">
        <w:rPr>
          <w:rFonts w:ascii="Century Gothic" w:hAnsi="Century Gothic"/>
          <w:sz w:val="16"/>
          <w:szCs w:val="16"/>
          <w:lang w:val="es-419"/>
        </w:rPr>
        <w:t xml:space="preserve"> </w:t>
      </w:r>
      <w:r w:rsidRPr="007C2FB0">
        <w:rPr>
          <w:rFonts w:ascii="Century Gothic" w:hAnsi="Century Gothic"/>
          <w:sz w:val="16"/>
          <w:szCs w:val="16"/>
          <w:lang w:val="es-419"/>
        </w:rPr>
        <w:t xml:space="preserve">Véase </w:t>
      </w:r>
      <w:r w:rsidR="007C2FB0" w:rsidRPr="007C2FB0">
        <w:rPr>
          <w:rFonts w:ascii="Century Gothic" w:hAnsi="Century Gothic"/>
          <w:sz w:val="16"/>
          <w:szCs w:val="16"/>
          <w:lang w:val="es-419"/>
        </w:rPr>
        <w:t xml:space="preserve">en </w:t>
      </w:r>
      <w:r w:rsidRPr="007C2FB0">
        <w:rPr>
          <w:rFonts w:ascii="Century Gothic" w:hAnsi="Century Gothic"/>
          <w:sz w:val="16"/>
          <w:szCs w:val="16"/>
          <w:lang w:val="es-419"/>
        </w:rPr>
        <w:t>https://www.oas.org/dil/esp/ag-res_2600_xl-o-10_esp.pdf</w:t>
      </w:r>
    </w:p>
  </w:footnote>
  <w:footnote w:id="7">
    <w:p w14:paraId="6186E669" w14:textId="02ACA51A" w:rsidR="00901735" w:rsidRPr="007C2FB0" w:rsidRDefault="00901735" w:rsidP="00EA432F">
      <w:pPr>
        <w:pStyle w:val="Textonotapie"/>
        <w:spacing w:afterLines="20" w:after="48"/>
        <w:rPr>
          <w:rFonts w:ascii="Century Gothic" w:hAnsi="Century Gothic"/>
          <w:sz w:val="16"/>
          <w:szCs w:val="16"/>
          <w:lang w:val="es-419"/>
        </w:rPr>
      </w:pPr>
      <w:r w:rsidRPr="007C2FB0">
        <w:rPr>
          <w:rStyle w:val="Refdenotaalpie"/>
          <w:rFonts w:ascii="Century Gothic" w:hAnsi="Century Gothic"/>
          <w:sz w:val="16"/>
          <w:szCs w:val="16"/>
        </w:rPr>
        <w:footnoteRef/>
      </w:r>
      <w:r w:rsidRPr="007C2FB0">
        <w:rPr>
          <w:rStyle w:val="Refdenotaalpie"/>
          <w:rFonts w:ascii="Century Gothic" w:hAnsi="Century Gothic"/>
          <w:sz w:val="16"/>
          <w:szCs w:val="16"/>
        </w:rPr>
        <w:t xml:space="preserve"> </w:t>
      </w:r>
      <w:r w:rsidRPr="007C2FB0">
        <w:rPr>
          <w:rFonts w:ascii="Century Gothic" w:hAnsi="Century Gothic" w:cstheme="minorHAnsi"/>
          <w:sz w:val="16"/>
          <w:szCs w:val="16"/>
        </w:rPr>
        <w:t>Principios de Yogyakarta sobre la Aplicación de la Legislación Internacional de Derechos Humanos en relación con la Orientación Sexual y la Identidad de Género</w:t>
      </w:r>
      <w:r w:rsidR="0070032C" w:rsidRPr="007C2FB0">
        <w:rPr>
          <w:rFonts w:ascii="Century Gothic" w:hAnsi="Century Gothic"/>
          <w:sz w:val="16"/>
          <w:szCs w:val="16"/>
        </w:rPr>
        <w:t>. Véase en</w:t>
      </w:r>
      <w:r w:rsidRPr="007C2FB0">
        <w:rPr>
          <w:rFonts w:ascii="Century Gothic" w:hAnsi="Century Gothic"/>
          <w:sz w:val="16"/>
          <w:szCs w:val="16"/>
        </w:rPr>
        <w:t xml:space="preserve"> https://www.refworld.org/cgi-bin/texis/vtx/rwmain/opendocpdf.pdf?reldoc=y&amp;docid=48244e9f2</w:t>
      </w:r>
    </w:p>
  </w:footnote>
  <w:footnote w:id="8">
    <w:p w14:paraId="2DB225D3" w14:textId="1397172A" w:rsidR="00901735" w:rsidRPr="00427280" w:rsidRDefault="00901735" w:rsidP="00EA432F">
      <w:pPr>
        <w:rPr>
          <w:rFonts w:ascii="Century Gothic" w:hAnsi="Century Gothic"/>
          <w:sz w:val="16"/>
          <w:szCs w:val="16"/>
          <w:lang w:val="es-419"/>
        </w:rPr>
      </w:pPr>
      <w:r w:rsidRPr="00427280">
        <w:rPr>
          <w:rStyle w:val="Refdenotaalpie"/>
          <w:rFonts w:ascii="Century Gothic" w:hAnsi="Century Gothic"/>
          <w:sz w:val="16"/>
          <w:szCs w:val="16"/>
        </w:rPr>
        <w:footnoteRef/>
      </w:r>
      <w:r w:rsidRPr="00427280">
        <w:rPr>
          <w:rFonts w:ascii="Century Gothic" w:hAnsi="Century Gothic"/>
          <w:sz w:val="16"/>
          <w:szCs w:val="16"/>
        </w:rPr>
        <w:t xml:space="preserve"> </w:t>
      </w:r>
      <w:r w:rsidR="0070032C" w:rsidRPr="00427280">
        <w:rPr>
          <w:rFonts w:ascii="Century Gothic" w:hAnsi="Century Gothic"/>
          <w:sz w:val="16"/>
          <w:szCs w:val="16"/>
          <w:shd w:val="clear" w:color="auto" w:fill="FFFFFF"/>
        </w:rPr>
        <w:t>Orientación Sexual, Identidad de Género y Expresión de Género: Algunos Términos y Estándares Relevantes, Estudio elaborado por la Comisión Interamericana de Derechos Humanos, en cumplimiento de la resolución AG/RES. 2653 (XLI-O/11): Derechos Humanos, Orientación Sexual e Identidad de Género, 23 abril 2012, Doc. OEA/Ser.G, párrafo 8.</w:t>
      </w:r>
    </w:p>
  </w:footnote>
  <w:footnote w:id="9">
    <w:p w14:paraId="69C7C08A" w14:textId="5C0FD771" w:rsidR="00C8129A" w:rsidRPr="007C2FB0" w:rsidRDefault="00C8129A" w:rsidP="00EA432F">
      <w:pPr>
        <w:rPr>
          <w:rFonts w:eastAsia="Times New Roman"/>
          <w:lang w:eastAsia="es-MX"/>
        </w:rPr>
      </w:pPr>
      <w:r w:rsidRPr="00427280">
        <w:rPr>
          <w:rStyle w:val="Refdenotaalpie"/>
          <w:rFonts w:ascii="Century Gothic" w:hAnsi="Century Gothic"/>
          <w:sz w:val="16"/>
          <w:szCs w:val="16"/>
        </w:rPr>
        <w:footnoteRef/>
      </w:r>
      <w:r w:rsidRPr="00427280">
        <w:rPr>
          <w:rFonts w:ascii="Century Gothic" w:hAnsi="Century Gothic"/>
          <w:sz w:val="16"/>
          <w:szCs w:val="16"/>
        </w:rPr>
        <w:t xml:space="preserve"> Observación general núm. 22 (2016), relativa al derecho a la salud sexual y reproductiva (artículo 12 del Pacto Internacional de Derechos Económicos, Sociales y</w:t>
      </w:r>
      <w:r w:rsidR="0070032C" w:rsidRPr="00427280">
        <w:rPr>
          <w:rFonts w:ascii="Century Gothic" w:hAnsi="Century Gothic"/>
          <w:sz w:val="16"/>
          <w:szCs w:val="16"/>
        </w:rPr>
        <w:t xml:space="preserve"> </w:t>
      </w:r>
      <w:r w:rsidRPr="00427280">
        <w:rPr>
          <w:rFonts w:ascii="Century Gothic" w:hAnsi="Century Gothic"/>
          <w:sz w:val="16"/>
          <w:szCs w:val="16"/>
        </w:rPr>
        <w:t>Culturales)</w:t>
      </w:r>
    </w:p>
  </w:footnote>
  <w:footnote w:id="10">
    <w:p w14:paraId="3F61E4A0" w14:textId="6437EE8C" w:rsidR="00427280" w:rsidRPr="00427280" w:rsidRDefault="00427280" w:rsidP="00EA432F">
      <w:pPr>
        <w:pStyle w:val="Textonotapie"/>
        <w:rPr>
          <w:rFonts w:ascii="Century Gothic" w:hAnsi="Century Gothic"/>
          <w:sz w:val="16"/>
          <w:szCs w:val="16"/>
          <w:lang w:val="es-419"/>
        </w:rPr>
      </w:pPr>
      <w:r w:rsidRPr="00427280">
        <w:rPr>
          <w:rStyle w:val="Refdenotaalpie"/>
          <w:rFonts w:ascii="Century Gothic" w:hAnsi="Century Gothic"/>
          <w:sz w:val="16"/>
          <w:szCs w:val="16"/>
        </w:rPr>
        <w:footnoteRef/>
      </w:r>
      <w:r w:rsidRPr="00427280">
        <w:rPr>
          <w:rFonts w:ascii="Century Gothic" w:hAnsi="Century Gothic"/>
          <w:sz w:val="16"/>
          <w:szCs w:val="16"/>
        </w:rPr>
        <w:t xml:space="preserve"> “C</w:t>
      </w:r>
      <w:r>
        <w:rPr>
          <w:rFonts w:ascii="Century Gothic" w:hAnsi="Century Gothic"/>
          <w:sz w:val="16"/>
          <w:szCs w:val="16"/>
        </w:rPr>
        <w:t>uras” para una enfermedad que no existe.</w:t>
      </w:r>
      <w:r w:rsidRPr="00427280">
        <w:rPr>
          <w:rFonts w:ascii="Century Gothic" w:hAnsi="Century Gothic"/>
          <w:sz w:val="16"/>
          <w:szCs w:val="16"/>
        </w:rPr>
        <w:t xml:space="preserve"> Las supuestas terapias de cambio de orientación sexual carecen de justificación médica y son éticamente inaceptables. Organización Panamericana de la Salud. Véase en https://www.paho.org/hq/dmdocuments/2013/Curas-enfermedad-OPS-TR.pdf</w:t>
      </w:r>
    </w:p>
  </w:footnote>
  <w:footnote w:id="11">
    <w:p w14:paraId="0CB9B677" w14:textId="07546DFD" w:rsidR="00427280" w:rsidRPr="00427280" w:rsidRDefault="00427280" w:rsidP="00EA432F">
      <w:pPr>
        <w:pStyle w:val="Textonotapie"/>
        <w:rPr>
          <w:lang w:val="es-419"/>
        </w:rPr>
      </w:pPr>
      <w:r>
        <w:rPr>
          <w:rStyle w:val="Refdenotaalpie"/>
        </w:rPr>
        <w:footnoteRef/>
      </w:r>
      <w:r>
        <w:t xml:space="preserve"> </w:t>
      </w:r>
      <w:r w:rsidRPr="00427280">
        <w:rPr>
          <w:rFonts w:ascii="Century Gothic" w:hAnsi="Century Gothic"/>
          <w:sz w:val="16"/>
          <w:szCs w:val="16"/>
          <w:lang w:val="es-419"/>
        </w:rPr>
        <w:t>Posicionamiento de la Asociación Mundial de Psiquiatría. Véase en https://www.psychiatry.org/newsroom/news-releases/apa-reiterates-strong-opposition-to-conversion-therapy</w:t>
      </w:r>
    </w:p>
  </w:footnote>
  <w:footnote w:id="12">
    <w:p w14:paraId="49763524" w14:textId="69173D41" w:rsidR="00C8129A" w:rsidRPr="007C2FB0" w:rsidRDefault="00C8129A" w:rsidP="00EA432F">
      <w:pPr>
        <w:pStyle w:val="Textonotapie"/>
        <w:spacing w:afterLines="20" w:after="48"/>
        <w:rPr>
          <w:rFonts w:ascii="Century Gothic" w:hAnsi="Century Gothic"/>
          <w:sz w:val="16"/>
          <w:szCs w:val="16"/>
          <w:lang w:val="es-419"/>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w:t>
      </w:r>
      <w:r w:rsidR="007C2FB0" w:rsidRPr="007C2FB0">
        <w:rPr>
          <w:rFonts w:ascii="Century Gothic" w:hAnsi="Century Gothic"/>
          <w:sz w:val="16"/>
          <w:szCs w:val="16"/>
          <w:lang w:val="es-419"/>
        </w:rPr>
        <w:t xml:space="preserve">Pronunciamiento </w:t>
      </w:r>
      <w:r w:rsidR="00EA432F">
        <w:rPr>
          <w:rFonts w:ascii="Century Gothic" w:hAnsi="Century Gothic"/>
          <w:sz w:val="16"/>
          <w:szCs w:val="16"/>
          <w:lang w:val="es-419"/>
        </w:rPr>
        <w:t>“</w:t>
      </w:r>
      <w:r w:rsidR="007C2FB0" w:rsidRPr="007C2FB0">
        <w:rPr>
          <w:rFonts w:ascii="Century Gothic" w:hAnsi="Century Gothic"/>
          <w:sz w:val="16"/>
          <w:szCs w:val="16"/>
        </w:rPr>
        <w:t xml:space="preserve">Ser lesbiana, gay, bisexual y/o trans no es una enfermedad” Día Internacional contra la Homofobia, la Transfobia y la Bifobia. Véase en </w:t>
      </w:r>
      <w:r w:rsidRPr="007C2FB0">
        <w:rPr>
          <w:rFonts w:ascii="Century Gothic" w:hAnsi="Century Gothic"/>
          <w:sz w:val="16"/>
          <w:szCs w:val="16"/>
          <w:lang w:val="es-419"/>
        </w:rPr>
        <w:t>https://www.ohchr.org/EN/NewsEvents/Pages/DisplayNews.aspx?NewsID=19956&amp;LangID=S</w:t>
      </w:r>
    </w:p>
  </w:footnote>
  <w:footnote w:id="13">
    <w:p w14:paraId="7735BB55" w14:textId="0D7A419B" w:rsidR="009E1800" w:rsidRPr="009E1800" w:rsidRDefault="009E1800">
      <w:pPr>
        <w:pStyle w:val="Textonotapie"/>
        <w:rPr>
          <w:lang w:val="es-419"/>
        </w:rPr>
      </w:pPr>
      <w:r>
        <w:rPr>
          <w:rStyle w:val="Refdenotaalpie"/>
        </w:rPr>
        <w:footnoteRef/>
      </w:r>
      <w:r>
        <w:t xml:space="preserve"> </w:t>
      </w:r>
    </w:p>
  </w:footnote>
  <w:footnote w:id="14">
    <w:p w14:paraId="6DFFEE1C" w14:textId="77777777" w:rsidR="007C2FB0" w:rsidRPr="007C2FB0" w:rsidRDefault="007C2FB0" w:rsidP="00EA432F">
      <w:pPr>
        <w:pStyle w:val="Textonotapie"/>
        <w:spacing w:afterLines="20" w:after="48"/>
        <w:rPr>
          <w:rFonts w:ascii="Century Gothic" w:hAnsi="Century Gothic" w:cs="Arial"/>
          <w:sz w:val="16"/>
          <w:szCs w:val="16"/>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w:t>
      </w:r>
      <w:r w:rsidRPr="007C2FB0">
        <w:rPr>
          <w:rFonts w:ascii="Century Gothic" w:hAnsi="Century Gothic" w:cs="Arial"/>
          <w:sz w:val="16"/>
          <w:szCs w:val="16"/>
        </w:rPr>
        <w:t xml:space="preserve">Hernández Forcada, Ricardo. “Comisión Nacional de Derechos Humanos. Programa Especial de VIH Y Derechos Humanos. Oficio: PVG/DPVIH/270/2017,” 3 junio, 2017.  </w:t>
      </w:r>
    </w:p>
  </w:footnote>
  <w:footnote w:id="15">
    <w:p w14:paraId="1D5F71B8" w14:textId="12078948" w:rsidR="0070032C" w:rsidRPr="007C2FB0" w:rsidRDefault="0070032C" w:rsidP="00EA432F">
      <w:pPr>
        <w:pStyle w:val="Textonotapie"/>
        <w:spacing w:afterLines="20" w:after="48"/>
        <w:rPr>
          <w:rFonts w:ascii="Century Gothic" w:hAnsi="Century Gothic" w:cs="Arial"/>
          <w:sz w:val="16"/>
          <w:szCs w:val="16"/>
        </w:rPr>
      </w:pPr>
      <w:r w:rsidRPr="007C2FB0">
        <w:rPr>
          <w:rStyle w:val="Refdenotaalpie"/>
          <w:rFonts w:ascii="Century Gothic" w:hAnsi="Century Gothic"/>
          <w:sz w:val="16"/>
          <w:szCs w:val="16"/>
        </w:rPr>
        <w:footnoteRef/>
      </w:r>
      <w:r w:rsidRPr="007C2FB0">
        <w:rPr>
          <w:rFonts w:ascii="Century Gothic" w:hAnsi="Century Gothic"/>
          <w:sz w:val="16"/>
          <w:szCs w:val="16"/>
        </w:rPr>
        <w:t xml:space="preserve"> </w:t>
      </w:r>
      <w:r w:rsidRPr="007C2FB0">
        <w:rPr>
          <w:rFonts w:ascii="Century Gothic" w:hAnsi="Century Gothic" w:cs="Arial"/>
          <w:sz w:val="16"/>
          <w:szCs w:val="16"/>
        </w:rPr>
        <w:t xml:space="preserve">CEAV. “Postura Desde La Comisión Ejecutiva de Atención a Víctimas (CEAV), Respecto a Las Terapias de Conversión Sexual,” 30 mayo, 2017.  </w:t>
      </w:r>
    </w:p>
  </w:footnote>
  <w:footnote w:id="16">
    <w:p w14:paraId="5446867E" w14:textId="6BF55E50" w:rsidR="0070032C" w:rsidRPr="007C2FB0" w:rsidRDefault="0070032C" w:rsidP="00EA432F">
      <w:pPr>
        <w:pStyle w:val="Ttulo2"/>
        <w:shd w:val="clear" w:color="auto" w:fill="FFFFFF"/>
        <w:spacing w:before="0" w:afterLines="20" w:after="48"/>
        <w:textAlignment w:val="baseline"/>
        <w:rPr>
          <w:rFonts w:ascii="Century Gothic" w:eastAsia="Times New Roman" w:hAnsi="Century Gothic" w:cs="Arial"/>
          <w:color w:val="auto"/>
          <w:spacing w:val="13"/>
          <w:sz w:val="16"/>
          <w:szCs w:val="16"/>
          <w:lang w:eastAsia="es-MX"/>
        </w:rPr>
      </w:pPr>
      <w:r w:rsidRPr="007C2FB0">
        <w:rPr>
          <w:rStyle w:val="Refdenotaalpie"/>
          <w:rFonts w:ascii="Century Gothic" w:hAnsi="Century Gothic"/>
          <w:color w:val="auto"/>
          <w:sz w:val="16"/>
          <w:szCs w:val="16"/>
        </w:rPr>
        <w:footnoteRef/>
      </w:r>
      <w:r w:rsidRPr="007C2FB0">
        <w:rPr>
          <w:rFonts w:ascii="Century Gothic" w:hAnsi="Century Gothic"/>
          <w:color w:val="auto"/>
          <w:sz w:val="16"/>
          <w:szCs w:val="16"/>
        </w:rPr>
        <w:t xml:space="preserve"> </w:t>
      </w:r>
      <w:r w:rsidRPr="007C2FB0">
        <w:rPr>
          <w:rFonts w:ascii="Century Gothic" w:hAnsi="Century Gothic" w:cs="Arial"/>
          <w:color w:val="auto"/>
          <w:spacing w:val="13"/>
          <w:sz w:val="16"/>
          <w:szCs w:val="16"/>
        </w:rPr>
        <w:t xml:space="preserve">Pronunciamiento 01/2017 del </w:t>
      </w:r>
      <w:r w:rsidRPr="007C2FB0">
        <w:rPr>
          <w:rFonts w:ascii="Century Gothic" w:hAnsi="Century Gothic" w:cs="Arial"/>
          <w:color w:val="auto"/>
          <w:spacing w:val="13"/>
          <w:sz w:val="16"/>
          <w:szCs w:val="16"/>
          <w:shd w:val="clear" w:color="auto" w:fill="FFFFFF"/>
        </w:rPr>
        <w:t>Consejo Nacional para Prevenir la Discriminación. Véase en https://www.conapred.org.mx/index.php?contenido=boletin&amp;id=974&amp;id_opcion=&amp;op=213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34EE" w14:textId="77777777" w:rsidR="00486DA1" w:rsidRPr="00397FDC" w:rsidRDefault="00486DA1" w:rsidP="00486DA1">
    <w:pPr>
      <w:pStyle w:val="Encabezado"/>
      <w:jc w:val="right"/>
      <w:rPr>
        <w:rFonts w:ascii="Edwardian Script ITC" w:hAnsi="Edwardian Script ITC"/>
        <w:b/>
        <w:bCs/>
        <w:i/>
        <w:iCs/>
        <w:sz w:val="22"/>
        <w:szCs w:val="22"/>
      </w:rPr>
    </w:pPr>
    <w:r w:rsidRPr="00397FDC">
      <w:rPr>
        <w:rFonts w:ascii="Edwardian Script ITC" w:hAnsi="Edwardian Script ITC"/>
        <w:b/>
        <w:bCs/>
        <w:i/>
        <w:iCs/>
        <w:sz w:val="22"/>
        <w:szCs w:val="22"/>
      </w:rPr>
      <w:t xml:space="preserve">“2021, Año del Bicentenario de la Consumación de la Independencia de México” </w:t>
    </w:r>
  </w:p>
  <w:p w14:paraId="0AB03427" w14:textId="77777777" w:rsidR="00486DA1" w:rsidRPr="00397FDC" w:rsidRDefault="00486DA1" w:rsidP="00486DA1">
    <w:pPr>
      <w:pStyle w:val="Encabezado"/>
      <w:jc w:val="right"/>
      <w:rPr>
        <w:rFonts w:ascii="Edwardian Script ITC" w:hAnsi="Edwardian Script ITC"/>
        <w:b/>
        <w:bCs/>
        <w:i/>
        <w:iCs/>
        <w:sz w:val="22"/>
        <w:szCs w:val="22"/>
      </w:rPr>
    </w:pPr>
    <w:r w:rsidRPr="00397FDC">
      <w:rPr>
        <w:rFonts w:ascii="Edwardian Script ITC" w:hAnsi="Edwardian Script ITC"/>
        <w:b/>
        <w:bCs/>
        <w:i/>
        <w:iCs/>
        <w:sz w:val="22"/>
        <w:szCs w:val="22"/>
      </w:rPr>
      <w:t>“2021, Año de las Culturas del Norte”</w:t>
    </w:r>
  </w:p>
  <w:p w14:paraId="357D3A9A" w14:textId="77777777" w:rsidR="00C251A4" w:rsidRDefault="00C251A4">
    <w:pPr>
      <w:pStyle w:val="Encabezado"/>
      <w:rPr>
        <w:sz w:val="24"/>
      </w:rPr>
    </w:pPr>
  </w:p>
  <w:p w14:paraId="2E93E7A8" w14:textId="77777777" w:rsidR="00397FDC" w:rsidRDefault="00397FDC">
    <w:pPr>
      <w:pStyle w:val="Encabezado"/>
      <w:rPr>
        <w:sz w:val="24"/>
      </w:rPr>
    </w:pPr>
  </w:p>
  <w:p w14:paraId="7B2AD65E" w14:textId="136AA7E5" w:rsidR="00397FDC" w:rsidRPr="00397FDC" w:rsidRDefault="00397FDC" w:rsidP="00397FDC">
    <w:pPr>
      <w:pStyle w:val="Encabezado"/>
      <w:jc w:val="right"/>
      <w:rPr>
        <w:rFonts w:ascii="Bahnschrift" w:hAnsi="Bahnschrift"/>
        <w:sz w:val="24"/>
      </w:rPr>
    </w:pPr>
    <w:r w:rsidRPr="00397FDC">
      <w:rPr>
        <w:rFonts w:ascii="Bahnschrift" w:hAnsi="Bahnschrift"/>
        <w:sz w:val="24"/>
      </w:rPr>
      <w:t>Grupo Parlamentario de MORENA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C71C3"/>
    <w:multiLevelType w:val="hybridMultilevel"/>
    <w:tmpl w:val="5A6445F8"/>
    <w:lvl w:ilvl="0" w:tplc="C50CF73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3D0C68"/>
    <w:multiLevelType w:val="hybridMultilevel"/>
    <w:tmpl w:val="A672F7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4561"/>
    <w:rsid w:val="000145AE"/>
    <w:rsid w:val="000368C4"/>
    <w:rsid w:val="00041F93"/>
    <w:rsid w:val="00053264"/>
    <w:rsid w:val="00063458"/>
    <w:rsid w:val="00063741"/>
    <w:rsid w:val="00066A63"/>
    <w:rsid w:val="00071B8E"/>
    <w:rsid w:val="00072F5D"/>
    <w:rsid w:val="00075B11"/>
    <w:rsid w:val="00080904"/>
    <w:rsid w:val="00093EFB"/>
    <w:rsid w:val="000A376D"/>
    <w:rsid w:val="000B398C"/>
    <w:rsid w:val="000B531A"/>
    <w:rsid w:val="000B7160"/>
    <w:rsid w:val="000C023F"/>
    <w:rsid w:val="000C6F45"/>
    <w:rsid w:val="000D32AC"/>
    <w:rsid w:val="000D381F"/>
    <w:rsid w:val="000F04E4"/>
    <w:rsid w:val="001001A2"/>
    <w:rsid w:val="0010127E"/>
    <w:rsid w:val="00101F49"/>
    <w:rsid w:val="00103358"/>
    <w:rsid w:val="00107C68"/>
    <w:rsid w:val="00124628"/>
    <w:rsid w:val="001421A7"/>
    <w:rsid w:val="00145366"/>
    <w:rsid w:val="00145E59"/>
    <w:rsid w:val="00161933"/>
    <w:rsid w:val="00161D4E"/>
    <w:rsid w:val="001624F4"/>
    <w:rsid w:val="0016309E"/>
    <w:rsid w:val="00167FF2"/>
    <w:rsid w:val="001728AC"/>
    <w:rsid w:val="00174B2F"/>
    <w:rsid w:val="00175B86"/>
    <w:rsid w:val="00181A62"/>
    <w:rsid w:val="001922A1"/>
    <w:rsid w:val="00196423"/>
    <w:rsid w:val="001A0582"/>
    <w:rsid w:val="001A343E"/>
    <w:rsid w:val="001B41D2"/>
    <w:rsid w:val="001B7CF7"/>
    <w:rsid w:val="001F1AF8"/>
    <w:rsid w:val="001F4975"/>
    <w:rsid w:val="00210DE7"/>
    <w:rsid w:val="00216799"/>
    <w:rsid w:val="00230DA2"/>
    <w:rsid w:val="002320C5"/>
    <w:rsid w:val="00232ADC"/>
    <w:rsid w:val="00244259"/>
    <w:rsid w:val="002619B0"/>
    <w:rsid w:val="002639CA"/>
    <w:rsid w:val="00265967"/>
    <w:rsid w:val="002724B0"/>
    <w:rsid w:val="00277CF7"/>
    <w:rsid w:val="002800B0"/>
    <w:rsid w:val="00280AC0"/>
    <w:rsid w:val="002828FC"/>
    <w:rsid w:val="002938F7"/>
    <w:rsid w:val="0029637A"/>
    <w:rsid w:val="00296579"/>
    <w:rsid w:val="002B4140"/>
    <w:rsid w:val="002C4036"/>
    <w:rsid w:val="002C4850"/>
    <w:rsid w:val="002C5FC1"/>
    <w:rsid w:val="002C79BC"/>
    <w:rsid w:val="002D52D1"/>
    <w:rsid w:val="002D72DF"/>
    <w:rsid w:val="002E03E7"/>
    <w:rsid w:val="002E331F"/>
    <w:rsid w:val="002E6974"/>
    <w:rsid w:val="002E71C5"/>
    <w:rsid w:val="002E7E41"/>
    <w:rsid w:val="00303FAD"/>
    <w:rsid w:val="00306FE4"/>
    <w:rsid w:val="003145D1"/>
    <w:rsid w:val="00314FF2"/>
    <w:rsid w:val="00317DA5"/>
    <w:rsid w:val="003220C1"/>
    <w:rsid w:val="00326A4B"/>
    <w:rsid w:val="00327B56"/>
    <w:rsid w:val="0033154D"/>
    <w:rsid w:val="00342DBF"/>
    <w:rsid w:val="003600DF"/>
    <w:rsid w:val="0037240F"/>
    <w:rsid w:val="00383163"/>
    <w:rsid w:val="00383EBC"/>
    <w:rsid w:val="003933C6"/>
    <w:rsid w:val="00397FDC"/>
    <w:rsid w:val="003A3F09"/>
    <w:rsid w:val="003A56C3"/>
    <w:rsid w:val="003A5836"/>
    <w:rsid w:val="003B3661"/>
    <w:rsid w:val="003B3760"/>
    <w:rsid w:val="003B7AE5"/>
    <w:rsid w:val="003C2DCF"/>
    <w:rsid w:val="003C38E4"/>
    <w:rsid w:val="003D0270"/>
    <w:rsid w:val="003D6821"/>
    <w:rsid w:val="003F3A2C"/>
    <w:rsid w:val="003F7ED5"/>
    <w:rsid w:val="00404D67"/>
    <w:rsid w:val="00414AA3"/>
    <w:rsid w:val="00416ED3"/>
    <w:rsid w:val="004231D9"/>
    <w:rsid w:val="00426070"/>
    <w:rsid w:val="00427280"/>
    <w:rsid w:val="00427557"/>
    <w:rsid w:val="0043743D"/>
    <w:rsid w:val="004427EA"/>
    <w:rsid w:val="00443630"/>
    <w:rsid w:val="00444DB2"/>
    <w:rsid w:val="00451D22"/>
    <w:rsid w:val="00451E1E"/>
    <w:rsid w:val="0045240B"/>
    <w:rsid w:val="00454D39"/>
    <w:rsid w:val="00456054"/>
    <w:rsid w:val="0046016B"/>
    <w:rsid w:val="00461A2D"/>
    <w:rsid w:val="00463819"/>
    <w:rsid w:val="00472738"/>
    <w:rsid w:val="00486DA1"/>
    <w:rsid w:val="00494CAF"/>
    <w:rsid w:val="00495C2F"/>
    <w:rsid w:val="004A3F77"/>
    <w:rsid w:val="004B1708"/>
    <w:rsid w:val="004B1EF6"/>
    <w:rsid w:val="004C2672"/>
    <w:rsid w:val="004C56DE"/>
    <w:rsid w:val="004D4BF3"/>
    <w:rsid w:val="004F08C8"/>
    <w:rsid w:val="004F0ED0"/>
    <w:rsid w:val="00503D65"/>
    <w:rsid w:val="00512354"/>
    <w:rsid w:val="0051604B"/>
    <w:rsid w:val="00524EC9"/>
    <w:rsid w:val="00534FB0"/>
    <w:rsid w:val="00536F31"/>
    <w:rsid w:val="00540724"/>
    <w:rsid w:val="005432C4"/>
    <w:rsid w:val="005437FF"/>
    <w:rsid w:val="005442F2"/>
    <w:rsid w:val="00547DD0"/>
    <w:rsid w:val="0056508F"/>
    <w:rsid w:val="00571C7B"/>
    <w:rsid w:val="005837D0"/>
    <w:rsid w:val="005A12FB"/>
    <w:rsid w:val="005A7B2A"/>
    <w:rsid w:val="005B57D1"/>
    <w:rsid w:val="005B59B6"/>
    <w:rsid w:val="005C1057"/>
    <w:rsid w:val="005C49F6"/>
    <w:rsid w:val="005E57FC"/>
    <w:rsid w:val="005E6556"/>
    <w:rsid w:val="006017FC"/>
    <w:rsid w:val="006057EA"/>
    <w:rsid w:val="00610662"/>
    <w:rsid w:val="00612297"/>
    <w:rsid w:val="0061325C"/>
    <w:rsid w:val="00622AB5"/>
    <w:rsid w:val="00624347"/>
    <w:rsid w:val="00641458"/>
    <w:rsid w:val="0064202A"/>
    <w:rsid w:val="00643A24"/>
    <w:rsid w:val="0064501D"/>
    <w:rsid w:val="00650E97"/>
    <w:rsid w:val="00666240"/>
    <w:rsid w:val="00672F00"/>
    <w:rsid w:val="0068020C"/>
    <w:rsid w:val="0068082E"/>
    <w:rsid w:val="00687A07"/>
    <w:rsid w:val="006B5B87"/>
    <w:rsid w:val="006B7C05"/>
    <w:rsid w:val="006C048E"/>
    <w:rsid w:val="006D3F29"/>
    <w:rsid w:val="006D61F9"/>
    <w:rsid w:val="006F10E1"/>
    <w:rsid w:val="006F57F0"/>
    <w:rsid w:val="0070032C"/>
    <w:rsid w:val="00700B10"/>
    <w:rsid w:val="00725888"/>
    <w:rsid w:val="00732FD9"/>
    <w:rsid w:val="0073434F"/>
    <w:rsid w:val="007417C1"/>
    <w:rsid w:val="00754276"/>
    <w:rsid w:val="007579FC"/>
    <w:rsid w:val="0076786B"/>
    <w:rsid w:val="00770B4F"/>
    <w:rsid w:val="00772816"/>
    <w:rsid w:val="00773A65"/>
    <w:rsid w:val="00773A87"/>
    <w:rsid w:val="0078283A"/>
    <w:rsid w:val="0078724C"/>
    <w:rsid w:val="007A0C8B"/>
    <w:rsid w:val="007A7A92"/>
    <w:rsid w:val="007B5454"/>
    <w:rsid w:val="007B6F61"/>
    <w:rsid w:val="007B74E0"/>
    <w:rsid w:val="007B76D7"/>
    <w:rsid w:val="007C25EF"/>
    <w:rsid w:val="007C2FB0"/>
    <w:rsid w:val="007C7D36"/>
    <w:rsid w:val="007D26F3"/>
    <w:rsid w:val="007E08EA"/>
    <w:rsid w:val="007E43D4"/>
    <w:rsid w:val="007E7D66"/>
    <w:rsid w:val="007F63D5"/>
    <w:rsid w:val="00803AB7"/>
    <w:rsid w:val="00805208"/>
    <w:rsid w:val="0081446E"/>
    <w:rsid w:val="008253CA"/>
    <w:rsid w:val="0082540E"/>
    <w:rsid w:val="0083152C"/>
    <w:rsid w:val="00843115"/>
    <w:rsid w:val="00843D7C"/>
    <w:rsid w:val="00861132"/>
    <w:rsid w:val="008742F8"/>
    <w:rsid w:val="0088268D"/>
    <w:rsid w:val="00886CDA"/>
    <w:rsid w:val="0088734F"/>
    <w:rsid w:val="00887403"/>
    <w:rsid w:val="00887B3A"/>
    <w:rsid w:val="0089334D"/>
    <w:rsid w:val="008A1316"/>
    <w:rsid w:val="008A5E36"/>
    <w:rsid w:val="008A723B"/>
    <w:rsid w:val="008B575D"/>
    <w:rsid w:val="008B7CA6"/>
    <w:rsid w:val="008B7D60"/>
    <w:rsid w:val="008C1BE0"/>
    <w:rsid w:val="008E4110"/>
    <w:rsid w:val="00901735"/>
    <w:rsid w:val="009143AE"/>
    <w:rsid w:val="009158F9"/>
    <w:rsid w:val="0092285F"/>
    <w:rsid w:val="00937C39"/>
    <w:rsid w:val="009439AB"/>
    <w:rsid w:val="00951789"/>
    <w:rsid w:val="009523EE"/>
    <w:rsid w:val="0095755D"/>
    <w:rsid w:val="0096119C"/>
    <w:rsid w:val="00964BFD"/>
    <w:rsid w:val="00980D13"/>
    <w:rsid w:val="00984520"/>
    <w:rsid w:val="00996FD9"/>
    <w:rsid w:val="009A01C5"/>
    <w:rsid w:val="009B4CB7"/>
    <w:rsid w:val="009C1186"/>
    <w:rsid w:val="009C758C"/>
    <w:rsid w:val="009E1592"/>
    <w:rsid w:val="009E1800"/>
    <w:rsid w:val="009E2E14"/>
    <w:rsid w:val="009E7DAA"/>
    <w:rsid w:val="00A0441D"/>
    <w:rsid w:val="00A16AE0"/>
    <w:rsid w:val="00A256ED"/>
    <w:rsid w:val="00A30919"/>
    <w:rsid w:val="00A41875"/>
    <w:rsid w:val="00A46C55"/>
    <w:rsid w:val="00A5448E"/>
    <w:rsid w:val="00A564B3"/>
    <w:rsid w:val="00A63F04"/>
    <w:rsid w:val="00A82471"/>
    <w:rsid w:val="00A8584E"/>
    <w:rsid w:val="00A90A3A"/>
    <w:rsid w:val="00AC4E14"/>
    <w:rsid w:val="00AC6496"/>
    <w:rsid w:val="00AD2945"/>
    <w:rsid w:val="00AD56FF"/>
    <w:rsid w:val="00AD5ACE"/>
    <w:rsid w:val="00AE1779"/>
    <w:rsid w:val="00AE6C78"/>
    <w:rsid w:val="00AE775B"/>
    <w:rsid w:val="00B03EF6"/>
    <w:rsid w:val="00B15B87"/>
    <w:rsid w:val="00B259D8"/>
    <w:rsid w:val="00B2782E"/>
    <w:rsid w:val="00B4759E"/>
    <w:rsid w:val="00B525AA"/>
    <w:rsid w:val="00B55036"/>
    <w:rsid w:val="00B5649E"/>
    <w:rsid w:val="00B5747A"/>
    <w:rsid w:val="00B63686"/>
    <w:rsid w:val="00B66504"/>
    <w:rsid w:val="00B6671F"/>
    <w:rsid w:val="00B76D27"/>
    <w:rsid w:val="00B76F89"/>
    <w:rsid w:val="00B83766"/>
    <w:rsid w:val="00B868A0"/>
    <w:rsid w:val="00B87498"/>
    <w:rsid w:val="00B90964"/>
    <w:rsid w:val="00B92142"/>
    <w:rsid w:val="00BA040F"/>
    <w:rsid w:val="00BA6E0D"/>
    <w:rsid w:val="00BF1F90"/>
    <w:rsid w:val="00BF51D2"/>
    <w:rsid w:val="00BF5662"/>
    <w:rsid w:val="00C131BA"/>
    <w:rsid w:val="00C15C13"/>
    <w:rsid w:val="00C2305A"/>
    <w:rsid w:val="00C251A4"/>
    <w:rsid w:val="00C27F58"/>
    <w:rsid w:val="00C30918"/>
    <w:rsid w:val="00C34B3C"/>
    <w:rsid w:val="00C42705"/>
    <w:rsid w:val="00C550AE"/>
    <w:rsid w:val="00C66D21"/>
    <w:rsid w:val="00C70FC2"/>
    <w:rsid w:val="00C721B4"/>
    <w:rsid w:val="00C8129A"/>
    <w:rsid w:val="00CA351B"/>
    <w:rsid w:val="00CA4E64"/>
    <w:rsid w:val="00CA7AE8"/>
    <w:rsid w:val="00CB1B68"/>
    <w:rsid w:val="00CC3BF2"/>
    <w:rsid w:val="00CD47CD"/>
    <w:rsid w:val="00CD7505"/>
    <w:rsid w:val="00CF2FD6"/>
    <w:rsid w:val="00CF4DCD"/>
    <w:rsid w:val="00CF66AB"/>
    <w:rsid w:val="00D006E3"/>
    <w:rsid w:val="00D1234D"/>
    <w:rsid w:val="00D162FC"/>
    <w:rsid w:val="00D22BE2"/>
    <w:rsid w:val="00D23486"/>
    <w:rsid w:val="00D33B6A"/>
    <w:rsid w:val="00D35546"/>
    <w:rsid w:val="00D459C8"/>
    <w:rsid w:val="00D56CB4"/>
    <w:rsid w:val="00D62873"/>
    <w:rsid w:val="00D66E26"/>
    <w:rsid w:val="00D918F9"/>
    <w:rsid w:val="00D93609"/>
    <w:rsid w:val="00DA69CD"/>
    <w:rsid w:val="00DB4652"/>
    <w:rsid w:val="00DB7CA9"/>
    <w:rsid w:val="00DC0089"/>
    <w:rsid w:val="00DC57CA"/>
    <w:rsid w:val="00DC7704"/>
    <w:rsid w:val="00DD4B52"/>
    <w:rsid w:val="00DE1BDA"/>
    <w:rsid w:val="00DF384F"/>
    <w:rsid w:val="00DF4725"/>
    <w:rsid w:val="00E04AA2"/>
    <w:rsid w:val="00E05E7C"/>
    <w:rsid w:val="00E13115"/>
    <w:rsid w:val="00E1423E"/>
    <w:rsid w:val="00E161AF"/>
    <w:rsid w:val="00E207AA"/>
    <w:rsid w:val="00E2101A"/>
    <w:rsid w:val="00E210E4"/>
    <w:rsid w:val="00E2214F"/>
    <w:rsid w:val="00E22408"/>
    <w:rsid w:val="00E227B2"/>
    <w:rsid w:val="00E24806"/>
    <w:rsid w:val="00E24A6E"/>
    <w:rsid w:val="00E25065"/>
    <w:rsid w:val="00E30EFD"/>
    <w:rsid w:val="00E3433B"/>
    <w:rsid w:val="00E35B7B"/>
    <w:rsid w:val="00E4576B"/>
    <w:rsid w:val="00E615A7"/>
    <w:rsid w:val="00E673B1"/>
    <w:rsid w:val="00E81563"/>
    <w:rsid w:val="00E9133B"/>
    <w:rsid w:val="00E960C5"/>
    <w:rsid w:val="00EA432F"/>
    <w:rsid w:val="00EB4EB1"/>
    <w:rsid w:val="00EC0906"/>
    <w:rsid w:val="00EC4C36"/>
    <w:rsid w:val="00EC6046"/>
    <w:rsid w:val="00ED19B5"/>
    <w:rsid w:val="00ED335F"/>
    <w:rsid w:val="00EE199C"/>
    <w:rsid w:val="00EE3564"/>
    <w:rsid w:val="00EF0A59"/>
    <w:rsid w:val="00EF5E46"/>
    <w:rsid w:val="00F03EFD"/>
    <w:rsid w:val="00F108D5"/>
    <w:rsid w:val="00F10E0F"/>
    <w:rsid w:val="00F15E18"/>
    <w:rsid w:val="00F20123"/>
    <w:rsid w:val="00F20700"/>
    <w:rsid w:val="00F2541F"/>
    <w:rsid w:val="00F33054"/>
    <w:rsid w:val="00F45A12"/>
    <w:rsid w:val="00F52E33"/>
    <w:rsid w:val="00F53B2E"/>
    <w:rsid w:val="00F623CB"/>
    <w:rsid w:val="00F66355"/>
    <w:rsid w:val="00F7667E"/>
    <w:rsid w:val="00F92DED"/>
    <w:rsid w:val="00F95C9F"/>
    <w:rsid w:val="00FA1A4F"/>
    <w:rsid w:val="00FA411A"/>
    <w:rsid w:val="00FA7FB7"/>
    <w:rsid w:val="00FB336E"/>
    <w:rsid w:val="00FC701C"/>
    <w:rsid w:val="00FC702C"/>
    <w:rsid w:val="00FD03DB"/>
    <w:rsid w:val="00FD357D"/>
    <w:rsid w:val="00FE318C"/>
    <w:rsid w:val="00FE532D"/>
    <w:rsid w:val="00FE6B74"/>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D2945"/>
    <w:rPr>
      <w:b/>
      <w:bCs/>
    </w:rPr>
  </w:style>
  <w:style w:type="character" w:customStyle="1" w:styleId="st">
    <w:name w:val="st"/>
    <w:basedOn w:val="Fuentedeprrafopredeter"/>
    <w:rsid w:val="00AD2945"/>
  </w:style>
  <w:style w:type="character" w:styleId="nfasis">
    <w:name w:val="Emphasis"/>
    <w:uiPriority w:val="20"/>
    <w:qFormat/>
    <w:rsid w:val="00AD2945"/>
    <w:rPr>
      <w:i/>
      <w:iCs/>
    </w:rPr>
  </w:style>
  <w:style w:type="paragraph" w:styleId="Textonotapie">
    <w:name w:val="footnote text"/>
    <w:basedOn w:val="Normal"/>
    <w:link w:val="TextonotapieCar"/>
    <w:uiPriority w:val="99"/>
    <w:unhideWhenUsed/>
    <w:rsid w:val="00937C39"/>
  </w:style>
  <w:style w:type="character" w:customStyle="1" w:styleId="TextonotapieCar">
    <w:name w:val="Texto nota pie Car"/>
    <w:basedOn w:val="Fuentedeprrafopredeter"/>
    <w:link w:val="Textonotapie"/>
    <w:uiPriority w:val="99"/>
    <w:rsid w:val="00937C39"/>
    <w:rPr>
      <w:rFonts w:ascii="Times New Roman" w:eastAsia="MS Mincho"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54596177">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815676502">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2D2C-0C84-4D4E-9E80-A036EDB8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4090</Words>
  <Characters>22496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2021-10-21T01:48:00Z</cp:lastPrinted>
  <dcterms:created xsi:type="dcterms:W3CDTF">2021-10-21T17:22:00Z</dcterms:created>
  <dcterms:modified xsi:type="dcterms:W3CDTF">2021-10-21T17:22:00Z</dcterms:modified>
</cp:coreProperties>
</file>