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6258" w14:textId="77777777" w:rsidR="00DB4AF9" w:rsidRDefault="00DB4AF9" w:rsidP="00DB4AF9">
      <w:pPr>
        <w:rPr>
          <w:b/>
        </w:rPr>
      </w:pPr>
      <w:r>
        <w:rPr>
          <w:b/>
        </w:rPr>
        <w:t>HONORABLE CONGRESO DEL ESTADO DE CHIHUAHUA</w:t>
      </w:r>
    </w:p>
    <w:p w14:paraId="57ECA980" w14:textId="77777777" w:rsidR="00DB4AF9" w:rsidRDefault="00DB4AF9" w:rsidP="00DB4AF9">
      <w:pPr>
        <w:rPr>
          <w:b/>
        </w:rPr>
      </w:pPr>
      <w:r>
        <w:rPr>
          <w:b/>
        </w:rPr>
        <w:t>P R E S E N T E.-</w:t>
      </w:r>
    </w:p>
    <w:p w14:paraId="2D2F840B" w14:textId="77777777" w:rsidR="00DB4AF9" w:rsidRDefault="00DB4AF9" w:rsidP="00DB4AF9"/>
    <w:p w14:paraId="12E96D18" w14:textId="300946CE" w:rsidR="00DB4AF9" w:rsidRDefault="00DB4AF9" w:rsidP="00DB4AF9">
      <w:pPr>
        <w:rPr>
          <w:b/>
          <w:bCs/>
        </w:rPr>
      </w:pPr>
      <w:r>
        <w:t xml:space="preserve">El suscrito </w:t>
      </w:r>
      <w:r>
        <w:rPr>
          <w:b/>
        </w:rPr>
        <w:t>Omar Bazán Flores</w:t>
      </w:r>
      <w:r>
        <w:t xml:space="preserve">, Diputado de la LXVII Legislatura del Honorable Congreso del Estado, </w:t>
      </w:r>
      <w:r>
        <w:rPr>
          <w:b/>
        </w:rPr>
        <w:t>integrante al grupo parlamentario del Partido Revolucionario Institucional,</w:t>
      </w:r>
      <w:r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>
        <w:rPr>
          <w:b/>
        </w:rPr>
        <w:t xml:space="preserve">Iniciativa con carácter de </w:t>
      </w:r>
      <w:r>
        <w:rPr>
          <w:b/>
          <w:bCs/>
        </w:rPr>
        <w:t xml:space="preserve">Decreto con el propósito </w:t>
      </w:r>
      <w:r>
        <w:rPr>
          <w:b/>
        </w:rPr>
        <w:t xml:space="preserve">de reformar la </w:t>
      </w:r>
      <w:r w:rsidRPr="004D528E">
        <w:rPr>
          <w:b/>
        </w:rPr>
        <w:t>Ley de los Derechos de Niñas, Niños y Adolescentes del Estado de Chihuahua</w:t>
      </w:r>
      <w:r>
        <w:rPr>
          <w:b/>
        </w:rPr>
        <w:t>, a fin de que se</w:t>
      </w:r>
      <w:r>
        <w:rPr>
          <w:b/>
          <w:color w:val="000000" w:themeColor="text1"/>
        </w:rPr>
        <w:t xml:space="preserve"> </w:t>
      </w:r>
      <w:r w:rsidRPr="00190F05">
        <w:rPr>
          <w:b/>
          <w:color w:val="000000" w:themeColor="text1"/>
        </w:rPr>
        <w:t xml:space="preserve">reforme el Artículo </w:t>
      </w:r>
      <w:r w:rsidR="00190F05">
        <w:rPr>
          <w:b/>
          <w:color w:val="000000" w:themeColor="text1"/>
        </w:rPr>
        <w:t>102</w:t>
      </w:r>
      <w:r>
        <w:rPr>
          <w:b/>
          <w:bCs/>
        </w:rPr>
        <w:t>, con la finalidad de</w:t>
      </w:r>
      <w:r w:rsidR="00DF11DF" w:rsidRPr="00DF11DF">
        <w:rPr>
          <w:b/>
          <w:bCs/>
        </w:rPr>
        <w:t xml:space="preserve"> </w:t>
      </w:r>
      <w:r w:rsidR="00DF11DF">
        <w:rPr>
          <w:b/>
          <w:bCs/>
          <w:color w:val="000000" w:themeColor="text1"/>
        </w:rPr>
        <w:t xml:space="preserve">prohibir </w:t>
      </w:r>
      <w:r w:rsidR="00DF11DF" w:rsidRPr="00190F05">
        <w:rPr>
          <w:b/>
          <w:bCs/>
        </w:rPr>
        <w:t>el procedimiento de retorno asistido</w:t>
      </w:r>
      <w:r w:rsidRPr="00DF11DF">
        <w:rPr>
          <w:b/>
          <w:bCs/>
        </w:rPr>
        <w:t>,</w:t>
      </w:r>
      <w:r>
        <w:rPr>
          <w:b/>
          <w:bCs/>
        </w:rPr>
        <w:t xml:space="preserve"> </w:t>
      </w:r>
      <w:r>
        <w:t>por lo que me permito someter ante Ustedes la siguiente:</w:t>
      </w:r>
    </w:p>
    <w:p w14:paraId="200AF60E" w14:textId="77777777" w:rsidR="00DB4AF9" w:rsidRDefault="00DB4AF9" w:rsidP="00DB4AF9"/>
    <w:p w14:paraId="5F8E43BC" w14:textId="77777777" w:rsidR="00DB4AF9" w:rsidRDefault="00DB4AF9" w:rsidP="00DB4AF9">
      <w:pPr>
        <w:jc w:val="center"/>
        <w:rPr>
          <w:b/>
        </w:rPr>
      </w:pPr>
      <w:r>
        <w:rPr>
          <w:b/>
        </w:rPr>
        <w:t>EXPOSICIÓN DE MOTIVOS</w:t>
      </w:r>
    </w:p>
    <w:p w14:paraId="6FC97C87" w14:textId="37056A2F" w:rsidR="00DB4AF9" w:rsidRDefault="00DB4AF9" w:rsidP="00DB4AF9"/>
    <w:p w14:paraId="65C74D5C" w14:textId="7197E975" w:rsidR="00922D4A" w:rsidRDefault="00922D4A" w:rsidP="00DB4AF9">
      <w:r w:rsidRPr="00922D4A">
        <w:t>La protección de niñas, niños y adolescentes en el contexto de migración y desplazamiento forzado es un tema de vital importancia y gran complejidad, especialmente cuando se trata de garantizar que no sean devueltos, expulsados, deportados o sometidos a cualquier forma de retorno que ponga en peligro su vida, seguridad o libertad. Est</w:t>
      </w:r>
      <w:r>
        <w:t>a iniciativa</w:t>
      </w:r>
      <w:r w:rsidRPr="00922D4A">
        <w:t xml:space="preserve"> examina las razones por las cuales es imperativo prohibir tales acciones, especialmente cuando el interés superior del menor está en riesgo, y analiza los contextos de persecución, violencia generalizada, violaciones masivas de derechos humanos, tortura y tratos crueles, inhumanos o degradantes.</w:t>
      </w:r>
    </w:p>
    <w:p w14:paraId="6BE41ABF" w14:textId="2C745B6B" w:rsidR="00922D4A" w:rsidRDefault="00922D4A" w:rsidP="00DB4AF9">
      <w:r w:rsidRPr="00922D4A">
        <w:t xml:space="preserve">El principio del interés superior del niño, consagrado en la Convención sobre los Derechos del Niño de 1989, establece que en todas las decisiones que afecten a los menores, su bienestar debe ser la consideración primordial. Este principio subraya que las niñas, niños y adolescentes deben ser protegidos de cualquier </w:t>
      </w:r>
      <w:r w:rsidRPr="00922D4A">
        <w:lastRenderedPageBreak/>
        <w:t>acción que pueda perjudicar su desarrollo y bienestar. En el contexto de migración y desplazamiento, esto significa que las autoridades deben evaluar cuidadosamente las circunstancias antes de decidir sobre la devolución, expulsión o cualquier forma de retorno de un menor.</w:t>
      </w:r>
    </w:p>
    <w:p w14:paraId="06E3DBD6" w14:textId="47B7F805" w:rsidR="00922D4A" w:rsidRDefault="00922D4A" w:rsidP="00DB4AF9">
      <w:r w:rsidRPr="00922D4A">
        <w:t xml:space="preserve">La prohibición de devolver, expulsar, deportar o retornar a un menor cuando su interés superior se vea vulnerado tiene una base sólida en el derecho internacional. El principio de no devolución, también conocido como </w:t>
      </w:r>
      <w:r w:rsidRPr="00922D4A">
        <w:rPr>
          <w:i/>
          <w:iCs/>
        </w:rPr>
        <w:t>non-</w:t>
      </w:r>
      <w:proofErr w:type="spellStart"/>
      <w:r w:rsidRPr="00922D4A">
        <w:rPr>
          <w:i/>
          <w:iCs/>
        </w:rPr>
        <w:t>refoulement</w:t>
      </w:r>
      <w:proofErr w:type="spellEnd"/>
      <w:r w:rsidRPr="00922D4A">
        <w:t xml:space="preserve">, está establecido en la Convención sobre el Estatuto de los Refugiados de 1951 y su Protocolo de 1967, que prohíbe devolver a una persona a un país donde su vida o libertad estarían amenazadas por motivos de raza, religión, nacionalidad, pertenencia a un grupo social particular </w:t>
      </w:r>
      <w:proofErr w:type="spellStart"/>
      <w:r w:rsidRPr="00922D4A">
        <w:t>o</w:t>
      </w:r>
      <w:proofErr w:type="spellEnd"/>
      <w:r w:rsidRPr="00922D4A">
        <w:t xml:space="preserve"> opinión política. Aunque esta convención se refiere específicamente a refugiados, el principio se ha extendido y aplicado a otros contextos de desplazamiento forzado, incluyendo a niños y adolescentes.</w:t>
      </w:r>
    </w:p>
    <w:p w14:paraId="77B2B88C" w14:textId="7037A503" w:rsidR="00922D4A" w:rsidRDefault="00922D4A" w:rsidP="00DB4AF9">
      <w:r w:rsidRPr="00922D4A">
        <w:t>Los contextos de persecución y amenaza a la seguridad son particularmente relevantes para entender por qué es crucial proteger a los menores de la devolución. La persecución puede tomar muchas formas, incluyendo violencia basada en género, reclutamiento forzado por grupos armados, violencia doméstica y explotación laboral o sexual. En muchas situaciones, las niñas, niños y adolescentes que huyen de tales circunstancias no tienen la capacidad de protegerse ni de buscar ayuda adecuada en sus países de origen. Deportarlos o retornarlos a estas condiciones podría resultar en graves violaciones de sus derechos y, en algunos casos, en la pérdida de sus vidas.</w:t>
      </w:r>
    </w:p>
    <w:p w14:paraId="21C25934" w14:textId="5E45F62A" w:rsidR="00922D4A" w:rsidRDefault="00922D4A" w:rsidP="00DB4AF9">
      <w:r w:rsidRPr="00922D4A">
        <w:t xml:space="preserve">La violencia generalizada y las violaciones masivas a los derechos humanos son otros factores que justifican la prohibición de devolver a menores a sus países de origen. En regiones afectadas por conflictos armados, guerras civiles o alta criminalidad, los menores a menudo se encuentran en un estado de vulnerabilidad extrema. La exposición constante a la violencia puede tener efectos devastadores en su desarrollo físico y mental. Los menores pueden ser víctimas directas de la violencia o pueden ser testigos de actos atroces, lo que puede llevar a traumas psicológicos duraderos. En tales contextos, el retorno forzado sería no solo </w:t>
      </w:r>
      <w:r w:rsidRPr="00922D4A">
        <w:lastRenderedPageBreak/>
        <w:t>inhumano, sino también una clara violación de los derechos de los menores a la protección y al desarrollo saludable.</w:t>
      </w:r>
    </w:p>
    <w:p w14:paraId="2B28D4F3" w14:textId="77777777" w:rsidR="00922D4A" w:rsidRPr="00922D4A" w:rsidRDefault="00922D4A" w:rsidP="00922D4A">
      <w:r w:rsidRPr="00922D4A">
        <w:t>Además, existe el riesgo de que los menores retornados sean sometidos a tortura u otros tratos crueles, inhumanos o degradantes. La Convención contra la Tortura y Otros Tratos o Penas Crueles, Inhumanos o Degradantes de las Naciones Unidas, ratificada por muchos países, prohíbe la devolución de cualquier persona a un país donde haya razones fundadas para creer que estaría en peligro de ser sometida a tortura. La protección contra la tortura es absoluta y no admite excepciones, destacando la importancia de garantizar que ningún menor sea retornado a un lugar donde podría sufrir tales abusos.</w:t>
      </w:r>
    </w:p>
    <w:p w14:paraId="587E32C3" w14:textId="77777777" w:rsidR="00922D4A" w:rsidRPr="00922D4A" w:rsidRDefault="00922D4A" w:rsidP="00922D4A">
      <w:r w:rsidRPr="00922D4A">
        <w:t>En la práctica, la aplicación de estas prohibiciones requiere un enfoque integral y coordinado por parte de los estados y las organizaciones internacionales. Los procedimientos de determinación de la condición de refugiado y las evaluaciones de riesgo deben ser rigurosos y sensibles a las necesidades específicas de los menores. Las autoridades deben capacitarse para identificar y responder adecuadamente a los signos de persecución, violencia y otros factores de riesgo que afectan a los menores. Además, es fundamental que se proporcionen mecanismos adecuados para que los menores puedan expresar sus preocupaciones y experiencias en un entorno seguro y de apoyo.</w:t>
      </w:r>
    </w:p>
    <w:p w14:paraId="7C6E3D6D" w14:textId="77777777" w:rsidR="00922D4A" w:rsidRPr="00922D4A" w:rsidRDefault="00922D4A" w:rsidP="00922D4A">
      <w:r w:rsidRPr="00922D4A">
        <w:t>La cooperación internacional es también esencial para abordar los desafíos asociados con la protección de menores en contextos de migración y desplazamiento. Los estados deben colaborar para compartir información, recursos y buenas prácticas, y para garantizar que los menores reciban la protección que necesitan, independientemente de su estatus migratorio. Las organizaciones internacionales, como el Alto Comisionado de las Naciones Unidas para los Refugiados (ACNUR) y el Fondo de las Naciones Unidas para la Infancia (UNICEF), juegan un papel crucial en apoyar a los estados en la implementación de políticas y programas de protección efectivos.</w:t>
      </w:r>
    </w:p>
    <w:p w14:paraId="3D01893E" w14:textId="7B799F26" w:rsidR="00922D4A" w:rsidRDefault="00922D4A" w:rsidP="00DB4AF9">
      <w:r w:rsidRPr="00922D4A">
        <w:t xml:space="preserve">Además, es fundamental que los marcos legales y las políticas nacionales reflejen los compromisos internacionales en materia de derechos de los menores. Esto </w:t>
      </w:r>
      <w:r w:rsidRPr="00922D4A">
        <w:lastRenderedPageBreak/>
        <w:t xml:space="preserve">incluye la incorporación de disposiciones claras y específicas sobre la prohibición de la devolución, expulsión, deportación o retorno de menores en situaciones de riesgo. Las leyes </w:t>
      </w:r>
      <w:r>
        <w:t xml:space="preserve">estatales </w:t>
      </w:r>
      <w:r w:rsidRPr="00922D4A">
        <w:t>deben establecer procedimientos que garanticen una evaluación justa y exhaustiva del interés superior del niño en cada caso individual. Asimismo, es necesario que existan mecanismos de supervisión y rendición de cuentas para asegurar que las autoridades cumplan con sus obligaciones de protección.</w:t>
      </w:r>
    </w:p>
    <w:p w14:paraId="4AEBAE0C" w14:textId="77777777" w:rsidR="00922D4A" w:rsidRPr="00922D4A" w:rsidRDefault="00922D4A" w:rsidP="00922D4A">
      <w:r w:rsidRPr="00922D4A">
        <w:t>La sensibilización y la educación también son componentes clave para promover el respeto de los derechos de los menores en contextos de migración y desplazamiento. Las campañas de sensibilización pueden ayudar a cambiar actitudes y percepciones negativas hacia los menores migrantes y refugiados, fomentando una mayor empatía y solidaridad. La educación en derechos humanos, tanto para los menores como para la comunidad en general, puede empoderar a los niños y adolescentes para que conozcan y reclamen sus derechos, y para que se conviertan en defensores activos de la justicia y la igualdad.</w:t>
      </w:r>
    </w:p>
    <w:p w14:paraId="03DB716A" w14:textId="334D901D" w:rsidR="00922D4A" w:rsidRDefault="00922D4A" w:rsidP="00DB4AF9">
      <w:r w:rsidRPr="00922D4A">
        <w:t>En conclusión, la prohibición de devolver, expulsar, deportar o retornar a niñas, niños y adolescentes cuando su interés superior está en riesgo es una obligación fundamental que los estados deben cumplir para proteger los derechos y el bienestar de los menores. La aplicación efectiva de este principio requiere un enfoque multidimensional que incluya la legislación adecuada, procedimientos rigurosos de evaluación de riesgos, cooperación internacional y sensibilización pública. Al garantizar que los menores no sean sometidos a condiciones peligrosas y degradantes, estamos defendiendo no solo sus derechos individuales, sino también los valores universales de humanidad y dignidad.</w:t>
      </w:r>
    </w:p>
    <w:p w14:paraId="23A28A1E" w14:textId="77777777" w:rsidR="00DB4AF9" w:rsidRDefault="00DB4AF9" w:rsidP="00DB4AF9"/>
    <w:p w14:paraId="2D9956C6" w14:textId="77777777" w:rsidR="00DB4AF9" w:rsidRDefault="00DB4AF9" w:rsidP="00DB4AF9">
      <w:pPr>
        <w:rPr>
          <w:spacing w:val="-5"/>
          <w:shd w:val="clear" w:color="auto" w:fill="FFFFFF"/>
        </w:rPr>
      </w:pPr>
      <w:bookmarkStart w:id="0" w:name="_Hlk143679276"/>
      <w:r>
        <w:rPr>
          <w:spacing w:val="-5"/>
          <w:shd w:val="clear" w:color="auto" w:fill="FFFFFF"/>
        </w:rPr>
        <w:t>Por lo anterior es que me permito someter a consideración de este</w:t>
      </w:r>
      <w:r>
        <w:rPr>
          <w:b/>
          <w:spacing w:val="-5"/>
          <w:shd w:val="clear" w:color="auto" w:fill="FFFFFF"/>
        </w:rPr>
        <w:t xml:space="preserve"> H. Congreso del Estado de Chihuahua</w:t>
      </w:r>
      <w:r>
        <w:rPr>
          <w:spacing w:val="-5"/>
          <w:shd w:val="clear" w:color="auto" w:fill="FFFFFF"/>
        </w:rPr>
        <w:t>, el siguiente proyecto de decreto:</w:t>
      </w:r>
    </w:p>
    <w:p w14:paraId="6EA2B468" w14:textId="77777777" w:rsidR="00DB4AF9" w:rsidRDefault="00DB4AF9" w:rsidP="00DB4AF9">
      <w:pPr>
        <w:rPr>
          <w:b/>
          <w:spacing w:val="-5"/>
          <w:shd w:val="clear" w:color="auto" w:fill="FFFFFF"/>
        </w:rPr>
      </w:pPr>
    </w:p>
    <w:p w14:paraId="72EFE8BF" w14:textId="77777777" w:rsidR="00DB4AF9" w:rsidRDefault="00DB4AF9" w:rsidP="00DB4AF9">
      <w:pPr>
        <w:jc w:val="center"/>
        <w:rPr>
          <w:rFonts w:eastAsia="Times New Roman"/>
          <w:b/>
          <w:color w:val="000000" w:themeColor="text1"/>
          <w:lang w:eastAsia="es-MX"/>
        </w:rPr>
      </w:pPr>
      <w:r>
        <w:rPr>
          <w:rFonts w:eastAsia="Times New Roman"/>
          <w:b/>
          <w:color w:val="000000" w:themeColor="text1"/>
          <w:lang w:eastAsia="es-MX"/>
        </w:rPr>
        <w:t>DECRETO:</w:t>
      </w:r>
    </w:p>
    <w:p w14:paraId="78C0E809" w14:textId="77777777" w:rsidR="00DB4AF9" w:rsidRDefault="00DB4AF9" w:rsidP="00DB4AF9">
      <w:pPr>
        <w:rPr>
          <w:rFonts w:eastAsia="Times New Roman"/>
          <w:b/>
          <w:color w:val="000000" w:themeColor="text1"/>
          <w:lang w:eastAsia="es-MX"/>
        </w:rPr>
      </w:pPr>
    </w:p>
    <w:p w14:paraId="1B929CD4" w14:textId="37E97778" w:rsidR="00DB4AF9" w:rsidRDefault="00DB4AF9" w:rsidP="00DB4AF9">
      <w:pPr>
        <w:rPr>
          <w:bCs/>
          <w:color w:val="000000" w:themeColor="text1"/>
        </w:rPr>
      </w:pPr>
      <w:r>
        <w:rPr>
          <w:rFonts w:eastAsia="Times New Roman"/>
          <w:b/>
          <w:color w:val="000000" w:themeColor="text1"/>
          <w:lang w:eastAsia="es-MX"/>
        </w:rPr>
        <w:t>ARTICULO PRIMERO. -</w:t>
      </w:r>
      <w:r>
        <w:rPr>
          <w:rFonts w:eastAsia="Times New Roman"/>
          <w:bCs/>
          <w:color w:val="000000" w:themeColor="text1"/>
          <w:lang w:eastAsia="es-MX"/>
        </w:rPr>
        <w:t xml:space="preserve"> </w:t>
      </w:r>
      <w:r>
        <w:t>Se reforma</w:t>
      </w:r>
      <w:r>
        <w:rPr>
          <w:bCs/>
          <w:color w:val="000000" w:themeColor="text1"/>
        </w:rPr>
        <w:t>r</w:t>
      </w:r>
      <w:r>
        <w:rPr>
          <w:b/>
          <w:color w:val="000000" w:themeColor="text1"/>
        </w:rPr>
        <w:t xml:space="preserve"> la </w:t>
      </w:r>
      <w:r w:rsidRPr="004D528E">
        <w:rPr>
          <w:b/>
          <w:color w:val="000000" w:themeColor="text1"/>
        </w:rPr>
        <w:t>Ley de los Derechos de Niñas, Niños y Adolescentes del Estado de Chihuahua</w:t>
      </w:r>
      <w:r>
        <w:rPr>
          <w:b/>
        </w:rPr>
        <w:t>, a fin de que se</w:t>
      </w:r>
      <w:r>
        <w:rPr>
          <w:b/>
          <w:color w:val="000000" w:themeColor="text1"/>
        </w:rPr>
        <w:t xml:space="preserve"> </w:t>
      </w:r>
      <w:r w:rsidR="00190F05" w:rsidRPr="00190F05">
        <w:rPr>
          <w:b/>
          <w:color w:val="000000" w:themeColor="text1"/>
        </w:rPr>
        <w:t>reforme el</w:t>
      </w:r>
      <w:r w:rsidRPr="00190F05">
        <w:rPr>
          <w:b/>
          <w:color w:val="000000" w:themeColor="text1"/>
        </w:rPr>
        <w:t xml:space="preserve"> Artículo</w:t>
      </w:r>
      <w:r w:rsidR="00190F05">
        <w:rPr>
          <w:b/>
          <w:color w:val="000000" w:themeColor="text1"/>
        </w:rPr>
        <w:t xml:space="preserve"> 102</w:t>
      </w:r>
      <w:r>
        <w:rPr>
          <w:b/>
          <w:bCs/>
          <w:color w:val="000000" w:themeColor="text1"/>
        </w:rPr>
        <w:t>, con la finalidad de</w:t>
      </w:r>
      <w:r w:rsidR="00190F05">
        <w:rPr>
          <w:b/>
          <w:bCs/>
          <w:color w:val="000000" w:themeColor="text1"/>
        </w:rPr>
        <w:t xml:space="preserve"> prohibir </w:t>
      </w:r>
      <w:r w:rsidR="00190F05" w:rsidRPr="00190F05">
        <w:rPr>
          <w:b/>
          <w:bCs/>
        </w:rPr>
        <w:t>el procedimiento de retorno asistido</w:t>
      </w:r>
      <w:r w:rsidR="00190F05">
        <w:rPr>
          <w:b/>
          <w:bCs/>
        </w:rPr>
        <w:t>,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para quedar redactados de la siguiente manera:</w:t>
      </w:r>
      <w:bookmarkEnd w:id="0"/>
    </w:p>
    <w:p w14:paraId="09CAF133" w14:textId="77777777" w:rsidR="00DB4AF9" w:rsidRDefault="00DB4AF9" w:rsidP="00DB4AF9">
      <w:pPr>
        <w:rPr>
          <w:b/>
          <w:bCs/>
        </w:rPr>
      </w:pPr>
    </w:p>
    <w:p w14:paraId="4794A241" w14:textId="161C0A35" w:rsidR="00DB4AF9" w:rsidRDefault="00190F05" w:rsidP="00DB4AF9">
      <w:r w:rsidRPr="00190F05">
        <w:rPr>
          <w:b/>
          <w:bCs/>
        </w:rPr>
        <w:t>Artículo 102.</w:t>
      </w:r>
      <w:r w:rsidRPr="004D528E">
        <w:t xml:space="preserve"> Está prohibido devolver, expulsar, deportar,</w:t>
      </w:r>
      <w:r w:rsidRPr="00190F05">
        <w:rPr>
          <w:b/>
          <w:bCs/>
        </w:rPr>
        <w:t xml:space="preserve"> llevar a cabo el procedimiento de retorno asistido</w:t>
      </w:r>
      <w:r>
        <w:rPr>
          <w:b/>
          <w:bCs/>
        </w:rPr>
        <w:t>,</w:t>
      </w:r>
      <w:r w:rsidRPr="004D528E">
        <w:t xml:space="preserve"> retornar, rechazar en frontera o no admitir, o de cualquier manera transferir o remover a una niña, niño o adolescente</w:t>
      </w:r>
      <w:r>
        <w:t xml:space="preserve"> </w:t>
      </w:r>
      <w:r w:rsidRPr="00190F05">
        <w:rPr>
          <w:b/>
          <w:bCs/>
        </w:rPr>
        <w:t>cuando el interés superior de la niñez se vea vulnerado o</w:t>
      </w:r>
      <w:r w:rsidRPr="004D528E">
        <w:t xml:space="preserve"> cuando su vida, seguridad y/o libertad estén en peligro a causa de persecución o amenaza de la misma, violencia generalizada o violaciones masivas a los derechos humanos, entre otros, así como donde pueda ser sometido a tortura u otros tratos crueles, inhumanos o degradantes.</w:t>
      </w:r>
    </w:p>
    <w:p w14:paraId="2C216EFB" w14:textId="77777777" w:rsidR="00DB4AF9" w:rsidRDefault="00DB4AF9" w:rsidP="00DB4AF9">
      <w:pPr>
        <w:rPr>
          <w:b/>
          <w:bCs/>
        </w:rPr>
      </w:pPr>
    </w:p>
    <w:p w14:paraId="19AB6515" w14:textId="77777777" w:rsidR="00DB4AF9" w:rsidRDefault="00DB4AF9" w:rsidP="00DB4AF9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bookmarkStart w:id="1" w:name="_Hlk143679297"/>
      <w:r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5F519E8F" w14:textId="77777777" w:rsidR="00DB4AF9" w:rsidRDefault="00DB4AF9" w:rsidP="00DB4AF9">
      <w:pPr>
        <w:pStyle w:val="Textosinformato"/>
        <w:tabs>
          <w:tab w:val="right" w:leader="dot" w:pos="8828"/>
        </w:tabs>
        <w:spacing w:line="360" w:lineRule="auto"/>
        <w:ind w:firstLine="289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593CBC2C" w14:textId="77777777" w:rsidR="00DB4AF9" w:rsidRDefault="00DB4AF9" w:rsidP="00DB4AF9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ARTICULOS PRIMERO. -</w:t>
      </w:r>
      <w:r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0A0BD73A" w14:textId="77777777" w:rsidR="00DB4AF9" w:rsidRDefault="00DB4AF9" w:rsidP="00DB4AF9">
      <w:pPr>
        <w:spacing w:after="0"/>
        <w:rPr>
          <w:b/>
          <w:color w:val="000000" w:themeColor="text1"/>
        </w:rPr>
      </w:pPr>
    </w:p>
    <w:p w14:paraId="034C8D7D" w14:textId="77777777" w:rsidR="00DB4AF9" w:rsidRDefault="00DB4AF9" w:rsidP="00DB4AF9">
      <w:pPr>
        <w:spacing w:after="0"/>
        <w:rPr>
          <w:rFonts w:eastAsia="Arial"/>
          <w:color w:val="000000" w:themeColor="text1"/>
        </w:rPr>
      </w:pPr>
      <w:r>
        <w:rPr>
          <w:b/>
          <w:color w:val="000000" w:themeColor="text1"/>
        </w:rPr>
        <w:t xml:space="preserve">ECONÓMICO. - </w:t>
      </w:r>
      <w:r>
        <w:rPr>
          <w:color w:val="000000" w:themeColor="text1"/>
        </w:rPr>
        <w:t>Aprobado que sea, túrnese a la Secretaría para que elabore la minuta en los términos en correspondientes</w:t>
      </w:r>
      <w:r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2ADC977A" w14:textId="77777777" w:rsidR="00DB4AF9" w:rsidRDefault="00DB4AF9" w:rsidP="00DB4AF9">
      <w:pPr>
        <w:spacing w:after="0"/>
        <w:rPr>
          <w:color w:val="000000" w:themeColor="text1"/>
        </w:rPr>
      </w:pPr>
    </w:p>
    <w:p w14:paraId="6BABFD76" w14:textId="47EA0944" w:rsidR="00DB4AF9" w:rsidRDefault="00DB4AF9" w:rsidP="00DB4AF9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Dado en el Palacio Legislativo del Estado de Chihuahua, a los </w:t>
      </w:r>
      <w:r w:rsidR="004934F5">
        <w:rPr>
          <w:color w:val="000000" w:themeColor="text1"/>
        </w:rPr>
        <w:t>15</w:t>
      </w:r>
      <w:r>
        <w:rPr>
          <w:color w:val="000000" w:themeColor="text1"/>
        </w:rPr>
        <w:t xml:space="preserve"> días del mes de </w:t>
      </w:r>
      <w:r w:rsidR="004934F5">
        <w:rPr>
          <w:color w:val="000000" w:themeColor="text1"/>
        </w:rPr>
        <w:t>agosto</w:t>
      </w:r>
      <w:r>
        <w:rPr>
          <w:color w:val="000000" w:themeColor="text1"/>
        </w:rPr>
        <w:t xml:space="preserve"> del año dos mil veinticuatro. </w:t>
      </w:r>
    </w:p>
    <w:p w14:paraId="4027760D" w14:textId="77777777" w:rsidR="00DB4AF9" w:rsidRDefault="00DB4AF9" w:rsidP="00DB4AF9">
      <w:pPr>
        <w:spacing w:line="240" w:lineRule="auto"/>
        <w:rPr>
          <w:spacing w:val="-5"/>
          <w:shd w:val="clear" w:color="auto" w:fill="FFFFFF"/>
        </w:rPr>
      </w:pPr>
    </w:p>
    <w:p w14:paraId="44E8B700" w14:textId="77777777" w:rsidR="00DB4AF9" w:rsidRDefault="00DB4AF9" w:rsidP="00DB4AF9">
      <w:pPr>
        <w:spacing w:line="240" w:lineRule="auto"/>
        <w:rPr>
          <w:spacing w:val="-5"/>
          <w:shd w:val="clear" w:color="auto" w:fill="FFFFFF"/>
        </w:rPr>
      </w:pPr>
    </w:p>
    <w:p w14:paraId="2EC15285" w14:textId="77777777" w:rsidR="00DB4AF9" w:rsidRDefault="00DB4AF9" w:rsidP="00DB4AF9">
      <w:pPr>
        <w:spacing w:line="240" w:lineRule="auto"/>
        <w:jc w:val="center"/>
        <w:rPr>
          <w:spacing w:val="-5"/>
          <w:shd w:val="clear" w:color="auto" w:fill="FFFFFF"/>
        </w:rPr>
      </w:pPr>
    </w:p>
    <w:p w14:paraId="498771C9" w14:textId="77777777" w:rsidR="00DB4AF9" w:rsidRDefault="00DB4AF9" w:rsidP="00DB4AF9">
      <w:pPr>
        <w:spacing w:line="240" w:lineRule="auto"/>
        <w:jc w:val="center"/>
        <w:rPr>
          <w:spacing w:val="-5"/>
          <w:shd w:val="clear" w:color="auto" w:fill="FFFFFF"/>
        </w:rPr>
      </w:pPr>
    </w:p>
    <w:p w14:paraId="6C251212" w14:textId="77777777" w:rsidR="00DB4AF9" w:rsidRDefault="00DB4AF9" w:rsidP="00DB4AF9">
      <w:pPr>
        <w:spacing w:line="240" w:lineRule="auto"/>
        <w:jc w:val="center"/>
        <w:rPr>
          <w:spacing w:val="-5"/>
          <w:shd w:val="clear" w:color="auto" w:fill="FFFFFF"/>
        </w:rPr>
      </w:pPr>
    </w:p>
    <w:p w14:paraId="65332583" w14:textId="77777777" w:rsidR="00DB4AF9" w:rsidRDefault="00DB4AF9" w:rsidP="00DB4AF9">
      <w:pPr>
        <w:spacing w:line="240" w:lineRule="auto"/>
        <w:jc w:val="center"/>
        <w:rPr>
          <w:spacing w:val="-5"/>
          <w:shd w:val="clear" w:color="auto" w:fill="FFFFFF"/>
        </w:rPr>
      </w:pPr>
      <w:r>
        <w:rPr>
          <w:spacing w:val="-5"/>
          <w:shd w:val="clear" w:color="auto" w:fill="FFFFFF"/>
        </w:rPr>
        <w:t>ATENTAMENTE</w:t>
      </w:r>
    </w:p>
    <w:p w14:paraId="7632FEDC" w14:textId="77777777" w:rsidR="00DB4AF9" w:rsidRDefault="00DB4AF9" w:rsidP="00DB4AF9">
      <w:pPr>
        <w:spacing w:line="240" w:lineRule="auto"/>
        <w:jc w:val="center"/>
        <w:rPr>
          <w:spacing w:val="-5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568B47" wp14:editId="6329E9D3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829D2" w14:textId="77777777" w:rsidR="00DB4AF9" w:rsidRDefault="00DB4AF9" w:rsidP="00DB4AF9">
      <w:pPr>
        <w:spacing w:line="240" w:lineRule="auto"/>
        <w:rPr>
          <w:spacing w:val="-5"/>
          <w:shd w:val="clear" w:color="auto" w:fill="FFFFFF"/>
        </w:rPr>
      </w:pPr>
    </w:p>
    <w:p w14:paraId="40192658" w14:textId="77777777" w:rsidR="00DB4AF9" w:rsidRDefault="00DB4AF9" w:rsidP="00DB4AF9">
      <w:pPr>
        <w:rPr>
          <w:spacing w:val="-5"/>
          <w:shd w:val="clear" w:color="auto" w:fill="FFFFFF"/>
        </w:rPr>
      </w:pPr>
    </w:p>
    <w:p w14:paraId="1FE0DBA2" w14:textId="77777777" w:rsidR="00DB4AF9" w:rsidRDefault="00DB4AF9" w:rsidP="00DB4AF9">
      <w:pPr>
        <w:jc w:val="center"/>
      </w:pPr>
      <w:r>
        <w:rPr>
          <w:spacing w:val="-5"/>
          <w:shd w:val="clear" w:color="auto" w:fill="FFFFFF"/>
        </w:rPr>
        <w:t>DIPUTADO OMAR BAZÁN FLORES</w:t>
      </w:r>
      <w:bookmarkEnd w:id="1"/>
    </w:p>
    <w:p w14:paraId="082DBD0E" w14:textId="77777777" w:rsidR="00595102" w:rsidRDefault="00595102"/>
    <w:sectPr w:rsidR="00595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F9"/>
    <w:rsid w:val="001244CF"/>
    <w:rsid w:val="00190F05"/>
    <w:rsid w:val="00477EB0"/>
    <w:rsid w:val="004934F5"/>
    <w:rsid w:val="004D528E"/>
    <w:rsid w:val="00595102"/>
    <w:rsid w:val="00922D4A"/>
    <w:rsid w:val="00BB6CDB"/>
    <w:rsid w:val="00C74A49"/>
    <w:rsid w:val="00DB4AF9"/>
    <w:rsid w:val="00D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D989"/>
  <w15:chartTrackingRefBased/>
  <w15:docId w15:val="{15946BAF-4171-4AC3-A356-10523D9A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unhideWhenUsed/>
    <w:rsid w:val="00DB4A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DB4AF9"/>
    <w:rPr>
      <w:rFonts w:ascii="Courier New" w:eastAsia="Times New Roman" w:hAnsi="Courier New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6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cp:lastPrinted>2024-08-15T17:14:00Z</cp:lastPrinted>
  <dcterms:created xsi:type="dcterms:W3CDTF">2024-08-15T19:21:00Z</dcterms:created>
  <dcterms:modified xsi:type="dcterms:W3CDTF">2024-08-15T19:21:00Z</dcterms:modified>
</cp:coreProperties>
</file>