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09A3" w14:textId="77777777" w:rsidR="00265101" w:rsidRDefault="00265101">
      <w:pPr>
        <w:spacing w:before="240" w:after="120" w:line="360" w:lineRule="auto"/>
        <w:jc w:val="both"/>
        <w:rPr>
          <w:rFonts w:ascii="Montserrat" w:eastAsia="Montserrat" w:hAnsi="Montserrat" w:cs="Montserrat"/>
          <w:b/>
          <w:sz w:val="24"/>
          <w:szCs w:val="24"/>
          <w:shd w:val="clear" w:color="auto" w:fill="FEFFFF"/>
        </w:rPr>
      </w:pPr>
    </w:p>
    <w:p w14:paraId="13FB9739" w14:textId="77777777" w:rsidR="00265101" w:rsidRDefault="002166C3">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DIPUTACIÓN PERMANENTE</w:t>
      </w:r>
    </w:p>
    <w:p w14:paraId="35E5137D" w14:textId="77777777" w:rsidR="00265101" w:rsidRDefault="002166C3">
      <w:pPr>
        <w:spacing w:before="240" w:after="120"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shd w:val="clear" w:color="auto" w:fill="FEFFFF"/>
        </w:rPr>
        <w:t>H. CONGRESO DEL ESTADO DE CHIHUAHUA</w:t>
      </w:r>
    </w:p>
    <w:p w14:paraId="30297B93" w14:textId="77777777" w:rsidR="00265101" w:rsidRDefault="002166C3">
      <w:pPr>
        <w:spacing w:before="240" w:after="12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shd w:val="clear" w:color="auto" w:fill="FEFFFF"/>
        </w:rPr>
        <w:t>PRESENTE. –</w:t>
      </w:r>
    </w:p>
    <w:p w14:paraId="42769616" w14:textId="77777777" w:rsidR="00265101" w:rsidRDefault="002166C3">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 xml:space="preserve">Jael Argüelles Díaz, Edin Cuauhtémoc Estrada Sotelo, Leticia Ortega Máynez, Benjamín Carrera Chávez, David Óscar Castrejón Rivas, Gustavo de la Rosa </w:t>
      </w:r>
      <w:proofErr w:type="spellStart"/>
      <w:r>
        <w:rPr>
          <w:rFonts w:ascii="Montserrat" w:eastAsia="Montserrat" w:hAnsi="Montserrat" w:cs="Montserrat"/>
          <w:b/>
          <w:sz w:val="24"/>
          <w:szCs w:val="24"/>
          <w:shd w:val="clear" w:color="auto" w:fill="FEFFFF"/>
        </w:rPr>
        <w:t>Hickerson</w:t>
      </w:r>
      <w:proofErr w:type="spellEnd"/>
      <w:r>
        <w:rPr>
          <w:rFonts w:ascii="Montserrat" w:eastAsia="Montserrat" w:hAnsi="Montserrat" w:cs="Montserrat"/>
          <w:b/>
          <w:sz w:val="24"/>
          <w:szCs w:val="24"/>
          <w:shd w:val="clear" w:color="auto" w:fill="FEFFFF"/>
        </w:rPr>
        <w:t xml:space="preserve">, Ilse América García Soto, Magdalena </w:t>
      </w:r>
      <w:proofErr w:type="spellStart"/>
      <w:r>
        <w:rPr>
          <w:rFonts w:ascii="Montserrat" w:eastAsia="Montserrat" w:hAnsi="Montserrat" w:cs="Montserrat"/>
          <w:b/>
          <w:sz w:val="24"/>
          <w:szCs w:val="24"/>
          <w:shd w:val="clear" w:color="auto" w:fill="FEFFFF"/>
        </w:rPr>
        <w:t>Renteria</w:t>
      </w:r>
      <w:proofErr w:type="spellEnd"/>
      <w:r>
        <w:rPr>
          <w:rFonts w:ascii="Montserrat" w:eastAsia="Montserrat" w:hAnsi="Montserrat" w:cs="Montserrat"/>
          <w:b/>
          <w:sz w:val="24"/>
          <w:szCs w:val="24"/>
          <w:shd w:val="clear" w:color="auto" w:fill="FEFFFF"/>
        </w:rPr>
        <w:t xml:space="preserve"> Pérez, María Antonieta Pérez Reyes, Óscar Daniel Av</w:t>
      </w:r>
      <w:r>
        <w:rPr>
          <w:rFonts w:ascii="Montserrat" w:eastAsia="Montserrat" w:hAnsi="Montserrat" w:cs="Montserrat"/>
          <w:b/>
          <w:sz w:val="24"/>
          <w:szCs w:val="24"/>
          <w:shd w:val="clear" w:color="auto" w:fill="FEFFFF"/>
        </w:rPr>
        <w:t xml:space="preserve">itia Arellanes y Rosana Díaz Reyes, </w:t>
      </w:r>
      <w:r>
        <w:rPr>
          <w:rFonts w:ascii="Montserrat" w:eastAsia="Montserrat" w:hAnsi="Montserrat" w:cs="Montserrat"/>
          <w:sz w:val="24"/>
          <w:szCs w:val="24"/>
          <w:shd w:val="clear" w:color="auto" w:fill="FEFFFF"/>
        </w:rPr>
        <w:t>en nuestro carácter de Diputadas y Diputados de la Sexagésima Séptima Legislatura e integrantes del Grupo Parlamentario del Partido MORENA, con fundamento en los artículos 68 fracción primera de la Constitución  Política</w:t>
      </w:r>
      <w:r>
        <w:rPr>
          <w:rFonts w:ascii="Montserrat" w:eastAsia="Montserrat" w:hAnsi="Montserrat" w:cs="Montserrat"/>
          <w:sz w:val="24"/>
          <w:szCs w:val="24"/>
          <w:shd w:val="clear" w:color="auto" w:fill="FEFFFF"/>
        </w:rPr>
        <w:t xml:space="preserve"> del Estado de Chihuahua: 167 fracción primera, 169 y 174, todos de la Ley Orgánica del Poder Legislativo; así como los numerales 75 y 76 del Reglamento Interior y de Prácticas Parlamentarias del Poder Legislativo, acudimos ante esta Honorable Asamblea a p</w:t>
      </w:r>
      <w:r>
        <w:rPr>
          <w:rFonts w:ascii="Montserrat" w:eastAsia="Montserrat" w:hAnsi="Montserrat" w:cs="Montserrat"/>
          <w:sz w:val="24"/>
          <w:szCs w:val="24"/>
          <w:shd w:val="clear" w:color="auto" w:fill="FEFFFF"/>
        </w:rPr>
        <w:t xml:space="preserve">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exhortar a la titular del Poder Ejecutivo del Estado, a través de la Secretaría de Hacienda a fin de que entreguen, a la brevedad, el estudio y propuestas referente a la prestación del servici</w:t>
      </w:r>
      <w:r>
        <w:rPr>
          <w:rFonts w:ascii="Montserrat" w:eastAsia="Montserrat" w:hAnsi="Montserrat" w:cs="Montserrat"/>
          <w:b/>
          <w:sz w:val="24"/>
          <w:szCs w:val="24"/>
        </w:rPr>
        <w:t xml:space="preserve">o de guarderías a las y los trabajadores de Gobierno del Estado y a la Secretaría General de Gobierno para que todas las dependencias entreguen los informes que se les soliciten, </w:t>
      </w:r>
      <w:r>
        <w:rPr>
          <w:rFonts w:ascii="Montserrat" w:eastAsia="Montserrat" w:hAnsi="Montserrat" w:cs="Montserrat"/>
          <w:sz w:val="24"/>
          <w:szCs w:val="24"/>
          <w:shd w:val="clear" w:color="auto" w:fill="FEFFFF"/>
        </w:rPr>
        <w:t>lo anterior al tenor de la presente:</w:t>
      </w:r>
      <w:r>
        <w:rPr>
          <w:rFonts w:ascii="Montserrat" w:eastAsia="Montserrat" w:hAnsi="Montserrat" w:cs="Montserrat"/>
          <w:b/>
          <w:sz w:val="24"/>
          <w:szCs w:val="24"/>
          <w:shd w:val="clear" w:color="auto" w:fill="FEFFFF"/>
        </w:rPr>
        <w:t xml:space="preserve"> </w:t>
      </w:r>
    </w:p>
    <w:p w14:paraId="5A68A21B"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7B1FD706"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Las y los niños m</w:t>
      </w:r>
      <w:r>
        <w:rPr>
          <w:rFonts w:ascii="Montserrat" w:eastAsia="Montserrat" w:hAnsi="Montserrat" w:cs="Montserrat"/>
          <w:sz w:val="24"/>
          <w:szCs w:val="24"/>
          <w:shd w:val="clear" w:color="auto" w:fill="FEFFFF"/>
        </w:rPr>
        <w:t>erecen y necesitan una vida digna, en donde sus derechos sean verdaderos y efectivos, no solamente usados en el discurso. Dentro de las obligaciones de este Congreso está considerar de manera primordial el interés superior de la infancia en la toma de deci</w:t>
      </w:r>
      <w:r>
        <w:rPr>
          <w:rFonts w:ascii="Montserrat" w:eastAsia="Montserrat" w:hAnsi="Montserrat" w:cs="Montserrat"/>
          <w:sz w:val="24"/>
          <w:szCs w:val="24"/>
          <w:shd w:val="clear" w:color="auto" w:fill="FEFFFF"/>
        </w:rPr>
        <w:t xml:space="preserve">siones y todas las acciones </w:t>
      </w:r>
      <w:r>
        <w:rPr>
          <w:rFonts w:ascii="Montserrat" w:eastAsia="Montserrat" w:hAnsi="Montserrat" w:cs="Montserrat"/>
          <w:sz w:val="24"/>
          <w:szCs w:val="24"/>
          <w:shd w:val="clear" w:color="auto" w:fill="FEFFFF"/>
        </w:rPr>
        <w:lastRenderedPageBreak/>
        <w:t xml:space="preserve">deben tener un enfoque integral, transversal y con perspectiva de derechos humanos. </w:t>
      </w:r>
    </w:p>
    <w:p w14:paraId="0F88ECA1"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Al respecto, se debe señalar que el 7 de septiembre de 2023, se presentó, por parte de diputadas y diputados del Grupo Parlamentario de Morena,</w:t>
      </w:r>
      <w:r>
        <w:rPr>
          <w:rFonts w:ascii="Montserrat" w:eastAsia="Montserrat" w:hAnsi="Montserrat" w:cs="Montserrat"/>
          <w:sz w:val="24"/>
          <w:szCs w:val="24"/>
          <w:shd w:val="clear" w:color="auto" w:fill="FEFFFF"/>
        </w:rPr>
        <w:t xml:space="preserve"> una iniciativa de Decreto que reforma el Código Administrativo del Estado de Chihuahua y la Ley que regula la Prestación de Servicios para la Atención, Cuidado y Desarrollo Integral Infantil del Estado de Chihuahua, cuyo objetivo es que las y los trabajad</w:t>
      </w:r>
      <w:r>
        <w:rPr>
          <w:rFonts w:ascii="Montserrat" w:eastAsia="Montserrat" w:hAnsi="Montserrat" w:cs="Montserrat"/>
          <w:sz w:val="24"/>
          <w:szCs w:val="24"/>
          <w:shd w:val="clear" w:color="auto" w:fill="FEFFFF"/>
        </w:rPr>
        <w:t xml:space="preserve">ores del Estado cuenten con la prestación de guardería para sus hijas e </w:t>
      </w:r>
      <w:proofErr w:type="gramStart"/>
      <w:r>
        <w:rPr>
          <w:rFonts w:ascii="Montserrat" w:eastAsia="Montserrat" w:hAnsi="Montserrat" w:cs="Montserrat"/>
          <w:sz w:val="24"/>
          <w:szCs w:val="24"/>
          <w:shd w:val="clear" w:color="auto" w:fill="FEFFFF"/>
        </w:rPr>
        <w:t>hijos..</w:t>
      </w:r>
      <w:proofErr w:type="gramEnd"/>
      <w:r>
        <w:rPr>
          <w:rFonts w:ascii="Montserrat" w:eastAsia="Montserrat" w:hAnsi="Montserrat" w:cs="Montserrat"/>
          <w:sz w:val="24"/>
          <w:szCs w:val="24"/>
          <w:shd w:val="clear" w:color="auto" w:fill="FEFFFF"/>
        </w:rPr>
        <w:t xml:space="preserve"> </w:t>
      </w:r>
    </w:p>
    <w:p w14:paraId="12EAA240"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En la iniciativa se menciona que reconocemos la labor compleja que es el cuidado de niñas y niños que no están en edad escolar, así como los cambios socioeconómicos actuales, </w:t>
      </w:r>
      <w:r>
        <w:rPr>
          <w:rFonts w:ascii="Montserrat" w:eastAsia="Montserrat" w:hAnsi="Montserrat" w:cs="Montserrat"/>
          <w:sz w:val="24"/>
          <w:szCs w:val="24"/>
          <w:shd w:val="clear" w:color="auto" w:fill="FEFFFF"/>
        </w:rPr>
        <w:t>en donde los trabajos no permiten su cuidado presencial y se opta por el servicio de guarderías, siendo esta parte uno de los componentes integrales del derecho a la seguridad social, mismo que tiene como finalidad fortalecer su salud y desarrollo, la adqu</w:t>
      </w:r>
      <w:r>
        <w:rPr>
          <w:rFonts w:ascii="Montserrat" w:eastAsia="Montserrat" w:hAnsi="Montserrat" w:cs="Montserrat"/>
          <w:sz w:val="24"/>
          <w:szCs w:val="24"/>
          <w:shd w:val="clear" w:color="auto" w:fill="FEFFFF"/>
        </w:rPr>
        <w:t>isición de conocimientos que promuevan la comprensión, incentivar la construcción de hábitos saludables y de convivencia, así como la cooperación en el esfuerzo y metas comunes desde la primera infancia.</w:t>
      </w:r>
    </w:p>
    <w:p w14:paraId="4E5F28D9"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En la misma iniciativa también se menciona que el Ju</w:t>
      </w:r>
      <w:r>
        <w:rPr>
          <w:rFonts w:ascii="Montserrat" w:eastAsia="Montserrat" w:hAnsi="Montserrat" w:cs="Montserrat"/>
          <w:sz w:val="24"/>
          <w:szCs w:val="24"/>
          <w:shd w:val="clear" w:color="auto" w:fill="FEFFFF"/>
        </w:rPr>
        <w:t>zgado Primero de Distrito en el Estado de Chihuahua, mediante la sentencia del Juicio de Amparo 205/2023-II del 14 de julio de 2023, ordenó al Congreso del Estado de Chihuahua cumplir con la obligación contenida en el artículo 123, apartado B, fracción XI,</w:t>
      </w:r>
      <w:r>
        <w:rPr>
          <w:rFonts w:ascii="Montserrat" w:eastAsia="Montserrat" w:hAnsi="Montserrat" w:cs="Montserrat"/>
          <w:sz w:val="24"/>
          <w:szCs w:val="24"/>
          <w:shd w:val="clear" w:color="auto" w:fill="FEFFFF"/>
        </w:rPr>
        <w:t xml:space="preserve"> inciso d), de la Constitución Federal en específico el derecho a la seguridad social en su modalidad de servicio de guarderías, y de este modo proceder a regular la prestación de dicho servicio para los trabajadores al servicio del Estado. Por ende, se de</w:t>
      </w:r>
      <w:r>
        <w:rPr>
          <w:rFonts w:ascii="Montserrat" w:eastAsia="Montserrat" w:hAnsi="Montserrat" w:cs="Montserrat"/>
          <w:sz w:val="24"/>
          <w:szCs w:val="24"/>
          <w:shd w:val="clear" w:color="auto" w:fill="FEFFFF"/>
        </w:rPr>
        <w:t>terminó que debe iniciar el proceso legislativo para emitir la referida regulación.</w:t>
      </w:r>
    </w:p>
    <w:p w14:paraId="33AEDE21"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Se debe señalar que estamos familiarizados con la metáfora de la cobija presupuestal, en donde por más que se estira, es necesario realizar las </w:t>
      </w:r>
      <w:r>
        <w:rPr>
          <w:rFonts w:ascii="Montserrat" w:eastAsia="Montserrat" w:hAnsi="Montserrat" w:cs="Montserrat"/>
          <w:sz w:val="24"/>
          <w:szCs w:val="24"/>
          <w:shd w:val="clear" w:color="auto" w:fill="FEFFFF"/>
        </w:rPr>
        <w:lastRenderedPageBreak/>
        <w:t>adecuaciones para que alcanc</w:t>
      </w:r>
      <w:r>
        <w:rPr>
          <w:rFonts w:ascii="Montserrat" w:eastAsia="Montserrat" w:hAnsi="Montserrat" w:cs="Montserrat"/>
          <w:sz w:val="24"/>
          <w:szCs w:val="24"/>
          <w:shd w:val="clear" w:color="auto" w:fill="FEFFFF"/>
        </w:rPr>
        <w:t>e para todos, en ese sentido, la propia Ley General de los Derechos de Niñas, Niños y Adolescentes establece que los Congresos locales deben establecer en sus presupuestos los recursos que permitan dar cumplimientos a las acciones que establece el mismo or</w:t>
      </w:r>
      <w:r>
        <w:rPr>
          <w:rFonts w:ascii="Montserrat" w:eastAsia="Montserrat" w:hAnsi="Montserrat" w:cs="Montserrat"/>
          <w:sz w:val="24"/>
          <w:szCs w:val="24"/>
          <w:shd w:val="clear" w:color="auto" w:fill="FEFFFF"/>
        </w:rPr>
        <w:t>denamiento, entre los que se encuentran los derechos a vivir en condiciones de bienestar y a un sano desarrollo integral, a una vida libre de violencia y la integridad personal, a la salud y a la seguridad social, a la educación y al descanso y esparcimien</w:t>
      </w:r>
      <w:r>
        <w:rPr>
          <w:rFonts w:ascii="Montserrat" w:eastAsia="Montserrat" w:hAnsi="Montserrat" w:cs="Montserrat"/>
          <w:sz w:val="24"/>
          <w:szCs w:val="24"/>
          <w:shd w:val="clear" w:color="auto" w:fill="FEFFFF"/>
        </w:rPr>
        <w:t xml:space="preserve">to. </w:t>
      </w:r>
    </w:p>
    <w:p w14:paraId="568C74E6"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Sin embargo, desde Morena, hemos sido responsables al señalar una serie de incongruencias en el presupuesto, pues observamos como existe un despilfarro en campañas de promoción personal, en comunicación, en copias, entre otros gastos superfluos, y al </w:t>
      </w:r>
      <w:r>
        <w:rPr>
          <w:rFonts w:ascii="Montserrat" w:eastAsia="Montserrat" w:hAnsi="Montserrat" w:cs="Montserrat"/>
          <w:sz w:val="24"/>
          <w:szCs w:val="24"/>
          <w:shd w:val="clear" w:color="auto" w:fill="FEFFFF"/>
        </w:rPr>
        <w:t xml:space="preserve">momento de solicitar que se modifiquen para brindar un presupuesto basado en derechos para </w:t>
      </w:r>
      <w:proofErr w:type="gramStart"/>
      <w:r>
        <w:rPr>
          <w:rFonts w:ascii="Montserrat" w:eastAsia="Montserrat" w:hAnsi="Montserrat" w:cs="Montserrat"/>
          <w:sz w:val="24"/>
          <w:szCs w:val="24"/>
          <w:shd w:val="clear" w:color="auto" w:fill="FEFFFF"/>
        </w:rPr>
        <w:t>las  personas</w:t>
      </w:r>
      <w:proofErr w:type="gramEnd"/>
      <w:r>
        <w:rPr>
          <w:rFonts w:ascii="Montserrat" w:eastAsia="Montserrat" w:hAnsi="Montserrat" w:cs="Montserrat"/>
          <w:sz w:val="24"/>
          <w:szCs w:val="24"/>
          <w:shd w:val="clear" w:color="auto" w:fill="FEFFFF"/>
        </w:rPr>
        <w:t xml:space="preserve">, en su mayoría, recibimos una negativa sin una justificación técnica. </w:t>
      </w:r>
    </w:p>
    <w:p w14:paraId="656D7E62"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Y es justo por ello, que buscando viabilidad técnica y presupuestal de la reform</w:t>
      </w:r>
      <w:r>
        <w:rPr>
          <w:rFonts w:ascii="Montserrat" w:eastAsia="Montserrat" w:hAnsi="Montserrat" w:cs="Montserrat"/>
          <w:sz w:val="24"/>
          <w:szCs w:val="24"/>
          <w:shd w:val="clear" w:color="auto" w:fill="FEFFFF"/>
        </w:rPr>
        <w:t>a que estamos obligados a realizar, se ha solicitado en múltiples ocasiones la comparecencia por escrito y presencial de la Secretaría de Hacienda y de Pensiones Civiles del Estado ante la Comisión de Salud, comisión de dictamen a la que fue turnada la ini</w:t>
      </w:r>
      <w:r>
        <w:rPr>
          <w:rFonts w:ascii="Montserrat" w:eastAsia="Montserrat" w:hAnsi="Montserrat" w:cs="Montserrat"/>
          <w:sz w:val="24"/>
          <w:szCs w:val="24"/>
          <w:shd w:val="clear" w:color="auto" w:fill="FEFFFF"/>
        </w:rPr>
        <w:t>ciativa en comento identificada como 2192, sin embargo, lo que se obtuvo por parte de la Secretaría de Hacienda, así como en otras múltiples ocasiones y comisiones en las que se ha solicitado su apoyo y colaboración, fue el silencio y la omisión de atender</w:t>
      </w:r>
      <w:r>
        <w:rPr>
          <w:rFonts w:ascii="Montserrat" w:eastAsia="Montserrat" w:hAnsi="Montserrat" w:cs="Montserrat"/>
          <w:sz w:val="24"/>
          <w:szCs w:val="24"/>
          <w:shd w:val="clear" w:color="auto" w:fill="FEFFFF"/>
        </w:rPr>
        <w:t xml:space="preserve"> a este Cuerpo Colegiado.</w:t>
      </w:r>
    </w:p>
    <w:p w14:paraId="349665D8"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El turno de la iniciativa se realizó el día 12 de septiembre del 2023, la comisión inició el análisis dos meses después, el 7 de noviembre, en </w:t>
      </w:r>
      <w:proofErr w:type="gramStart"/>
      <w:r>
        <w:rPr>
          <w:rFonts w:ascii="Montserrat" w:eastAsia="Montserrat" w:hAnsi="Montserrat" w:cs="Montserrat"/>
          <w:sz w:val="24"/>
          <w:szCs w:val="24"/>
          <w:shd w:val="clear" w:color="auto" w:fill="FEFFFF"/>
        </w:rPr>
        <w:t>dicha  reunión</w:t>
      </w:r>
      <w:proofErr w:type="gramEnd"/>
      <w:r>
        <w:rPr>
          <w:rFonts w:ascii="Montserrat" w:eastAsia="Montserrat" w:hAnsi="Montserrat" w:cs="Montserrat"/>
          <w:sz w:val="24"/>
          <w:szCs w:val="24"/>
          <w:shd w:val="clear" w:color="auto" w:fill="FEFFFF"/>
        </w:rPr>
        <w:t xml:space="preserve"> se acordó solicitar la  consulta a ambas instituciones para contar con i</w:t>
      </w:r>
      <w:r>
        <w:rPr>
          <w:rFonts w:ascii="Montserrat" w:eastAsia="Montserrat" w:hAnsi="Montserrat" w:cs="Montserrat"/>
          <w:sz w:val="24"/>
          <w:szCs w:val="24"/>
          <w:shd w:val="clear" w:color="auto" w:fill="FEFFFF"/>
        </w:rPr>
        <w:t xml:space="preserve">nformación al respecto. El escrito fue recibido por Pensiones con fecha 1 de diciembre del mismo año, respondido  el 16 de febrero del 2024, recibido por el congreso el 22 de febrero y dado a conocer a la comisión el 5 de marzo, en </w:t>
      </w:r>
      <w:r>
        <w:rPr>
          <w:rFonts w:ascii="Montserrat" w:eastAsia="Montserrat" w:hAnsi="Montserrat" w:cs="Montserrat"/>
          <w:sz w:val="24"/>
          <w:szCs w:val="24"/>
          <w:shd w:val="clear" w:color="auto" w:fill="FEFFFF"/>
        </w:rPr>
        <w:lastRenderedPageBreak/>
        <w:t>éste se responde que, en</w:t>
      </w:r>
      <w:r>
        <w:rPr>
          <w:rFonts w:ascii="Montserrat" w:eastAsia="Montserrat" w:hAnsi="Montserrat" w:cs="Montserrat"/>
          <w:sz w:val="24"/>
          <w:szCs w:val="24"/>
          <w:shd w:val="clear" w:color="auto" w:fill="FEFFFF"/>
        </w:rPr>
        <w:t xml:space="preserve"> su opinión, se requiere la opinión de las principales instituciones públicas patronales y del Instituto Chihuahuense para el Desarrollo Integral Infantil, señalando que sus condiciones financieras no permitirían el sustento financiero a la prestación de e</w:t>
      </w:r>
      <w:r>
        <w:rPr>
          <w:rFonts w:ascii="Montserrat" w:eastAsia="Montserrat" w:hAnsi="Montserrat" w:cs="Montserrat"/>
          <w:sz w:val="24"/>
          <w:szCs w:val="24"/>
          <w:shd w:val="clear" w:color="auto" w:fill="FEFFFF"/>
        </w:rPr>
        <w:t xml:space="preserve">ste derecho. </w:t>
      </w:r>
    </w:p>
    <w:p w14:paraId="08CDED0F"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Derivado de esta reunión de la comisión y de la información expuesta, se volvió a solicitar la respuesta de la Secretaría de Hacienda, sin embargo, ésta, nuevamente, fue negativa, sin información por ninguna vía, ello fue comunicado en la reu</w:t>
      </w:r>
      <w:r>
        <w:rPr>
          <w:rFonts w:ascii="Montserrat" w:eastAsia="Montserrat" w:hAnsi="Montserrat" w:cs="Montserrat"/>
          <w:sz w:val="24"/>
          <w:szCs w:val="24"/>
          <w:shd w:val="clear" w:color="auto" w:fill="FEFFFF"/>
        </w:rPr>
        <w:t>nión del día 10 de abril de 2024, en donde se comentó también que la dependencia rindió informe al Juzgado, mencionando que se tienen 159 servidores públicos de la Administración Centralizada quienes tienen hijos menores de 4 años y cuentan con la prestaci</w:t>
      </w:r>
      <w:r>
        <w:rPr>
          <w:rFonts w:ascii="Montserrat" w:eastAsia="Montserrat" w:hAnsi="Montserrat" w:cs="Montserrat"/>
          <w:sz w:val="24"/>
          <w:szCs w:val="24"/>
          <w:shd w:val="clear" w:color="auto" w:fill="FEFFFF"/>
        </w:rPr>
        <w:t xml:space="preserve">ón de “bono de guarderías”, por lo que las y los diputados, para dar continuidad al proceso legislativo, acuerdan convocar a una reunión de trabajo el 16 de abril. </w:t>
      </w:r>
    </w:p>
    <w:p w14:paraId="5F0C06E7"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A la reunión referida, asistieron, entre otro personal que </w:t>
      </w:r>
      <w:proofErr w:type="gramStart"/>
      <w:r>
        <w:rPr>
          <w:rFonts w:ascii="Montserrat" w:eastAsia="Montserrat" w:hAnsi="Montserrat" w:cs="Montserrat"/>
          <w:sz w:val="24"/>
          <w:szCs w:val="24"/>
          <w:shd w:val="clear" w:color="auto" w:fill="FEFFFF"/>
        </w:rPr>
        <w:t>les</w:t>
      </w:r>
      <w:proofErr w:type="gramEnd"/>
      <w:r>
        <w:rPr>
          <w:rFonts w:ascii="Montserrat" w:eastAsia="Montserrat" w:hAnsi="Montserrat" w:cs="Montserrat"/>
          <w:sz w:val="24"/>
          <w:szCs w:val="24"/>
          <w:shd w:val="clear" w:color="auto" w:fill="FEFFFF"/>
        </w:rPr>
        <w:t xml:space="preserve"> acompañó, el Director de Pen</w:t>
      </w:r>
      <w:r>
        <w:rPr>
          <w:rFonts w:ascii="Montserrat" w:eastAsia="Montserrat" w:hAnsi="Montserrat" w:cs="Montserrat"/>
          <w:sz w:val="24"/>
          <w:szCs w:val="24"/>
          <w:shd w:val="clear" w:color="auto" w:fill="FEFFFF"/>
        </w:rPr>
        <w:t>siones, Lic. Hugo Gutiérrez Dávila y el Director Jurídico de la Secretaría de Hacienda, Lic. Roberto Fierro. En este caso, el Lic. Gutiérrez refrendo lo que se mencionó en el oficio ya conocido, mencionando que estarán al pendiente de lo que decida esta As</w:t>
      </w:r>
      <w:r>
        <w:rPr>
          <w:rFonts w:ascii="Montserrat" w:eastAsia="Montserrat" w:hAnsi="Montserrat" w:cs="Montserrat"/>
          <w:sz w:val="24"/>
          <w:szCs w:val="24"/>
          <w:shd w:val="clear" w:color="auto" w:fill="FEFFFF"/>
        </w:rPr>
        <w:t xml:space="preserve">amblea reconociendo la importancia del servicio de guarderías y a disposición de trabajar en conjunto con Hacienda. </w:t>
      </w:r>
    </w:p>
    <w:p w14:paraId="6B71BD6F"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su parte, el Lic. Fierro acudió sin información real, mencionando cifras que en sus palabras fueron: “una aritmética muy rápida”,  sin </w:t>
      </w:r>
      <w:r>
        <w:rPr>
          <w:rFonts w:ascii="Montserrat" w:eastAsia="Montserrat" w:hAnsi="Montserrat" w:cs="Montserrat"/>
          <w:sz w:val="24"/>
          <w:szCs w:val="24"/>
          <w:shd w:val="clear" w:color="auto" w:fill="FEFFFF"/>
        </w:rPr>
        <w:t>darnos a conocer el impacto real, el presupuesto que requiere la reforma y cómo le podemos dar viabilidad al derecho de acceso al servicio de guarderías que nos mandata la sentencia y que requieren niñas y niños, haciendo mención de la totalidad de emplead</w:t>
      </w:r>
      <w:r>
        <w:rPr>
          <w:rFonts w:ascii="Montserrat" w:eastAsia="Montserrat" w:hAnsi="Montserrat" w:cs="Montserrat"/>
          <w:sz w:val="24"/>
          <w:szCs w:val="24"/>
          <w:shd w:val="clear" w:color="auto" w:fill="FEFFFF"/>
        </w:rPr>
        <w:t>os, servidores públicos de Gobierno del Estado, no de quienes tienen hijos en edad de guarderías, sin realizar un estudio que nos muestre el impacto de la tasa de natalidad, la edad de quienes se encuentran laborando, una estadística real, un análisis técn</w:t>
      </w:r>
      <w:r>
        <w:rPr>
          <w:rFonts w:ascii="Montserrat" w:eastAsia="Montserrat" w:hAnsi="Montserrat" w:cs="Montserrat"/>
          <w:sz w:val="24"/>
          <w:szCs w:val="24"/>
          <w:shd w:val="clear" w:color="auto" w:fill="FEFFFF"/>
        </w:rPr>
        <w:t xml:space="preserve">ico o un presupuesto claro. </w:t>
      </w:r>
    </w:p>
    <w:p w14:paraId="057D2C49"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 xml:space="preserve">Ello nos dejó sin herramientas para continuar con el proceso, no se </w:t>
      </w:r>
      <w:proofErr w:type="spellStart"/>
      <w:r>
        <w:rPr>
          <w:rFonts w:ascii="Montserrat" w:eastAsia="Montserrat" w:hAnsi="Montserrat" w:cs="Montserrat"/>
          <w:sz w:val="24"/>
          <w:szCs w:val="24"/>
          <w:shd w:val="clear" w:color="auto" w:fill="FEFFFF"/>
        </w:rPr>
        <w:t>dió</w:t>
      </w:r>
      <w:proofErr w:type="spellEnd"/>
      <w:r>
        <w:rPr>
          <w:rFonts w:ascii="Montserrat" w:eastAsia="Montserrat" w:hAnsi="Montserrat" w:cs="Montserrat"/>
          <w:sz w:val="24"/>
          <w:szCs w:val="24"/>
          <w:shd w:val="clear" w:color="auto" w:fill="FEFFFF"/>
        </w:rPr>
        <w:t xml:space="preserve"> una propuesta por parte de la dependencia y nos habla de un desprecio al trabajo de esta Secretaría hacía el Congreso y quienes le integramos, mismo que se</w:t>
      </w:r>
      <w:r>
        <w:rPr>
          <w:rFonts w:ascii="Montserrat" w:eastAsia="Montserrat" w:hAnsi="Montserrat" w:cs="Montserrat"/>
          <w:sz w:val="24"/>
          <w:szCs w:val="24"/>
          <w:shd w:val="clear" w:color="auto" w:fill="FEFFFF"/>
        </w:rPr>
        <w:t xml:space="preserve"> refrendó al no cumplir con el acuerdo adoptado en la reunión, en donde se les solicitó que antes de una semana se hiciera llegar una propuesta a la Comisión para consideración y análisis de quienes la integramos, fecha que se venció el 23 de abril. </w:t>
      </w:r>
    </w:p>
    <w:p w14:paraId="2E18A1CC"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El 2 </w:t>
      </w:r>
      <w:r>
        <w:rPr>
          <w:rFonts w:ascii="Montserrat" w:eastAsia="Montserrat" w:hAnsi="Montserrat" w:cs="Montserrat"/>
          <w:sz w:val="24"/>
          <w:szCs w:val="24"/>
          <w:shd w:val="clear" w:color="auto" w:fill="FEFFFF"/>
        </w:rPr>
        <w:t>de mayo, por parte del Departamento de Amparo de este Congreso, se nos hizo llegar un oficio enviado por parte del Juzgado en donde se le otorga una prórroga a la Secretaría de Hacienda para el cumplimiento de la sentencia de 5 días hábiles. Sin embargo, a</w:t>
      </w:r>
      <w:r>
        <w:rPr>
          <w:rFonts w:ascii="Montserrat" w:eastAsia="Montserrat" w:hAnsi="Montserrat" w:cs="Montserrat"/>
          <w:sz w:val="24"/>
          <w:szCs w:val="24"/>
          <w:shd w:val="clear" w:color="auto" w:fill="FEFFFF"/>
        </w:rPr>
        <w:t xml:space="preserve"> este Congreso no se le otorgó prórroga y aunque se ha trabajado al respecto, no existe una reforma que garanticen los derechos de las y los trabajadores así como de sus hijos, por lo que la omisión por parte del Congreso continúa; hemos terminado el perío</w:t>
      </w:r>
      <w:r>
        <w:rPr>
          <w:rFonts w:ascii="Montserrat" w:eastAsia="Montserrat" w:hAnsi="Montserrat" w:cs="Montserrat"/>
          <w:sz w:val="24"/>
          <w:szCs w:val="24"/>
          <w:shd w:val="clear" w:color="auto" w:fill="FEFFFF"/>
        </w:rPr>
        <w:t xml:space="preserve">do ordinario de sesiones, lo </w:t>
      </w:r>
      <w:proofErr w:type="spellStart"/>
      <w:r>
        <w:rPr>
          <w:rFonts w:ascii="Montserrat" w:eastAsia="Montserrat" w:hAnsi="Montserrat" w:cs="Montserrat"/>
          <w:sz w:val="24"/>
          <w:szCs w:val="24"/>
          <w:shd w:val="clear" w:color="auto" w:fill="FEFFFF"/>
        </w:rPr>
        <w:t>cuál</w:t>
      </w:r>
      <w:proofErr w:type="spellEnd"/>
      <w:r>
        <w:rPr>
          <w:rFonts w:ascii="Montserrat" w:eastAsia="Montserrat" w:hAnsi="Montserrat" w:cs="Montserrat"/>
          <w:sz w:val="24"/>
          <w:szCs w:val="24"/>
          <w:shd w:val="clear" w:color="auto" w:fill="FEFFFF"/>
        </w:rPr>
        <w:t>, tanto para la sentencia emitida por el juzgado, así como para los tiempos que marca el artículo 171 de la Ley Orgánica del Proceso Legislativo, nos encontramos fuera de los plazos referidos para dictaminar el asunto en cu</w:t>
      </w:r>
      <w:r>
        <w:rPr>
          <w:rFonts w:ascii="Montserrat" w:eastAsia="Montserrat" w:hAnsi="Montserrat" w:cs="Montserrat"/>
          <w:sz w:val="24"/>
          <w:szCs w:val="24"/>
          <w:shd w:val="clear" w:color="auto" w:fill="FEFFFF"/>
        </w:rPr>
        <w:t xml:space="preserve">estión. </w:t>
      </w:r>
    </w:p>
    <w:p w14:paraId="0203C835"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Este Poder Legislativo cuenta con autonomía y  con libertad de configuración, sin embargo, reconocemos la importancia de trabajar en conjunto con las autoridades para poder tomar determinaciones que sean viables técnica y presupuestalmente, que me</w:t>
      </w:r>
      <w:r>
        <w:rPr>
          <w:rFonts w:ascii="Montserrat" w:eastAsia="Montserrat" w:hAnsi="Montserrat" w:cs="Montserrat"/>
          <w:sz w:val="24"/>
          <w:szCs w:val="24"/>
          <w:shd w:val="clear" w:color="auto" w:fill="FEFFFF"/>
        </w:rPr>
        <w:t>joren la calidad de vida y que garanticen los derechos de todas las personas sin discriminación alguna, por ello es que buscamos la colaboración interinstitucional, sin embargo, sí la Secretaría de Hacienda, toma la decisión de mantenerse al margen, esta L</w:t>
      </w:r>
      <w:r>
        <w:rPr>
          <w:rFonts w:ascii="Montserrat" w:eastAsia="Montserrat" w:hAnsi="Montserrat" w:cs="Montserrat"/>
          <w:sz w:val="24"/>
          <w:szCs w:val="24"/>
          <w:shd w:val="clear" w:color="auto" w:fill="FEFFFF"/>
        </w:rPr>
        <w:t xml:space="preserve">egislatura debe hacer lo propio para responder a las necesidades que la sociedad nos plantea.  </w:t>
      </w:r>
    </w:p>
    <w:p w14:paraId="66245C76"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Sí, buscamos el apoyo y la colaboración entre las diferentes instancias, pero este Congreso también debe ser claro y no dejar el mensaje en el aire de que se es sumiso a las instrucciones de Hacienda del Poder Estatal, que se </w:t>
      </w:r>
      <w:r>
        <w:rPr>
          <w:rFonts w:ascii="Montserrat" w:eastAsia="Montserrat" w:hAnsi="Montserrat" w:cs="Montserrat"/>
          <w:sz w:val="24"/>
          <w:szCs w:val="24"/>
          <w:shd w:val="clear" w:color="auto" w:fill="FEFFFF"/>
        </w:rPr>
        <w:lastRenderedPageBreak/>
        <w:t xml:space="preserve">está subyugado a lo que ellos </w:t>
      </w:r>
      <w:r>
        <w:rPr>
          <w:rFonts w:ascii="Montserrat" w:eastAsia="Montserrat" w:hAnsi="Montserrat" w:cs="Montserrat"/>
          <w:sz w:val="24"/>
          <w:szCs w:val="24"/>
          <w:shd w:val="clear" w:color="auto" w:fill="FEFFFF"/>
        </w:rPr>
        <w:t xml:space="preserve">determinen; no podemos depender de otra autoridad para hacer nuestro trabajo y defender los derechos de las y los Chihuahuenses.  </w:t>
      </w:r>
    </w:p>
    <w:p w14:paraId="1BFC1874"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 igual manera, debemos ser puntuales en señalar que el brindar esta información es una obligación de las y los titulares de</w:t>
      </w:r>
      <w:r>
        <w:rPr>
          <w:rFonts w:ascii="Montserrat" w:eastAsia="Montserrat" w:hAnsi="Montserrat" w:cs="Montserrat"/>
          <w:sz w:val="24"/>
          <w:szCs w:val="24"/>
          <w:shd w:val="clear" w:color="auto" w:fill="FEFFFF"/>
        </w:rPr>
        <w:t xml:space="preserve"> la dependencias y entidades de las dependencias y entidades de la administración pública centralizada y paraestatal, siendo una falta administrativa su incumplimiento, de acuerdo al artículo 7 bis de la Ley Orgánica del Poder Ejecutivo. </w:t>
      </w:r>
    </w:p>
    <w:p w14:paraId="3142CEBE"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Es por ello que s</w:t>
      </w:r>
      <w:r>
        <w:rPr>
          <w:rFonts w:ascii="Montserrat" w:eastAsia="Montserrat" w:hAnsi="Montserrat" w:cs="Montserrat"/>
          <w:sz w:val="24"/>
          <w:szCs w:val="24"/>
          <w:shd w:val="clear" w:color="auto" w:fill="FEFFFF"/>
        </w:rPr>
        <w:t>e realiza el presente punto de acuerdo, para solicitarle, una vez más, a la Secretaría de Hacienda, que nos haga llegar la propuesta que consideren pertinente para poder continuar al análisis del tema, cumplir con la sentencia emitida por el Juzgado Primer</w:t>
      </w:r>
      <w:r>
        <w:rPr>
          <w:rFonts w:ascii="Montserrat" w:eastAsia="Montserrat" w:hAnsi="Montserrat" w:cs="Montserrat"/>
          <w:sz w:val="24"/>
          <w:szCs w:val="24"/>
          <w:shd w:val="clear" w:color="auto" w:fill="FEFFFF"/>
        </w:rPr>
        <w:t xml:space="preserve">o </w:t>
      </w:r>
      <w:proofErr w:type="gramStart"/>
      <w:r>
        <w:rPr>
          <w:rFonts w:ascii="Montserrat" w:eastAsia="Montserrat" w:hAnsi="Montserrat" w:cs="Montserrat"/>
          <w:sz w:val="24"/>
          <w:szCs w:val="24"/>
          <w:shd w:val="clear" w:color="auto" w:fill="FEFFFF"/>
        </w:rPr>
        <w:t>y  sobre</w:t>
      </w:r>
      <w:proofErr w:type="gramEnd"/>
      <w:r>
        <w:rPr>
          <w:rFonts w:ascii="Montserrat" w:eastAsia="Montserrat" w:hAnsi="Montserrat" w:cs="Montserrat"/>
          <w:sz w:val="24"/>
          <w:szCs w:val="24"/>
          <w:shd w:val="clear" w:color="auto" w:fill="FEFFFF"/>
        </w:rPr>
        <w:t xml:space="preserve"> todo, cumplir con la ciudadanía para que el acceso a sus derechos esté garantizado. De igual manera se solicita a la Secretaría General de Gobierno que, en uso de sus funciones, realice las acciones o gestiones necesarias para que se hagan llega</w:t>
      </w:r>
      <w:r>
        <w:rPr>
          <w:rFonts w:ascii="Montserrat" w:eastAsia="Montserrat" w:hAnsi="Montserrat" w:cs="Montserrat"/>
          <w:sz w:val="24"/>
          <w:szCs w:val="24"/>
          <w:shd w:val="clear" w:color="auto" w:fill="FEFFFF"/>
        </w:rPr>
        <w:t xml:space="preserve">r los informes a este Poder Legislativo siempre que se soliciten y que este tipo de situaciones no se repitan. </w:t>
      </w:r>
    </w:p>
    <w:p w14:paraId="6B021621"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lo anteriormente expuesto, y con fundamento en lo dispuesto en los artículos invocados, someto a consideración de esta Honorable Asamblea, e</w:t>
      </w:r>
      <w:r>
        <w:rPr>
          <w:rFonts w:ascii="Montserrat" w:eastAsia="Montserrat" w:hAnsi="Montserrat" w:cs="Montserrat"/>
          <w:sz w:val="24"/>
          <w:szCs w:val="24"/>
          <w:shd w:val="clear" w:color="auto" w:fill="FEFFFF"/>
        </w:rPr>
        <w:t>l siguiente proyecto con carácter de:</w:t>
      </w:r>
    </w:p>
    <w:p w14:paraId="4A17D84A" w14:textId="77777777" w:rsidR="00265101" w:rsidRDefault="00265101">
      <w:pPr>
        <w:spacing w:before="240" w:after="120" w:line="360" w:lineRule="auto"/>
        <w:jc w:val="both"/>
        <w:rPr>
          <w:rFonts w:ascii="Montserrat" w:eastAsia="Montserrat" w:hAnsi="Montserrat" w:cs="Montserrat"/>
          <w:sz w:val="24"/>
          <w:szCs w:val="24"/>
          <w:shd w:val="clear" w:color="auto" w:fill="FEFFFF"/>
        </w:rPr>
      </w:pPr>
    </w:p>
    <w:p w14:paraId="0FD162BB"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6EC55D39" w14:textId="77777777" w:rsidR="00265101" w:rsidRDefault="002166C3">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shd w:val="clear" w:color="auto" w:fill="FEFFFF"/>
        </w:rPr>
        <w:t>PRIMERO. -</w:t>
      </w:r>
      <w:r>
        <w:rPr>
          <w:rFonts w:ascii="Montserrat" w:eastAsia="Montserrat" w:hAnsi="Montserrat" w:cs="Montserrat"/>
          <w:sz w:val="24"/>
          <w:szCs w:val="24"/>
          <w:shd w:val="clear" w:color="auto" w:fill="FEFFFF"/>
        </w:rPr>
        <w:t xml:space="preserve"> La Sexagésima Séptima Legislatura del H. Congreso del Estado exhorta atentamente </w:t>
      </w:r>
      <w:r>
        <w:rPr>
          <w:rFonts w:ascii="Montserrat" w:eastAsia="Montserrat" w:hAnsi="Montserrat" w:cs="Montserrat"/>
          <w:b/>
          <w:sz w:val="24"/>
          <w:szCs w:val="24"/>
        </w:rPr>
        <w:t>a la titular del Poder Ejecutivo del Estado, a través de la Secretaría de Hacienda, a fin de que entreguen, a la brevedad, el estudio y propuestas a las que se comprometieron en la reunión del 16 de abril del 2024 en la Comisión de Salud, lo anterior con l</w:t>
      </w:r>
      <w:r>
        <w:rPr>
          <w:rFonts w:ascii="Montserrat" w:eastAsia="Montserrat" w:hAnsi="Montserrat" w:cs="Montserrat"/>
          <w:b/>
          <w:sz w:val="24"/>
          <w:szCs w:val="24"/>
        </w:rPr>
        <w:t xml:space="preserve">a finalidad de </w:t>
      </w:r>
      <w:r>
        <w:rPr>
          <w:rFonts w:ascii="Montserrat" w:eastAsia="Montserrat" w:hAnsi="Montserrat" w:cs="Montserrat"/>
          <w:b/>
          <w:sz w:val="24"/>
          <w:szCs w:val="24"/>
        </w:rPr>
        <w:lastRenderedPageBreak/>
        <w:t xml:space="preserve">estar en condiciones de continuar con el proceso legislativo del asunto identificado como 2192 referente a la prestación del servicio de guarderías a las y los trabajadores de Gobierno del Estado. </w:t>
      </w:r>
    </w:p>
    <w:p w14:paraId="249643E0" w14:textId="77777777" w:rsidR="00265101" w:rsidRDefault="002166C3">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shd w:val="clear" w:color="auto" w:fill="FEFFFF"/>
        </w:rPr>
        <w:t>SEGUNDO. -</w:t>
      </w:r>
      <w:r>
        <w:rPr>
          <w:rFonts w:ascii="Montserrat" w:eastAsia="Montserrat" w:hAnsi="Montserrat" w:cs="Montserrat"/>
          <w:sz w:val="24"/>
          <w:szCs w:val="24"/>
          <w:shd w:val="clear" w:color="auto" w:fill="FEFFFF"/>
        </w:rPr>
        <w:t xml:space="preserve"> La Sexagésima Séptima Legislatur</w:t>
      </w:r>
      <w:r>
        <w:rPr>
          <w:rFonts w:ascii="Montserrat" w:eastAsia="Montserrat" w:hAnsi="Montserrat" w:cs="Montserrat"/>
          <w:sz w:val="24"/>
          <w:szCs w:val="24"/>
          <w:shd w:val="clear" w:color="auto" w:fill="FEFFFF"/>
        </w:rPr>
        <w:t xml:space="preserve">a del H. Congreso del Estado exhorta atentamente </w:t>
      </w:r>
      <w:r>
        <w:rPr>
          <w:rFonts w:ascii="Montserrat" w:eastAsia="Montserrat" w:hAnsi="Montserrat" w:cs="Montserrat"/>
          <w:b/>
          <w:sz w:val="24"/>
          <w:szCs w:val="24"/>
        </w:rPr>
        <w:t>a la titular del Poder Ejecutivo del Estado, a través de la Secretaría General de Gobierno, con el objetivo de que, en uso de sus funciones para coordinar las relaciones con los otros Poderes, realice las ac</w:t>
      </w:r>
      <w:r>
        <w:rPr>
          <w:rFonts w:ascii="Montserrat" w:eastAsia="Montserrat" w:hAnsi="Montserrat" w:cs="Montserrat"/>
          <w:b/>
          <w:sz w:val="24"/>
          <w:szCs w:val="24"/>
        </w:rPr>
        <w:t>ciones necesarias para que todas las dependencias de la Administración Centralizada brinden al Congreso del Estado los informes que se les soliciten respecto a los asuntos de los ramos de su competencia, de conformidad con la fracción XXI del artículo 93 d</w:t>
      </w:r>
      <w:r>
        <w:rPr>
          <w:rFonts w:ascii="Montserrat" w:eastAsia="Montserrat" w:hAnsi="Montserrat" w:cs="Montserrat"/>
          <w:b/>
          <w:sz w:val="24"/>
          <w:szCs w:val="24"/>
        </w:rPr>
        <w:t xml:space="preserve">e la Constitución Política del Estado de Chihuahua y el artículo 7 bis de la Ley Orgánica del Poder Ejecutivo del Estado de Chihuahua. </w:t>
      </w:r>
    </w:p>
    <w:p w14:paraId="33B6BF11"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t>ECONÓMICO.-</w:t>
      </w:r>
      <w:proofErr w:type="gramEnd"/>
      <w:r>
        <w:rPr>
          <w:rFonts w:ascii="Montserrat" w:eastAsia="Montserrat" w:hAnsi="Montserrat" w:cs="Montserrat"/>
          <w:sz w:val="24"/>
          <w:szCs w:val="24"/>
          <w:shd w:val="clear" w:color="auto" w:fill="FEFFFF"/>
        </w:rPr>
        <w:t xml:space="preserve"> Aprobado que sea, remítase el presente acuerdo a las autoridades antes mencionadas.</w:t>
      </w:r>
    </w:p>
    <w:p w14:paraId="04CCCF17"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Dado en el Recinto Ofici</w:t>
      </w:r>
      <w:r>
        <w:rPr>
          <w:rFonts w:ascii="Montserrat" w:eastAsia="Montserrat" w:hAnsi="Montserrat" w:cs="Montserrat"/>
          <w:sz w:val="24"/>
          <w:szCs w:val="24"/>
          <w:shd w:val="clear" w:color="auto" w:fill="FEFFFF"/>
        </w:rPr>
        <w:t xml:space="preserve">al del Honorable Congreso del Estado, a los seis días del mes de </w:t>
      </w:r>
      <w:proofErr w:type="gramStart"/>
      <w:r>
        <w:rPr>
          <w:rFonts w:ascii="Montserrat" w:eastAsia="Montserrat" w:hAnsi="Montserrat" w:cs="Montserrat"/>
          <w:sz w:val="24"/>
          <w:szCs w:val="24"/>
          <w:shd w:val="clear" w:color="auto" w:fill="FEFFFF"/>
        </w:rPr>
        <w:t>mayo  del</w:t>
      </w:r>
      <w:proofErr w:type="gramEnd"/>
      <w:r>
        <w:rPr>
          <w:rFonts w:ascii="Montserrat" w:eastAsia="Montserrat" w:hAnsi="Montserrat" w:cs="Montserrat"/>
          <w:sz w:val="24"/>
          <w:szCs w:val="24"/>
          <w:shd w:val="clear" w:color="auto" w:fill="FEFFFF"/>
        </w:rPr>
        <w:t xml:space="preserve"> año dos mil veinticuatro.</w:t>
      </w:r>
    </w:p>
    <w:p w14:paraId="403145A6"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3D49D629"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 T E N T A M E N T E</w:t>
      </w:r>
    </w:p>
    <w:p w14:paraId="54A9A91A"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GRUPO PARLAMENTARIO DE MORENA</w:t>
      </w:r>
    </w:p>
    <w:p w14:paraId="0BC92BDB"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18"/>
        <w:gridCol w:w="4407"/>
      </w:tblGrid>
      <w:tr w:rsidR="00265101" w14:paraId="1F2FD7EB" w14:textId="77777777">
        <w:trPr>
          <w:trHeight w:val="2760"/>
        </w:trPr>
        <w:tc>
          <w:tcPr>
            <w:tcW w:w="4617" w:type="dxa"/>
            <w:tcBorders>
              <w:top w:val="nil"/>
              <w:left w:val="nil"/>
              <w:bottom w:val="nil"/>
              <w:right w:val="nil"/>
            </w:tcBorders>
            <w:tcMar>
              <w:top w:w="100" w:type="dxa"/>
              <w:left w:w="100" w:type="dxa"/>
              <w:bottom w:w="100" w:type="dxa"/>
              <w:right w:w="100" w:type="dxa"/>
            </w:tcMar>
          </w:tcPr>
          <w:p w14:paraId="3FA42921"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________________________________</w:t>
            </w:r>
          </w:p>
          <w:p w14:paraId="17CAB626"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JAEL ARGÜELLES DÍAZ</w:t>
            </w:r>
          </w:p>
          <w:p w14:paraId="56BA9D81"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50394590"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402E8E23"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550FB2F9"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5651E7A0"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w:t>
            </w:r>
            <w:r>
              <w:rPr>
                <w:rFonts w:ascii="Montserrat" w:eastAsia="Montserrat" w:hAnsi="Montserrat" w:cs="Montserrat"/>
                <w:b/>
                <w:sz w:val="24"/>
                <w:szCs w:val="24"/>
                <w:shd w:val="clear" w:color="auto" w:fill="FEFFFF"/>
              </w:rPr>
              <w:t>P CUAUHTÉMOC ESTRADA SOTELO</w:t>
            </w:r>
          </w:p>
        </w:tc>
      </w:tr>
      <w:tr w:rsidR="00265101" w14:paraId="3661CDBC" w14:textId="77777777">
        <w:trPr>
          <w:trHeight w:val="3255"/>
        </w:trPr>
        <w:tc>
          <w:tcPr>
            <w:tcW w:w="4617" w:type="dxa"/>
            <w:tcBorders>
              <w:top w:val="nil"/>
              <w:left w:val="nil"/>
              <w:bottom w:val="nil"/>
              <w:right w:val="nil"/>
            </w:tcBorders>
            <w:tcMar>
              <w:top w:w="100" w:type="dxa"/>
              <w:left w:w="100" w:type="dxa"/>
              <w:bottom w:w="100" w:type="dxa"/>
              <w:right w:w="100" w:type="dxa"/>
            </w:tcMar>
          </w:tcPr>
          <w:p w14:paraId="097B1057"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512E9566"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LETICIA ORTEGA MAYNEZ</w:t>
            </w:r>
          </w:p>
          <w:p w14:paraId="032641F3"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6DBCBD39"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7CB42B84"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26F668CE"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561F786F"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105C0CC0"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BENJAMÍN CARRERA CHÁVEZ</w:t>
            </w:r>
          </w:p>
        </w:tc>
      </w:tr>
      <w:tr w:rsidR="00265101" w14:paraId="069F64B4" w14:textId="77777777">
        <w:trPr>
          <w:trHeight w:val="3015"/>
        </w:trPr>
        <w:tc>
          <w:tcPr>
            <w:tcW w:w="4617" w:type="dxa"/>
            <w:tcBorders>
              <w:top w:val="nil"/>
              <w:left w:val="nil"/>
              <w:bottom w:val="nil"/>
              <w:right w:val="nil"/>
            </w:tcBorders>
            <w:tcMar>
              <w:top w:w="100" w:type="dxa"/>
              <w:left w:w="100" w:type="dxa"/>
              <w:bottom w:w="100" w:type="dxa"/>
              <w:right w:w="100" w:type="dxa"/>
            </w:tcMar>
          </w:tcPr>
          <w:p w14:paraId="611E70AC"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67D56C58"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DAVID OSCAR CASTREJÓN RIVAS</w:t>
            </w:r>
          </w:p>
          <w:p w14:paraId="01AA6176"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00699827"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6DFED10E"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63A70276"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1916469B"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GUSTAVO DE LA ROSA HICKERSON</w:t>
            </w:r>
          </w:p>
        </w:tc>
      </w:tr>
      <w:tr w:rsidR="00265101" w14:paraId="4048DA99" w14:textId="77777777">
        <w:trPr>
          <w:trHeight w:val="3255"/>
        </w:trPr>
        <w:tc>
          <w:tcPr>
            <w:tcW w:w="4617" w:type="dxa"/>
            <w:tcBorders>
              <w:top w:val="nil"/>
              <w:left w:val="nil"/>
              <w:bottom w:val="nil"/>
              <w:right w:val="nil"/>
            </w:tcBorders>
            <w:tcMar>
              <w:top w:w="100" w:type="dxa"/>
              <w:left w:w="100" w:type="dxa"/>
              <w:bottom w:w="100" w:type="dxa"/>
              <w:right w:w="100" w:type="dxa"/>
            </w:tcMar>
          </w:tcPr>
          <w:p w14:paraId="2BE7104E"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________________________________</w:t>
            </w:r>
          </w:p>
          <w:p w14:paraId="5A693BAE"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ILSE AMÉRICA GARCÍA SOTO</w:t>
            </w:r>
          </w:p>
          <w:p w14:paraId="122356A9"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70C039B4"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1972A3F5"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5E08A154"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0C21FD9E"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0F0B51AC"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MAGDALENA RENTERÍA PÉREZ</w:t>
            </w:r>
          </w:p>
        </w:tc>
      </w:tr>
      <w:tr w:rsidR="00265101" w14:paraId="4069787E" w14:textId="77777777">
        <w:trPr>
          <w:trHeight w:val="3015"/>
        </w:trPr>
        <w:tc>
          <w:tcPr>
            <w:tcW w:w="4617" w:type="dxa"/>
            <w:tcBorders>
              <w:top w:val="nil"/>
              <w:left w:val="nil"/>
              <w:bottom w:val="nil"/>
              <w:right w:val="nil"/>
            </w:tcBorders>
            <w:tcMar>
              <w:top w:w="100" w:type="dxa"/>
              <w:left w:w="100" w:type="dxa"/>
              <w:bottom w:w="100" w:type="dxa"/>
              <w:right w:w="100" w:type="dxa"/>
            </w:tcMar>
          </w:tcPr>
          <w:p w14:paraId="45F6F261"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2DBD4210"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MARÍA ANTONIETA PÉREZ REYES</w:t>
            </w:r>
          </w:p>
          <w:p w14:paraId="509C3CF3"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14DB07A7"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31C14F2F"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60079CC8"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1F169547"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OSCAR DANIEL AVITIA ARELLANES</w:t>
            </w:r>
          </w:p>
        </w:tc>
      </w:tr>
      <w:tr w:rsidR="00265101" w14:paraId="5CD5C823" w14:textId="77777777">
        <w:trPr>
          <w:trHeight w:val="1200"/>
        </w:trPr>
        <w:tc>
          <w:tcPr>
            <w:tcW w:w="4617" w:type="dxa"/>
            <w:tcBorders>
              <w:top w:val="nil"/>
              <w:left w:val="nil"/>
              <w:bottom w:val="nil"/>
              <w:right w:val="nil"/>
            </w:tcBorders>
            <w:tcMar>
              <w:top w:w="100" w:type="dxa"/>
              <w:left w:w="100" w:type="dxa"/>
              <w:bottom w:w="100" w:type="dxa"/>
              <w:right w:w="100" w:type="dxa"/>
            </w:tcMar>
          </w:tcPr>
          <w:p w14:paraId="2940605A" w14:textId="77777777" w:rsidR="00265101" w:rsidRDefault="002166C3">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25BD29B9"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ROSANA DÍAZ REYES</w:t>
            </w:r>
          </w:p>
        </w:tc>
        <w:tc>
          <w:tcPr>
            <w:tcW w:w="4407" w:type="dxa"/>
            <w:tcBorders>
              <w:top w:val="nil"/>
              <w:left w:val="nil"/>
              <w:bottom w:val="nil"/>
              <w:right w:val="nil"/>
            </w:tcBorders>
            <w:tcMar>
              <w:top w:w="100" w:type="dxa"/>
              <w:left w:w="100" w:type="dxa"/>
              <w:bottom w:w="100" w:type="dxa"/>
              <w:right w:w="100" w:type="dxa"/>
            </w:tcMar>
          </w:tcPr>
          <w:p w14:paraId="64F66D8E" w14:textId="77777777" w:rsidR="00265101" w:rsidRDefault="002166C3">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r>
    </w:tbl>
    <w:p w14:paraId="106BC19B" w14:textId="77777777" w:rsidR="00265101" w:rsidRDefault="00265101">
      <w:pPr>
        <w:rPr>
          <w:rFonts w:ascii="Montserrat" w:eastAsia="Montserrat" w:hAnsi="Montserrat" w:cs="Montserrat"/>
          <w:sz w:val="24"/>
          <w:szCs w:val="24"/>
          <w:shd w:val="clear" w:color="auto" w:fill="FEFFFF"/>
        </w:rPr>
      </w:pPr>
    </w:p>
    <w:p w14:paraId="10EF1773" w14:textId="77777777" w:rsidR="00265101" w:rsidRDefault="00265101">
      <w:pPr>
        <w:rPr>
          <w:rFonts w:ascii="Montserrat" w:eastAsia="Montserrat" w:hAnsi="Montserrat" w:cs="Montserrat"/>
          <w:sz w:val="24"/>
          <w:szCs w:val="24"/>
          <w:shd w:val="clear" w:color="auto" w:fill="FEFFFF"/>
        </w:rPr>
      </w:pPr>
    </w:p>
    <w:p w14:paraId="3F635CD6" w14:textId="77777777" w:rsidR="00265101" w:rsidRDefault="00265101">
      <w:pPr>
        <w:spacing w:before="240" w:after="120" w:line="360" w:lineRule="auto"/>
        <w:jc w:val="both"/>
        <w:rPr>
          <w:rFonts w:ascii="Montserrat" w:eastAsia="Montserrat" w:hAnsi="Montserrat" w:cs="Montserrat"/>
          <w:sz w:val="24"/>
          <w:szCs w:val="24"/>
          <w:shd w:val="clear" w:color="auto" w:fill="FEFFFF"/>
        </w:rPr>
      </w:pPr>
    </w:p>
    <w:p w14:paraId="61ED5136"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proofErr w:type="spellStart"/>
      <w:r>
        <w:rPr>
          <w:rFonts w:ascii="Montserrat" w:eastAsia="Montserrat" w:hAnsi="Montserrat" w:cs="Montserrat"/>
          <w:sz w:val="24"/>
          <w:szCs w:val="24"/>
          <w:shd w:val="clear" w:color="auto" w:fill="FEFFFF"/>
        </w:rPr>
        <w:t>aritmetica</w:t>
      </w:r>
      <w:proofErr w:type="spellEnd"/>
      <w:r>
        <w:rPr>
          <w:rFonts w:ascii="Montserrat" w:eastAsia="Montserrat" w:hAnsi="Montserrat" w:cs="Montserrat"/>
          <w:sz w:val="24"/>
          <w:szCs w:val="24"/>
          <w:shd w:val="clear" w:color="auto" w:fill="FEFFFF"/>
        </w:rPr>
        <w:t xml:space="preserve"> muy rápida</w:t>
      </w:r>
    </w:p>
    <w:p w14:paraId="68516BCB"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Bonos de guardería de 800 mensuales. </w:t>
      </w:r>
    </w:p>
    <w:p w14:paraId="16A12929"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No es a todos los trabajadores, a los puestos de supervisor administración, sueldo menor a 19 mil pesos, un bono por familia</w:t>
      </w:r>
    </w:p>
    <w:p w14:paraId="3FB4B847"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Beca preescolar a algunos hijos de trabajadores de confianza y sindical</w:t>
      </w:r>
      <w:r>
        <w:rPr>
          <w:rFonts w:ascii="Montserrat" w:eastAsia="Montserrat" w:hAnsi="Montserrat" w:cs="Montserrat"/>
          <w:sz w:val="24"/>
          <w:szCs w:val="24"/>
          <w:shd w:val="clear" w:color="auto" w:fill="FEFFFF"/>
        </w:rPr>
        <w:t>izados, 158</w:t>
      </w:r>
    </w:p>
    <w:p w14:paraId="130E3FFB"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 xml:space="preserve">Pagar ese bono por cada hijo de trabajadora, </w:t>
      </w:r>
    </w:p>
    <w:p w14:paraId="24B93EE7"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9370 empleados, servidores públicos</w:t>
      </w:r>
    </w:p>
    <w:p w14:paraId="71AED8AA"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15 millones de pesos mensuales</w:t>
      </w:r>
    </w:p>
    <w:p w14:paraId="5BBAED2A"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190 millones de pesos anuales</w:t>
      </w:r>
    </w:p>
    <w:p w14:paraId="2D294464"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800 millones </w:t>
      </w:r>
    </w:p>
    <w:p w14:paraId="23318BE5" w14:textId="77777777" w:rsidR="00265101" w:rsidRDefault="002166C3">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24 mil trabajadores activos </w:t>
      </w:r>
    </w:p>
    <w:p w14:paraId="3ED08252" w14:textId="77777777" w:rsidR="00265101" w:rsidRDefault="00265101">
      <w:pPr>
        <w:spacing w:before="240" w:after="120" w:line="360" w:lineRule="auto"/>
        <w:jc w:val="both"/>
        <w:rPr>
          <w:rFonts w:ascii="Montserrat" w:eastAsia="Montserrat" w:hAnsi="Montserrat" w:cs="Montserrat"/>
          <w:sz w:val="24"/>
          <w:szCs w:val="24"/>
          <w:shd w:val="clear" w:color="auto" w:fill="FEFFFF"/>
        </w:rPr>
      </w:pPr>
    </w:p>
    <w:p w14:paraId="60244B1F" w14:textId="77777777" w:rsidR="00265101" w:rsidRDefault="002166C3">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rPr>
        <w:t>64</w:t>
      </w:r>
    </w:p>
    <w:p w14:paraId="6B62BB1A" w14:textId="77777777" w:rsidR="00265101" w:rsidRDefault="002166C3">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rPr>
        <w:t>XXXII. Recabar de quien corresponda y por los conducto</w:t>
      </w:r>
      <w:r>
        <w:rPr>
          <w:rFonts w:ascii="Montserrat" w:eastAsia="Montserrat" w:hAnsi="Montserrat" w:cs="Montserrat"/>
          <w:b/>
          <w:sz w:val="24"/>
          <w:szCs w:val="24"/>
        </w:rPr>
        <w:t xml:space="preserve">s debidos, informes sobre todos los ramos de administración pública del Estado y de los municipios, cuando lo estime necesario para el mejor ejercicio de las funciones de la Legislatura. </w:t>
      </w:r>
    </w:p>
    <w:p w14:paraId="45B0C24A" w14:textId="77777777" w:rsidR="00265101" w:rsidRDefault="002166C3">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rPr>
        <w:t>93</w:t>
      </w:r>
    </w:p>
    <w:p w14:paraId="291A75D0" w14:textId="77777777" w:rsidR="00265101" w:rsidRDefault="002166C3">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rPr>
        <w:t>XXI. Pedir informes al Congreso y al Tribunal Superior de Justici</w:t>
      </w:r>
      <w:r>
        <w:rPr>
          <w:rFonts w:ascii="Montserrat" w:eastAsia="Montserrat" w:hAnsi="Montserrat" w:cs="Montserrat"/>
          <w:b/>
          <w:sz w:val="24"/>
          <w:szCs w:val="24"/>
        </w:rPr>
        <w:t>a sobre asuntos de los ramos de su incumbencia, respectivamente, y darlos cuando dichos Poderes los pidan acerca de los que competen al Ejecutivo.</w:t>
      </w:r>
    </w:p>
    <w:p w14:paraId="772679BC" w14:textId="77777777" w:rsidR="00265101" w:rsidRDefault="00265101">
      <w:pPr>
        <w:rPr>
          <w:rFonts w:ascii="Montserrat" w:eastAsia="Montserrat" w:hAnsi="Montserrat" w:cs="Montserrat"/>
          <w:sz w:val="24"/>
          <w:szCs w:val="24"/>
          <w:shd w:val="clear" w:color="auto" w:fill="FEFFFF"/>
        </w:rPr>
      </w:pPr>
    </w:p>
    <w:sectPr w:rsidR="002651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01"/>
    <w:rsid w:val="002166C3"/>
    <w:rsid w:val="00265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374C"/>
  <w15:docId w15:val="{DC7359FE-7659-4663-AC57-373FF8DF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2219</Words>
  <Characters>12205</Characters>
  <Application>Microsoft Office Word</Application>
  <DocSecurity>0</DocSecurity>
  <Lines>101</Lines>
  <Paragraphs>28</Paragraphs>
  <ScaleCrop>false</ScaleCrop>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2024-05-06T14:54:00Z</dcterms:created>
  <dcterms:modified xsi:type="dcterms:W3CDTF">2024-05-06T14:54:00Z</dcterms:modified>
</cp:coreProperties>
</file>