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A091" w14:textId="02B9A198" w:rsidR="00E66B05" w:rsidRPr="00642257" w:rsidRDefault="00E66B05" w:rsidP="00A82E21">
      <w:pPr>
        <w:spacing w:before="600" w:after="0" w:line="360" w:lineRule="auto"/>
        <w:jc w:val="both"/>
        <w:rPr>
          <w:rFonts w:ascii="Century Gothic" w:eastAsia="Century Gothic" w:hAnsi="Century Gothic" w:cs="Arial"/>
          <w:b/>
          <w:bCs/>
          <w:sz w:val="26"/>
          <w:szCs w:val="26"/>
        </w:rPr>
      </w:pPr>
      <w:r w:rsidRPr="00642257">
        <w:rPr>
          <w:rFonts w:ascii="Century Gothic" w:eastAsia="Century Gothic" w:hAnsi="Century Gothic" w:cs="Arial"/>
          <w:b/>
          <w:bCs/>
          <w:sz w:val="26"/>
          <w:szCs w:val="26"/>
        </w:rPr>
        <w:t>H. CONGRESO DEL ESTADO DE CHIHUAHUA.</w:t>
      </w:r>
    </w:p>
    <w:p w14:paraId="7759D2C8" w14:textId="77777777" w:rsidR="00E66B05" w:rsidRPr="0064225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/>
          <w:bCs/>
          <w:sz w:val="26"/>
          <w:szCs w:val="26"/>
        </w:rPr>
      </w:pPr>
      <w:r w:rsidRPr="00642257">
        <w:rPr>
          <w:rFonts w:ascii="Century Gothic" w:eastAsia="Century Gothic" w:hAnsi="Century Gothic" w:cs="Arial"/>
          <w:b/>
          <w:bCs/>
          <w:sz w:val="26"/>
          <w:szCs w:val="26"/>
        </w:rPr>
        <w:t>PRESENTE. -</w:t>
      </w:r>
    </w:p>
    <w:p w14:paraId="45ECD9E2" w14:textId="75A9E364" w:rsidR="00707E29" w:rsidRPr="00BF4030" w:rsidRDefault="00707E29" w:rsidP="00707E29">
      <w:pPr>
        <w:spacing w:line="480" w:lineRule="auto"/>
        <w:jc w:val="both"/>
        <w:rPr>
          <w:rFonts w:ascii="Century Gothic" w:eastAsia="Century Gothic" w:hAnsi="Century Gothic" w:cs="Century Gothic"/>
          <w:sz w:val="26"/>
          <w:szCs w:val="26"/>
          <w:lang w:val="en-US" w:eastAsia="es-MX"/>
        </w:rPr>
      </w:pPr>
      <w:r w:rsidRPr="00BF4030">
        <w:rPr>
          <w:rFonts w:ascii="Century Gothic" w:eastAsia="Montserrat" w:hAnsi="Century Gothic" w:cs="Courier New"/>
          <w:sz w:val="26"/>
          <w:szCs w:val="26"/>
          <w:shd w:val="clear" w:color="auto" w:fill="FEFFFF"/>
          <w:lang w:eastAsia="es-MX"/>
        </w:rPr>
        <w:t xml:space="preserve">Quienes suscribimos, </w:t>
      </w:r>
      <w:r w:rsidRPr="00642257">
        <w:rPr>
          <w:rFonts w:ascii="Century Gothic" w:eastAsia="Montserrat" w:hAnsi="Century Gothic" w:cs="Courier New"/>
          <w:b/>
          <w:bCs/>
          <w:sz w:val="26"/>
          <w:szCs w:val="26"/>
          <w:shd w:val="clear" w:color="auto" w:fill="FEFFFF"/>
          <w:lang w:eastAsia="es-MX"/>
        </w:rPr>
        <w:t xml:space="preserve">María Antonieta Perez Reyes , Edin Cuauhtémoc Estrada Sotelo, Benjamín Carrera Chávez, David Óscar Castrejón Rivas, Gustavo de la Rosa </w:t>
      </w:r>
      <w:proofErr w:type="spellStart"/>
      <w:r w:rsidRPr="00642257">
        <w:rPr>
          <w:rFonts w:ascii="Century Gothic" w:eastAsia="Montserrat" w:hAnsi="Century Gothic" w:cs="Courier New"/>
          <w:b/>
          <w:bCs/>
          <w:sz w:val="26"/>
          <w:szCs w:val="26"/>
          <w:shd w:val="clear" w:color="auto" w:fill="FEFFFF"/>
          <w:lang w:eastAsia="es-MX"/>
        </w:rPr>
        <w:t>Hickerson</w:t>
      </w:r>
      <w:proofErr w:type="spellEnd"/>
      <w:r w:rsidRPr="00642257">
        <w:rPr>
          <w:rFonts w:ascii="Century Gothic" w:eastAsia="Montserrat" w:hAnsi="Century Gothic" w:cs="Courier New"/>
          <w:b/>
          <w:bCs/>
          <w:sz w:val="26"/>
          <w:szCs w:val="26"/>
          <w:shd w:val="clear" w:color="auto" w:fill="FEFFFF"/>
          <w:lang w:eastAsia="es-MX"/>
        </w:rPr>
        <w:t xml:space="preserve">, Ilse América García Soto, Magdalena Rentería Pérez, Jael Argüelles Díaz, Leticia Ortega </w:t>
      </w:r>
      <w:proofErr w:type="spellStart"/>
      <w:r w:rsidRPr="00642257">
        <w:rPr>
          <w:rFonts w:ascii="Century Gothic" w:eastAsia="Montserrat" w:hAnsi="Century Gothic" w:cs="Courier New"/>
          <w:b/>
          <w:bCs/>
          <w:sz w:val="26"/>
          <w:szCs w:val="26"/>
          <w:shd w:val="clear" w:color="auto" w:fill="FEFFFF"/>
          <w:lang w:eastAsia="es-MX"/>
        </w:rPr>
        <w:t>Maynez</w:t>
      </w:r>
      <w:proofErr w:type="spellEnd"/>
      <w:r w:rsidRPr="00642257">
        <w:rPr>
          <w:rFonts w:ascii="Century Gothic" w:eastAsia="Montserrat" w:hAnsi="Century Gothic" w:cs="Courier New"/>
          <w:b/>
          <w:bCs/>
          <w:sz w:val="26"/>
          <w:szCs w:val="26"/>
          <w:shd w:val="clear" w:color="auto" w:fill="FEFFFF"/>
          <w:lang w:eastAsia="es-MX"/>
        </w:rPr>
        <w:t>, Óscar Daniel Avitia Arellanes y Rosana Díaz Reyes</w:t>
      </w:r>
      <w:r w:rsidRPr="00BF4030">
        <w:rPr>
          <w:rFonts w:ascii="Century Gothic" w:eastAsia="Montserrat" w:hAnsi="Century Gothic" w:cs="Courier New"/>
          <w:sz w:val="26"/>
          <w:szCs w:val="26"/>
          <w:shd w:val="clear" w:color="auto" w:fill="FEFFFF"/>
          <w:lang w:eastAsia="es-MX"/>
        </w:rPr>
        <w:t xml:space="preserve">, en nuestro carácter de Diputadas y Diputados de la Sexagésima Séptima Legislatura e integrantes del Grupo Parlamentario del Partido MORENA, con fundamento en los artículos 68 fracción primera de la Constitución  Política del Estado de Chihuahua: 167 fracción primera, 169 y 174, todos de la Ley Orgánica del Poder Legislativo; así como los numerales 75 y 76 del Reglamento Interior y de Prácticas Parlamentarias del Poder Legislativo, acudimos ante esta Honorable Asamblea a presentar Proposición con carácter de Punto de Acuerdo, </w:t>
      </w:r>
      <w:r w:rsidR="009F06FA" w:rsidRPr="00BF4030">
        <w:rPr>
          <w:rFonts w:ascii="Century Gothic" w:eastAsia="Calibri" w:hAnsi="Century Gothic" w:cstheme="minorHAnsi"/>
          <w:sz w:val="26"/>
          <w:szCs w:val="26"/>
          <w:lang w:val="en-US" w:eastAsia="es-MX"/>
        </w:rPr>
        <w:t>l</w:t>
      </w:r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 xml:space="preserve">o anterior bajo </w:t>
      </w:r>
      <w:proofErr w:type="spellStart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>el</w:t>
      </w:r>
      <w:proofErr w:type="spellEnd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 xml:space="preserve"> </w:t>
      </w:r>
      <w:proofErr w:type="spellStart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>sustento</w:t>
      </w:r>
      <w:proofErr w:type="spellEnd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 xml:space="preserve"> </w:t>
      </w:r>
      <w:proofErr w:type="spellStart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>en</w:t>
      </w:r>
      <w:proofErr w:type="spellEnd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 xml:space="preserve"> la </w:t>
      </w:r>
      <w:proofErr w:type="spellStart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>siguiente</w:t>
      </w:r>
      <w:proofErr w:type="spellEnd"/>
      <w:r w:rsidRPr="00BF4030">
        <w:rPr>
          <w:rFonts w:ascii="Century Gothic" w:eastAsia="Century Gothic" w:hAnsi="Century Gothic" w:cs="Century Gothic"/>
          <w:sz w:val="26"/>
          <w:szCs w:val="26"/>
          <w:lang w:val="en-US" w:eastAsia="es-MX"/>
        </w:rPr>
        <w:t>:</w:t>
      </w:r>
    </w:p>
    <w:p w14:paraId="4BF84974" w14:textId="77777777" w:rsidR="00E66B05" w:rsidRPr="00BF4030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</w:p>
    <w:p w14:paraId="5B78BDDB" w14:textId="77777777" w:rsidR="00E66B05" w:rsidRPr="00BF4030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sz w:val="24"/>
          <w:szCs w:val="24"/>
        </w:rPr>
      </w:pPr>
    </w:p>
    <w:p w14:paraId="421865A2" w14:textId="77777777" w:rsidR="00E66B05" w:rsidRPr="00642257" w:rsidRDefault="00E66B05" w:rsidP="001E039E">
      <w:pPr>
        <w:spacing w:after="0" w:line="360" w:lineRule="auto"/>
        <w:jc w:val="center"/>
        <w:rPr>
          <w:rFonts w:ascii="Century Gothic" w:eastAsia="Century Gothic" w:hAnsi="Century Gothic" w:cs="Arial"/>
          <w:b/>
          <w:bCs/>
          <w:sz w:val="24"/>
          <w:szCs w:val="24"/>
        </w:rPr>
      </w:pPr>
      <w:r w:rsidRPr="00642257">
        <w:rPr>
          <w:rFonts w:ascii="Century Gothic" w:eastAsia="Century Gothic" w:hAnsi="Century Gothic" w:cs="Arial"/>
          <w:b/>
          <w:bCs/>
          <w:sz w:val="24"/>
          <w:szCs w:val="24"/>
        </w:rPr>
        <w:lastRenderedPageBreak/>
        <w:t>EXPOSICIÓN DE MOTIVOS:</w:t>
      </w:r>
    </w:p>
    <w:p w14:paraId="60307257" w14:textId="77777777" w:rsidR="00A82E21" w:rsidRDefault="00A21B29" w:rsidP="00A82E21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BF4030">
        <w:rPr>
          <w:rFonts w:ascii="Century Gothic" w:eastAsia="Century Gothic" w:hAnsi="Century Gothic" w:cs="Arial"/>
          <w:sz w:val="26"/>
          <w:szCs w:val="26"/>
        </w:rPr>
        <w:t xml:space="preserve">El día 7 de diciembre de 2023 en </w:t>
      </w:r>
      <w:r w:rsidR="00EF510A" w:rsidRPr="00BF4030">
        <w:rPr>
          <w:rFonts w:ascii="Century Gothic" w:eastAsia="Century Gothic" w:hAnsi="Century Gothic" w:cs="Arial"/>
          <w:sz w:val="26"/>
          <w:szCs w:val="26"/>
        </w:rPr>
        <w:t xml:space="preserve">sesión del </w:t>
      </w:r>
      <w:r w:rsidR="00021F76" w:rsidRPr="00BF4030">
        <w:rPr>
          <w:rFonts w:ascii="Century Gothic" w:eastAsia="Century Gothic" w:hAnsi="Century Gothic" w:cs="Arial"/>
          <w:sz w:val="26"/>
          <w:szCs w:val="26"/>
        </w:rPr>
        <w:t>Honorable</w:t>
      </w:r>
      <w:r w:rsidR="00EF510A" w:rsidRPr="00BF4030">
        <w:rPr>
          <w:rFonts w:ascii="Century Gothic" w:eastAsia="Century Gothic" w:hAnsi="Century Gothic" w:cs="Arial"/>
          <w:sz w:val="26"/>
          <w:szCs w:val="26"/>
        </w:rPr>
        <w:t xml:space="preserve"> </w:t>
      </w:r>
      <w:r w:rsidR="00021F76" w:rsidRPr="00BF4030">
        <w:rPr>
          <w:rFonts w:ascii="Century Gothic" w:eastAsia="Century Gothic" w:hAnsi="Century Gothic" w:cs="Arial"/>
          <w:sz w:val="26"/>
          <w:szCs w:val="26"/>
        </w:rPr>
        <w:t>C</w:t>
      </w:r>
      <w:r w:rsidR="00EF510A" w:rsidRPr="00BF4030">
        <w:rPr>
          <w:rFonts w:ascii="Century Gothic" w:eastAsia="Century Gothic" w:hAnsi="Century Gothic" w:cs="Arial"/>
          <w:sz w:val="26"/>
          <w:szCs w:val="26"/>
        </w:rPr>
        <w:t xml:space="preserve">ongreso del </w:t>
      </w:r>
      <w:r w:rsidR="00021F76" w:rsidRPr="00BF4030">
        <w:rPr>
          <w:rFonts w:ascii="Century Gothic" w:eastAsia="Century Gothic" w:hAnsi="Century Gothic" w:cs="Arial"/>
          <w:sz w:val="26"/>
          <w:szCs w:val="26"/>
        </w:rPr>
        <w:t>E</w:t>
      </w:r>
      <w:r w:rsidR="00EF510A" w:rsidRPr="00BF4030">
        <w:rPr>
          <w:rFonts w:ascii="Century Gothic" w:eastAsia="Century Gothic" w:hAnsi="Century Gothic" w:cs="Arial"/>
          <w:sz w:val="26"/>
          <w:szCs w:val="26"/>
        </w:rPr>
        <w:t>stado por unanimidad se acordó exhortar a la PROFEPA</w:t>
      </w:r>
      <w:r w:rsidR="00401B4E" w:rsidRPr="00BF4030">
        <w:rPr>
          <w:rFonts w:ascii="Century Gothic" w:eastAsia="Century Gothic" w:hAnsi="Century Gothic" w:cs="Arial"/>
          <w:sz w:val="26"/>
          <w:szCs w:val="26"/>
        </w:rPr>
        <w:t xml:space="preserve"> </w:t>
      </w:r>
      <w:r w:rsidR="007A495C" w:rsidRPr="00BF4030">
        <w:rPr>
          <w:rFonts w:ascii="Century Gothic" w:eastAsia="Century Gothic" w:hAnsi="Century Gothic" w:cs="Arial"/>
          <w:sz w:val="26"/>
          <w:szCs w:val="26"/>
        </w:rPr>
        <w:t>delegación</w:t>
      </w:r>
      <w:r w:rsidR="00EF510A" w:rsidRPr="00BF4030">
        <w:rPr>
          <w:rFonts w:ascii="Century Gothic" w:eastAsia="Century Gothic" w:hAnsi="Century Gothic" w:cs="Arial"/>
          <w:sz w:val="26"/>
          <w:szCs w:val="26"/>
        </w:rPr>
        <w:t xml:space="preserve"> estatal, así </w:t>
      </w:r>
    </w:p>
    <w:p w14:paraId="6C080172" w14:textId="3D9F52B1" w:rsidR="005F5370" w:rsidRPr="00BF4030" w:rsidRDefault="00EF510A" w:rsidP="00A82E21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BF4030">
        <w:rPr>
          <w:rFonts w:ascii="Century Gothic" w:eastAsia="Century Gothic" w:hAnsi="Century Gothic" w:cs="Arial"/>
          <w:sz w:val="26"/>
          <w:szCs w:val="26"/>
        </w:rPr>
        <w:t xml:space="preserve">como a la oficina federal aunado </w:t>
      </w:r>
      <w:r w:rsidR="00D70FE3" w:rsidRPr="00BF4030">
        <w:rPr>
          <w:rFonts w:ascii="Century Gothic" w:eastAsia="Century Gothic" w:hAnsi="Century Gothic" w:cs="Arial"/>
          <w:sz w:val="26"/>
          <w:szCs w:val="26"/>
        </w:rPr>
        <w:t xml:space="preserve">a la Comisión Nacional de Derechos humanos para que procedieran según sus competencias a investigar el grave problema de contaminación ambiental </w:t>
      </w:r>
      <w:r w:rsidR="00107D57" w:rsidRPr="00BF4030">
        <w:rPr>
          <w:rFonts w:ascii="Century Gothic" w:eastAsia="Century Gothic" w:hAnsi="Century Gothic" w:cs="Arial"/>
          <w:sz w:val="26"/>
          <w:szCs w:val="26"/>
        </w:rPr>
        <w:t xml:space="preserve">con </w:t>
      </w:r>
      <w:proofErr w:type="spellStart"/>
      <w:r w:rsidR="00021F76" w:rsidRPr="00BF4030">
        <w:rPr>
          <w:rFonts w:ascii="Century Gothic" w:eastAsia="Century Gothic" w:hAnsi="Century Gothic" w:cs="Arial"/>
          <w:sz w:val="26"/>
          <w:szCs w:val="26"/>
        </w:rPr>
        <w:t>clinker</w:t>
      </w:r>
      <w:proofErr w:type="spellEnd"/>
      <w:r w:rsidR="00107D57" w:rsidRPr="00BF4030">
        <w:rPr>
          <w:rFonts w:ascii="Century Gothic" w:eastAsia="Century Gothic" w:hAnsi="Century Gothic" w:cs="Arial"/>
          <w:sz w:val="26"/>
          <w:szCs w:val="26"/>
        </w:rPr>
        <w:t xml:space="preserve"> que la empresa cementos de </w:t>
      </w:r>
      <w:r w:rsidR="002435C6" w:rsidRPr="00BF4030">
        <w:rPr>
          <w:rFonts w:ascii="Century Gothic" w:eastAsia="Century Gothic" w:hAnsi="Century Gothic" w:cs="Arial"/>
          <w:sz w:val="26"/>
          <w:szCs w:val="26"/>
        </w:rPr>
        <w:t>chihuahua</w:t>
      </w:r>
      <w:r w:rsidR="00107D57" w:rsidRPr="00BF4030">
        <w:rPr>
          <w:rFonts w:ascii="Century Gothic" w:eastAsia="Century Gothic" w:hAnsi="Century Gothic" w:cs="Arial"/>
          <w:sz w:val="26"/>
          <w:szCs w:val="26"/>
        </w:rPr>
        <w:t xml:space="preserve"> desde hace mas de 3 años ha estado generando sin atender de manera seria </w:t>
      </w:r>
      <w:r w:rsidR="009A2EEE" w:rsidRPr="00BF4030">
        <w:rPr>
          <w:rFonts w:ascii="Century Gothic" w:eastAsia="Century Gothic" w:hAnsi="Century Gothic" w:cs="Arial"/>
          <w:sz w:val="26"/>
          <w:szCs w:val="26"/>
        </w:rPr>
        <w:t xml:space="preserve">el problema en detrimento de miles de chihuahuenses que alrededor de las </w:t>
      </w:r>
      <w:r w:rsidR="00021F76" w:rsidRPr="00BF4030">
        <w:rPr>
          <w:rFonts w:ascii="Century Gothic" w:eastAsia="Century Gothic" w:hAnsi="Century Gothic" w:cs="Arial"/>
          <w:sz w:val="26"/>
          <w:szCs w:val="26"/>
        </w:rPr>
        <w:t>instalaciones</w:t>
      </w:r>
      <w:r w:rsidR="009A2EEE" w:rsidRPr="00BF4030">
        <w:rPr>
          <w:rFonts w:ascii="Century Gothic" w:eastAsia="Century Gothic" w:hAnsi="Century Gothic" w:cs="Arial"/>
          <w:sz w:val="26"/>
          <w:szCs w:val="26"/>
        </w:rPr>
        <w:t xml:space="preserve"> de</w:t>
      </w:r>
      <w:r w:rsidR="00021F76" w:rsidRPr="00BF4030">
        <w:rPr>
          <w:rFonts w:ascii="Century Gothic" w:eastAsia="Century Gothic" w:hAnsi="Century Gothic" w:cs="Arial"/>
          <w:sz w:val="26"/>
          <w:szCs w:val="26"/>
        </w:rPr>
        <w:t>l</w:t>
      </w:r>
      <w:r w:rsidR="009A2EEE" w:rsidRPr="00BF4030">
        <w:rPr>
          <w:rFonts w:ascii="Century Gothic" w:eastAsia="Century Gothic" w:hAnsi="Century Gothic" w:cs="Arial"/>
          <w:sz w:val="26"/>
          <w:szCs w:val="26"/>
        </w:rPr>
        <w:t xml:space="preserve"> grupo cementos de </w:t>
      </w:r>
      <w:r w:rsidR="002B123E" w:rsidRPr="00BF4030">
        <w:rPr>
          <w:rFonts w:ascii="Century Gothic" w:eastAsia="Century Gothic" w:hAnsi="Century Gothic" w:cs="Arial"/>
          <w:sz w:val="26"/>
          <w:szCs w:val="26"/>
        </w:rPr>
        <w:t xml:space="preserve">chihuahua se </w:t>
      </w:r>
      <w:r w:rsidRPr="00BF4030">
        <w:rPr>
          <w:rFonts w:ascii="Century Gothic" w:eastAsia="Century Gothic" w:hAnsi="Century Gothic" w:cs="Arial"/>
          <w:sz w:val="26"/>
          <w:szCs w:val="26"/>
        </w:rPr>
        <w:t xml:space="preserve"> </w:t>
      </w:r>
      <w:r w:rsidR="009A2EEE" w:rsidRPr="00BF4030">
        <w:rPr>
          <w:rFonts w:ascii="Century Gothic" w:eastAsia="Century Gothic" w:hAnsi="Century Gothic" w:cs="Arial"/>
          <w:sz w:val="26"/>
          <w:szCs w:val="26"/>
        </w:rPr>
        <w:t>han visto afectad</w:t>
      </w:r>
      <w:r w:rsidR="002435C6" w:rsidRPr="00BF4030">
        <w:rPr>
          <w:rFonts w:ascii="Century Gothic" w:eastAsia="Century Gothic" w:hAnsi="Century Gothic" w:cs="Arial"/>
          <w:sz w:val="26"/>
          <w:szCs w:val="26"/>
        </w:rPr>
        <w:t>a</w:t>
      </w:r>
      <w:r w:rsidR="004F04E6" w:rsidRPr="00BF4030">
        <w:rPr>
          <w:rFonts w:ascii="Century Gothic" w:eastAsia="Century Gothic" w:hAnsi="Century Gothic" w:cs="Arial"/>
          <w:sz w:val="26"/>
          <w:szCs w:val="26"/>
        </w:rPr>
        <w:t>s</w:t>
      </w:r>
      <w:r w:rsidR="002435C6" w:rsidRPr="00BF4030">
        <w:rPr>
          <w:rFonts w:ascii="Century Gothic" w:eastAsia="Century Gothic" w:hAnsi="Century Gothic" w:cs="Arial"/>
          <w:sz w:val="26"/>
          <w:szCs w:val="26"/>
        </w:rPr>
        <w:t xml:space="preserve"> gravemente</w:t>
      </w:r>
      <w:r w:rsidR="004F04E6" w:rsidRPr="00BF4030">
        <w:rPr>
          <w:rFonts w:ascii="Century Gothic" w:eastAsia="Century Gothic" w:hAnsi="Century Gothic" w:cs="Arial"/>
          <w:sz w:val="26"/>
          <w:szCs w:val="26"/>
        </w:rPr>
        <w:t xml:space="preserve"> en</w:t>
      </w:r>
      <w:r w:rsidR="002435C6" w:rsidRPr="00BF4030">
        <w:rPr>
          <w:rFonts w:ascii="Century Gothic" w:eastAsia="Century Gothic" w:hAnsi="Century Gothic" w:cs="Arial"/>
          <w:sz w:val="26"/>
          <w:szCs w:val="26"/>
        </w:rPr>
        <w:t xml:space="preserve"> su salud, su nivel de vida así como su patrimonio, como vehículos y otros bienes</w:t>
      </w:r>
      <w:r w:rsidR="005E3798" w:rsidRPr="00BF4030">
        <w:rPr>
          <w:rFonts w:ascii="Century Gothic" w:eastAsia="Century Gothic" w:hAnsi="Century Gothic" w:cs="Arial"/>
          <w:sz w:val="26"/>
          <w:szCs w:val="26"/>
        </w:rPr>
        <w:t xml:space="preserve">. PROFEPA federal afortunadamente respondió de acuerdo a la gravedad del problema expuesto, y del 4 al 8 marzo envío un equipo de </w:t>
      </w:r>
      <w:r w:rsidR="00374B35" w:rsidRPr="00BF4030">
        <w:rPr>
          <w:rFonts w:ascii="Century Gothic" w:eastAsia="Century Gothic" w:hAnsi="Century Gothic" w:cs="Arial"/>
          <w:sz w:val="26"/>
          <w:szCs w:val="26"/>
        </w:rPr>
        <w:t>auditores que estuvieron inspeccionando la planta del grupo cementos de chihuahua con la intención de verificar el cumplimiento de todos y cada una de las responsabilidades qu</w:t>
      </w:r>
      <w:r w:rsidR="00A606C6" w:rsidRPr="00BF4030">
        <w:rPr>
          <w:rFonts w:ascii="Century Gothic" w:eastAsia="Century Gothic" w:hAnsi="Century Gothic" w:cs="Arial"/>
          <w:sz w:val="26"/>
          <w:szCs w:val="26"/>
        </w:rPr>
        <w:t xml:space="preserve">e a su giro comercial la ley les ordena, terminada la auditoría de manera económica fui informada por </w:t>
      </w:r>
      <w:r w:rsidR="005F5370" w:rsidRPr="00BF4030">
        <w:rPr>
          <w:rFonts w:ascii="Century Gothic" w:eastAsia="Century Gothic" w:hAnsi="Century Gothic" w:cs="Arial"/>
          <w:sz w:val="26"/>
          <w:szCs w:val="26"/>
        </w:rPr>
        <w:t>personal de la oficina de PROFEPA federal los resultados de esa auditoria:</w:t>
      </w:r>
    </w:p>
    <w:p w14:paraId="28516016" w14:textId="77777777" w:rsidR="005F5370" w:rsidRPr="00BF4030" w:rsidRDefault="005F5370" w:rsidP="00A82E21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</w:p>
    <w:p w14:paraId="3E4AFDA6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1.- GCC ESTA MIDIENDO SUS EMISIONES CON UN METODO EPA05 NO</w:t>
      </w:r>
    </w:p>
    <w:p w14:paraId="5DF19B93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AUTORIZADO EN MEXICO</w:t>
      </w:r>
    </w:p>
    <w:p w14:paraId="59BDAED8" w14:textId="2736F871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lastRenderedPageBreak/>
        <w:t>GCC está midiendo sus emisiones a la at</w:t>
      </w:r>
      <w:r w:rsidR="00A82E21">
        <w:rPr>
          <w:rStyle w:val="s1"/>
          <w:rFonts w:ascii="Century Gothic" w:hAnsi="Century Gothic"/>
          <w:b/>
          <w:bCs/>
          <w:sz w:val="26"/>
          <w:szCs w:val="26"/>
        </w:rPr>
        <w:t xml:space="preserve">mósfera con el método EPA05 que </w:t>
      </w: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no</w:t>
      </w:r>
      <w:r w:rsidR="00A82E21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está aprobado por la PROFEPA en México ni aplica para medir emisiones de</w:t>
      </w:r>
      <w:r w:rsidR="00A82E21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empresas como GCC.</w:t>
      </w:r>
    </w:p>
    <w:p w14:paraId="01AFA495" w14:textId="77E3134F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Se usa a nivel internacional, pero no en México para la Norma 85 que es la</w:t>
      </w:r>
      <w:r w:rsidR="00A82E21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que deben cumplir GCC</w:t>
      </w:r>
      <w:r w:rsidR="00A82E21">
        <w:rPr>
          <w:rStyle w:val="s1"/>
          <w:rFonts w:ascii="Century Gothic" w:hAnsi="Century Gothic"/>
          <w:b/>
          <w:bCs/>
          <w:sz w:val="26"/>
          <w:szCs w:val="26"/>
        </w:rPr>
        <w:t>.</w:t>
      </w:r>
    </w:p>
    <w:p w14:paraId="4A49A126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Sin embargo, por lagunas en la Ley Federal, la PROFEPA no pueden prohibir</w:t>
      </w:r>
    </w:p>
    <w:p w14:paraId="129EBD06" w14:textId="77777777" w:rsidR="00A82E21" w:rsidRDefault="00A82E21" w:rsidP="00A82E21">
      <w:pPr>
        <w:pStyle w:val="p1"/>
        <w:spacing w:line="360" w:lineRule="auto"/>
        <w:jc w:val="both"/>
        <w:divId w:val="32275198"/>
        <w:rPr>
          <w:rStyle w:val="s1"/>
          <w:rFonts w:ascii="Century Gothic" w:hAnsi="Century Gothic"/>
          <w:b/>
          <w:bCs/>
          <w:sz w:val="26"/>
          <w:szCs w:val="26"/>
        </w:rPr>
      </w:pPr>
    </w:p>
    <w:p w14:paraId="0180DB7D" w14:textId="17442D7E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ese método a pesar de que no está dentro de los parámetros que establecen</w:t>
      </w:r>
      <w:r w:rsidR="00A82E21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sus normas.</w:t>
      </w:r>
    </w:p>
    <w:p w14:paraId="477104EE" w14:textId="77777777" w:rsidR="00BE4E27" w:rsidRPr="007A495C" w:rsidRDefault="00BE4E27" w:rsidP="00A82E21">
      <w:pPr>
        <w:pStyle w:val="p2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</w:p>
    <w:p w14:paraId="55D6F2FB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2.- CLAUSURA DE HORNOS</w:t>
      </w:r>
    </w:p>
    <w:p w14:paraId="1F91C84F" w14:textId="52767E88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De 3 hornos se les clausuraron 2 hornos completos y el horno más grande se</w:t>
      </w:r>
      <w:r w:rsidR="00A82E21"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les redujo su capacidad de producción.</w:t>
      </w:r>
    </w:p>
    <w:p w14:paraId="36BE47FB" w14:textId="77777777" w:rsidR="00BE4E27" w:rsidRPr="007A495C" w:rsidRDefault="00BE4E27" w:rsidP="00A82E21">
      <w:pPr>
        <w:pStyle w:val="p2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</w:p>
    <w:p w14:paraId="3CDC3463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3.- PATIOS CLAUSURADOS AL 50%</w:t>
      </w:r>
    </w:p>
    <w:p w14:paraId="66D28963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GCC presento EMISIONES FUGITIVAS en los patios de triturado y molido y</w:t>
      </w:r>
    </w:p>
    <w:p w14:paraId="35ED897C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bandas transportadoras.</w:t>
      </w:r>
    </w:p>
    <w:p w14:paraId="74C030D0" w14:textId="77777777" w:rsidR="00BE4E27" w:rsidRPr="007A495C" w:rsidRDefault="00BE4E27" w:rsidP="00A82E21">
      <w:pPr>
        <w:pStyle w:val="p2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</w:p>
    <w:p w14:paraId="0C1D8271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4.- CLAUSURARON 8 EQUIPOS DE PRODUCCION</w:t>
      </w:r>
    </w:p>
    <w:p w14:paraId="6321EBA9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QUE NO CONTABAN CON LICENCIA DE SEMARNAT</w:t>
      </w:r>
    </w:p>
    <w:p w14:paraId="275A9E98" w14:textId="77777777" w:rsidR="00BE4E27" w:rsidRPr="007A495C" w:rsidRDefault="00BE4E27" w:rsidP="00A82E21">
      <w:pPr>
        <w:pStyle w:val="p2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</w:p>
    <w:p w14:paraId="5A82EBC8" w14:textId="5A185F06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 xml:space="preserve">5.- SE </w:t>
      </w:r>
      <w:r w:rsidR="008554BF" w:rsidRPr="007A495C">
        <w:rPr>
          <w:rStyle w:val="s1"/>
          <w:rFonts w:ascii="Century Gothic" w:hAnsi="Century Gothic"/>
          <w:b/>
          <w:bCs/>
          <w:sz w:val="26"/>
          <w:szCs w:val="26"/>
        </w:rPr>
        <w:t>APLICARÁ</w:t>
      </w: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 xml:space="preserve"> UNA SANCION POR NO OBSERVAR LOS REQUERIMIENTOS</w:t>
      </w:r>
    </w:p>
    <w:p w14:paraId="6B9C4B31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QUE DIERON PIE A LAS CLAUSURAS EJECUTADAS.</w:t>
      </w:r>
    </w:p>
    <w:p w14:paraId="65FD9A73" w14:textId="77777777" w:rsidR="00BE4E27" w:rsidRPr="007A495C" w:rsidRDefault="00BE4E27" w:rsidP="00A82E21">
      <w:pPr>
        <w:pStyle w:val="p2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</w:p>
    <w:p w14:paraId="4D1B0D29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TODOS ESTOS PROCEDIMIENTOS SE ESTAN LLEVANDO DESDE LAS OFICINAS</w:t>
      </w:r>
    </w:p>
    <w:p w14:paraId="21D4C081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CENTRALES DE PROFEPA EN LA CD DE MEXICO, DADA LA GRAVEDAD DEL</w:t>
      </w:r>
    </w:p>
    <w:p w14:paraId="79E9C9D6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PROBLEMA GENERADO POR GCC.</w:t>
      </w:r>
    </w:p>
    <w:p w14:paraId="18F100B2" w14:textId="77777777" w:rsidR="00BE4E27" w:rsidRPr="007A495C" w:rsidRDefault="00BE4E27" w:rsidP="00A82E21">
      <w:pPr>
        <w:pStyle w:val="p2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</w:p>
    <w:p w14:paraId="70B459FE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REQUERIMIENTOS DE PROFEPA A GCC:</w:t>
      </w:r>
    </w:p>
    <w:p w14:paraId="51ED615B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DEBEN PRESENTAR EVALUACIONES DE EMISION A LA ATMOSFERA SEGÚN</w:t>
      </w:r>
    </w:p>
    <w:p w14:paraId="1ABCB21C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REQUERIMIENTOS DE PROFEPA Y APROBADOS EN MEXICO.</w:t>
      </w:r>
    </w:p>
    <w:p w14:paraId="54098BAD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HACER MODIFICACIONES A SUS EQUIPOS DE CONTROL PARA LOS 3 HORNOS</w:t>
      </w:r>
    </w:p>
    <w:p w14:paraId="37C1971F" w14:textId="77777777" w:rsidR="00A82E21" w:rsidRDefault="00A82E21" w:rsidP="00A82E21">
      <w:pPr>
        <w:pStyle w:val="p1"/>
        <w:spacing w:line="360" w:lineRule="auto"/>
        <w:jc w:val="both"/>
        <w:divId w:val="32275198"/>
        <w:rPr>
          <w:rStyle w:val="s1"/>
          <w:rFonts w:ascii="Century Gothic" w:hAnsi="Century Gothic"/>
          <w:b/>
          <w:bCs/>
          <w:sz w:val="26"/>
          <w:szCs w:val="26"/>
        </w:rPr>
      </w:pPr>
    </w:p>
    <w:p w14:paraId="18CF5E86" w14:textId="77777777" w:rsidR="00A82E21" w:rsidRDefault="00A82E21" w:rsidP="00A82E21">
      <w:pPr>
        <w:pStyle w:val="p1"/>
        <w:spacing w:line="360" w:lineRule="auto"/>
        <w:jc w:val="both"/>
        <w:divId w:val="32275198"/>
        <w:rPr>
          <w:rStyle w:val="s1"/>
          <w:rFonts w:ascii="Century Gothic" w:hAnsi="Century Gothic"/>
          <w:b/>
          <w:bCs/>
          <w:sz w:val="26"/>
          <w:szCs w:val="26"/>
        </w:rPr>
      </w:pPr>
    </w:p>
    <w:p w14:paraId="0D404BD6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Y SE EVALUEN DE NUEVO POR PROFEPA DE MANERA PRESENCIAL.</w:t>
      </w:r>
    </w:p>
    <w:p w14:paraId="76A9F800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IMPLEMENTEN MEDIDAS PARA SOLUCIONAR LA EMISION DE NUBES DE</w:t>
      </w:r>
    </w:p>
    <w:p w14:paraId="719C1F18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POLVO Y PARTICULAS (SISTEMAS PROBADOS Y USADOS EN OTRAS EMPRESAS</w:t>
      </w:r>
    </w:p>
    <w:p w14:paraId="0D61C8BE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DE ESTE TIPO COMO CAÑONES DE NIEBLA O HUMEDAD QUE EVITA SE</w:t>
      </w:r>
    </w:p>
    <w:p w14:paraId="7B5EDF96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DISPERSEN LAS PARTICULAS AL MEDIO AMBIENTE)</w:t>
      </w:r>
    </w:p>
    <w:p w14:paraId="01B47109" w14:textId="77777777" w:rsidR="00BE4E27" w:rsidRPr="007A495C" w:rsidRDefault="00BE4E27" w:rsidP="00A82E21">
      <w:pPr>
        <w:pStyle w:val="p2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</w:p>
    <w:p w14:paraId="02611D32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¿QUE SIGUE?</w:t>
      </w:r>
    </w:p>
    <w:p w14:paraId="62A9C01C" w14:textId="77777777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1.- DE LA MANO DE LA PROFEPA ESTAR AL PENDIENTE DEL CUMPLIMIENTO</w:t>
      </w:r>
    </w:p>
    <w:p w14:paraId="253BE4CF" w14:textId="1EFB4555" w:rsidR="00BE4E27" w:rsidRPr="007A495C" w:rsidRDefault="00BE4E27" w:rsidP="00A82E21">
      <w:pPr>
        <w:pStyle w:val="p1"/>
        <w:spacing w:line="360" w:lineRule="auto"/>
        <w:jc w:val="both"/>
        <w:divId w:val="32275198"/>
        <w:rPr>
          <w:rStyle w:val="s1"/>
          <w:rFonts w:ascii="Century Gothic" w:hAnsi="Century Gothic"/>
          <w:b/>
          <w:bCs/>
          <w:sz w:val="26"/>
          <w:szCs w:val="26"/>
        </w:rPr>
      </w:pPr>
      <w:r w:rsidRPr="007A495C">
        <w:rPr>
          <w:rStyle w:val="s1"/>
          <w:rFonts w:ascii="Century Gothic" w:hAnsi="Century Gothic"/>
          <w:b/>
          <w:bCs/>
          <w:sz w:val="26"/>
          <w:szCs w:val="26"/>
        </w:rPr>
        <w:t>DE TODAS LAS FALLAS Y VIOLACIONES QUE SE ENCONTRARON EN GCC</w:t>
      </w:r>
      <w:r w:rsidR="00867B27" w:rsidRPr="007A495C">
        <w:rPr>
          <w:rStyle w:val="s1"/>
          <w:rFonts w:ascii="Century Gothic" w:hAnsi="Century Gothic"/>
          <w:b/>
          <w:bCs/>
          <w:sz w:val="26"/>
          <w:szCs w:val="26"/>
        </w:rPr>
        <w:t>.</w:t>
      </w:r>
    </w:p>
    <w:p w14:paraId="0EC15D3A" w14:textId="77777777" w:rsidR="00867B27" w:rsidRPr="00BF4030" w:rsidRDefault="00867B27" w:rsidP="00A82E21">
      <w:pPr>
        <w:pStyle w:val="p1"/>
        <w:spacing w:line="360" w:lineRule="auto"/>
        <w:jc w:val="both"/>
        <w:divId w:val="32275198"/>
        <w:rPr>
          <w:rStyle w:val="s1"/>
          <w:rFonts w:ascii="Century Gothic" w:hAnsi="Century Gothic"/>
          <w:sz w:val="26"/>
          <w:szCs w:val="26"/>
        </w:rPr>
      </w:pPr>
    </w:p>
    <w:p w14:paraId="5B8E16CD" w14:textId="77777777" w:rsidR="00867B27" w:rsidRPr="00BF4030" w:rsidRDefault="00867B27" w:rsidP="00A82E21">
      <w:pPr>
        <w:pStyle w:val="Cuerpo"/>
        <w:spacing w:after="0" w:line="360" w:lineRule="auto"/>
        <w:jc w:val="both"/>
        <w:rPr>
          <w:rStyle w:val="Ninguno"/>
          <w:rFonts w:ascii="Century Gothic" w:eastAsia="Century Gothic" w:hAnsi="Century Gothic" w:cs="Century Gothic"/>
          <w:sz w:val="26"/>
          <w:szCs w:val="26"/>
          <w:shd w:val="clear" w:color="auto" w:fill="FFFFFF"/>
        </w:rPr>
      </w:pPr>
      <w:r w:rsidRPr="00BF4030"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Por lo anteriormente expuesto, con fundamento en lo dispuesto por los artículos 68 fracción I, de la </w:t>
      </w:r>
      <w:proofErr w:type="spellStart"/>
      <w:r w:rsidRPr="00BF4030"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Constitució</w:t>
      </w:r>
      <w:proofErr w:type="spellEnd"/>
      <w:r w:rsidRPr="00BF4030">
        <w:rPr>
          <w:rStyle w:val="Ninguno"/>
          <w:rFonts w:ascii="Century Gothic" w:hAnsi="Century Gothic"/>
          <w:sz w:val="26"/>
          <w:szCs w:val="26"/>
          <w:shd w:val="clear" w:color="auto" w:fill="FFFFFF"/>
          <w:lang w:val="de-DE"/>
        </w:rPr>
        <w:t>n Pol</w:t>
      </w:r>
      <w:proofErr w:type="spellStart"/>
      <w:r w:rsidRPr="00BF4030"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>ítica</w:t>
      </w:r>
      <w:proofErr w:type="spellEnd"/>
      <w:r w:rsidRPr="00BF4030"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t xml:space="preserve"> del Estado de Chihuahua, </w:t>
      </w:r>
      <w:r w:rsidRPr="00BF4030">
        <w:rPr>
          <w:rStyle w:val="Ninguno"/>
          <w:rFonts w:ascii="Century Gothic" w:hAnsi="Century Gothic"/>
          <w:sz w:val="26"/>
          <w:szCs w:val="26"/>
          <w:shd w:val="clear" w:color="auto" w:fill="FFFFFF"/>
        </w:rPr>
        <w:lastRenderedPageBreak/>
        <w:t>167 fracción I, de la Ley Orgánica del Poder Legislativo; así como los numerales 75 y 76 del Reglamento Interior y de Prácticas Parlamentarias del Poder Legislativo, someto a consideración de esta Honorable Asamblea el siguiente proyecto de:</w:t>
      </w:r>
    </w:p>
    <w:p w14:paraId="7DC5AFFC" w14:textId="3E33F711" w:rsidR="009B2DDF" w:rsidRPr="00BF4030" w:rsidRDefault="009B2DDF" w:rsidP="00A82E21">
      <w:pPr>
        <w:spacing w:before="240" w:after="240" w:line="360" w:lineRule="auto"/>
        <w:jc w:val="center"/>
        <w:rPr>
          <w:rFonts w:ascii="Century Gothic" w:eastAsia="Montserrat" w:hAnsi="Century Gothic" w:cs="Montserrat"/>
          <w:sz w:val="24"/>
          <w:szCs w:val="24"/>
          <w:highlight w:val="white"/>
          <w:lang w:eastAsia="es-MX"/>
        </w:rPr>
      </w:pPr>
      <w:r w:rsidRPr="00BF4030">
        <w:rPr>
          <w:rFonts w:ascii="Century Gothic" w:eastAsia="Montserrat" w:hAnsi="Century Gothic" w:cs="Montserrat"/>
          <w:sz w:val="24"/>
          <w:szCs w:val="24"/>
          <w:highlight w:val="white"/>
          <w:lang w:eastAsia="es-MX"/>
        </w:rPr>
        <w:t>ACUERDO</w:t>
      </w:r>
    </w:p>
    <w:p w14:paraId="76D55EE8" w14:textId="2683ED07" w:rsidR="00A368C8" w:rsidRPr="00A368C8" w:rsidRDefault="00B35671" w:rsidP="00A82E2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eastAsia="Calibri" w:hAnsi="Century Gothic" w:cs="Calibri"/>
          <w:b/>
          <w:bCs/>
          <w:sz w:val="26"/>
          <w:szCs w:val="26"/>
          <w:lang w:val="en-US" w:eastAsia="es-MX"/>
        </w:rPr>
        <w:t>U</w:t>
      </w:r>
      <w:r w:rsidR="00A368C8">
        <w:rPr>
          <w:rFonts w:ascii="Century Gothic" w:eastAsia="Calibri" w:hAnsi="Century Gothic" w:cs="Calibri"/>
          <w:b/>
          <w:bCs/>
          <w:sz w:val="26"/>
          <w:szCs w:val="26"/>
          <w:lang w:val="en-US" w:eastAsia="es-MX"/>
        </w:rPr>
        <w:t>NICO</w:t>
      </w:r>
      <w:r w:rsidR="00F73AFC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>.</w:t>
      </w:r>
      <w:r w:rsidR="00A82E21">
        <w:rPr>
          <w:rFonts w:ascii="Century Gothic" w:eastAsia="Calibri" w:hAnsi="Century Gothic" w:cs="Calibri"/>
          <w:sz w:val="26"/>
          <w:szCs w:val="26"/>
          <w:lang w:val="en-US" w:eastAsia="es-MX"/>
        </w:rPr>
        <w:t>-</w:t>
      </w:r>
      <w:r w:rsidR="009B2DDF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 xml:space="preserve"> La </w:t>
      </w:r>
      <w:proofErr w:type="spellStart"/>
      <w:r w:rsidR="009B2DDF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>Sexagésima</w:t>
      </w:r>
      <w:proofErr w:type="spellEnd"/>
      <w:r w:rsidR="009B2DDF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 xml:space="preserve"> </w:t>
      </w:r>
      <w:proofErr w:type="spellStart"/>
      <w:r w:rsidR="009B2DDF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>Séptima</w:t>
      </w:r>
      <w:proofErr w:type="spellEnd"/>
      <w:r w:rsidR="009B2DDF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 xml:space="preserve"> </w:t>
      </w:r>
      <w:proofErr w:type="spellStart"/>
      <w:r w:rsidR="009B2DDF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>Legislatura</w:t>
      </w:r>
      <w:proofErr w:type="spellEnd"/>
      <w:r w:rsidR="009B2DDF" w:rsidRPr="00BF4030">
        <w:rPr>
          <w:rFonts w:ascii="Century Gothic" w:eastAsia="Calibri" w:hAnsi="Century Gothic" w:cs="Calibri"/>
          <w:sz w:val="26"/>
          <w:szCs w:val="26"/>
          <w:lang w:val="en-US" w:eastAsia="es-MX"/>
        </w:rPr>
        <w:t xml:space="preserve"> </w:t>
      </w:r>
      <w:proofErr w:type="spellStart"/>
      <w:r w:rsidR="009B2DDF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exhorta</w:t>
      </w:r>
      <w:proofErr w:type="spellEnd"/>
      <w:r w:rsidR="009B2DDF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respetuosamente </w:t>
      </w:r>
      <w:r w:rsidR="00CF24BC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a </w:t>
      </w:r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la </w:t>
      </w:r>
      <w:proofErr w:type="spellStart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Procuraduría</w:t>
      </w:r>
      <w:proofErr w:type="spellEnd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Federal de </w:t>
      </w:r>
      <w:proofErr w:type="spellStart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Protección</w:t>
      </w:r>
      <w:proofErr w:type="spellEnd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al </w:t>
      </w:r>
      <w:proofErr w:type="spellStart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Ambiente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en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su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oficina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de </w:t>
      </w:r>
      <w:proofErr w:type="spellStart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representación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en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el</w:t>
      </w:r>
      <w:proofErr w:type="spellEnd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estado</w:t>
      </w:r>
      <w:proofErr w:type="spellEnd"/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de</w:t>
      </w:r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chihuahua y/o </w:t>
      </w:r>
      <w:proofErr w:type="spellStart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en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su</w:t>
      </w:r>
      <w:proofErr w:type="spellEnd"/>
      <w:r w:rsidR="00523ABD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23666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oficina</w:t>
      </w:r>
      <w:proofErr w:type="spellEnd"/>
      <w:r w:rsidR="0023666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a </w:t>
      </w:r>
      <w:proofErr w:type="spellStart"/>
      <w:r w:rsidR="0023666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>nivel</w:t>
      </w:r>
      <w:proofErr w:type="spellEnd"/>
      <w:r w:rsidR="0023666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federal</w:t>
      </w:r>
      <w:r w:rsidR="00216603" w:rsidRPr="00BF403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notifique</w:t>
      </w:r>
      <w:proofErr w:type="spellEnd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a </w:t>
      </w:r>
      <w:proofErr w:type="spellStart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este</w:t>
      </w:r>
      <w:proofErr w:type="spellEnd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H. </w:t>
      </w:r>
      <w:proofErr w:type="spellStart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Congreso</w:t>
      </w:r>
      <w:proofErr w:type="spellEnd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del Estado de </w:t>
      </w:r>
      <w:proofErr w:type="spellStart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manera</w:t>
      </w:r>
      <w:proofErr w:type="spellEnd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formal </w:t>
      </w:r>
      <w:proofErr w:type="spellStart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mediante</w:t>
      </w:r>
      <w:proofErr w:type="spellEnd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</w:t>
      </w:r>
      <w:proofErr w:type="spellStart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oficio</w:t>
      </w:r>
      <w:proofErr w:type="spellEnd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 xml:space="preserve"> lo </w:t>
      </w:r>
      <w:proofErr w:type="spellStart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siguiente</w:t>
      </w:r>
      <w:proofErr w:type="spellEnd"/>
      <w:r w:rsidR="000D0860">
        <w:rPr>
          <w:rFonts w:ascii="Century Gothic" w:eastAsia="Calibri" w:hAnsi="Century Gothic" w:cs="Times New Roman"/>
          <w:sz w:val="26"/>
          <w:szCs w:val="26"/>
          <w:lang w:val="en-US" w:eastAsia="es-MX"/>
        </w:rPr>
        <w:t>:</w:t>
      </w:r>
    </w:p>
    <w:p w14:paraId="0028CDC8" w14:textId="42C3A3A4" w:rsidR="00F73AFC" w:rsidRDefault="000D0860" w:rsidP="00A82E2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</w:t>
      </w:r>
      <w:r w:rsidRPr="00BF4030">
        <w:rPr>
          <w:rFonts w:ascii="Century Gothic" w:hAnsi="Century Gothic"/>
          <w:sz w:val="26"/>
          <w:szCs w:val="26"/>
        </w:rPr>
        <w:t>uáles</w:t>
      </w:r>
      <w:r w:rsidR="009446A8" w:rsidRPr="00BF4030">
        <w:rPr>
          <w:rFonts w:ascii="Century Gothic" w:hAnsi="Century Gothic"/>
          <w:sz w:val="26"/>
          <w:szCs w:val="26"/>
        </w:rPr>
        <w:t xml:space="preserve"> fueron los resultados de</w:t>
      </w:r>
      <w:r w:rsidR="007851B3">
        <w:rPr>
          <w:rFonts w:ascii="Century Gothic" w:hAnsi="Century Gothic"/>
          <w:sz w:val="26"/>
          <w:szCs w:val="26"/>
        </w:rPr>
        <w:t xml:space="preserve"> las</w:t>
      </w:r>
      <w:r w:rsidR="009446A8" w:rsidRPr="00BF4030">
        <w:rPr>
          <w:rFonts w:ascii="Century Gothic" w:hAnsi="Century Gothic"/>
          <w:sz w:val="26"/>
          <w:szCs w:val="26"/>
        </w:rPr>
        <w:t xml:space="preserve"> irregularidades encontradas durante la inspección efectuada en las instalaciones de Grupo cementos de Chihuahua del 4 al 8 de marzo</w:t>
      </w:r>
      <w:r w:rsidR="00F73AFC">
        <w:rPr>
          <w:rFonts w:ascii="Century Gothic" w:hAnsi="Century Gothic"/>
          <w:sz w:val="26"/>
          <w:szCs w:val="26"/>
        </w:rPr>
        <w:t>.</w:t>
      </w:r>
      <w:r w:rsidR="009446A8" w:rsidRPr="00BF4030">
        <w:rPr>
          <w:rFonts w:ascii="Century Gothic" w:hAnsi="Century Gothic"/>
          <w:sz w:val="26"/>
          <w:szCs w:val="26"/>
        </w:rPr>
        <w:t xml:space="preserve"> </w:t>
      </w:r>
    </w:p>
    <w:p w14:paraId="46B65AAA" w14:textId="5203D438" w:rsidR="00A368C8" w:rsidRPr="007C26BA" w:rsidRDefault="0073088B" w:rsidP="00A82E2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>C</w:t>
      </w:r>
      <w:r w:rsidR="00A368C8" w:rsidRPr="00BF4030">
        <w:rPr>
          <w:rFonts w:ascii="Century Gothic" w:hAnsi="Century Gothic"/>
          <w:sz w:val="26"/>
          <w:szCs w:val="26"/>
        </w:rPr>
        <w:t>uáles fueron las clausuras que se llevaron a cabo derivadas de las irregularidades encontradas</w:t>
      </w:r>
      <w:r w:rsidR="00A368C8">
        <w:rPr>
          <w:rFonts w:ascii="Century Gothic" w:hAnsi="Century Gothic"/>
          <w:sz w:val="26"/>
          <w:szCs w:val="26"/>
        </w:rPr>
        <w:t xml:space="preserve">. </w:t>
      </w:r>
    </w:p>
    <w:p w14:paraId="5CC1127C" w14:textId="77777777" w:rsidR="00A368C8" w:rsidRPr="00926303" w:rsidRDefault="00A368C8" w:rsidP="00A82E21">
      <w:pPr>
        <w:pStyle w:val="Prrafodelista"/>
        <w:spacing w:line="360" w:lineRule="auto"/>
        <w:jc w:val="both"/>
        <w:rPr>
          <w:rFonts w:ascii="Century Gothic" w:hAnsi="Century Gothic"/>
          <w:b/>
          <w:bCs/>
        </w:rPr>
      </w:pPr>
    </w:p>
    <w:p w14:paraId="0F61DA07" w14:textId="6B4EA318" w:rsidR="00A368C8" w:rsidRPr="00926303" w:rsidRDefault="0073088B" w:rsidP="00A82E2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6"/>
          <w:szCs w:val="26"/>
        </w:rPr>
        <w:t>C</w:t>
      </w:r>
      <w:r w:rsidR="00A368C8" w:rsidRPr="00926303">
        <w:rPr>
          <w:rFonts w:ascii="Century Gothic" w:hAnsi="Century Gothic"/>
          <w:sz w:val="26"/>
          <w:szCs w:val="26"/>
        </w:rPr>
        <w:t>uáles son los plazos que se le dieron a la empresa para que cumpla con cada una de las omisiones y/o violaciones a la auditoria antes mencionada</w:t>
      </w:r>
      <w:r w:rsidR="00A368C8">
        <w:rPr>
          <w:rFonts w:ascii="Century Gothic" w:hAnsi="Century Gothic"/>
          <w:sz w:val="26"/>
          <w:szCs w:val="26"/>
        </w:rPr>
        <w:t>.</w:t>
      </w:r>
    </w:p>
    <w:p w14:paraId="27B03791" w14:textId="0DD02020" w:rsidR="00A368C8" w:rsidRPr="00C91F6B" w:rsidRDefault="0073088B" w:rsidP="00A82E2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6"/>
          <w:szCs w:val="26"/>
        </w:rPr>
        <w:t>I</w:t>
      </w:r>
      <w:r w:rsidR="00A368C8" w:rsidRPr="00C91F6B">
        <w:rPr>
          <w:rFonts w:ascii="Century Gothic" w:hAnsi="Century Gothic"/>
          <w:sz w:val="26"/>
          <w:szCs w:val="26"/>
        </w:rPr>
        <w:t xml:space="preserve">nforme respetuosamente las acciones que implemente el grupo de cementos de chihuahua a cada una de las irregularidades </w:t>
      </w:r>
      <w:r w:rsidR="00A368C8" w:rsidRPr="00C91F6B">
        <w:rPr>
          <w:rFonts w:ascii="Century Gothic" w:hAnsi="Century Gothic"/>
          <w:sz w:val="26"/>
          <w:szCs w:val="26"/>
        </w:rPr>
        <w:lastRenderedPageBreak/>
        <w:t xml:space="preserve">encontradas hasta agotar el plazo concedido de todas las observaciones. </w:t>
      </w:r>
    </w:p>
    <w:p w14:paraId="09503F48" w14:textId="77777777" w:rsidR="00A368C8" w:rsidRPr="00F73AFC" w:rsidRDefault="00A368C8" w:rsidP="00A368C8">
      <w:pPr>
        <w:pStyle w:val="Prrafodelista"/>
        <w:spacing w:line="360" w:lineRule="auto"/>
        <w:ind w:left="1080"/>
        <w:jc w:val="both"/>
        <w:rPr>
          <w:rFonts w:ascii="Century Gothic" w:hAnsi="Century Gothic"/>
        </w:rPr>
      </w:pPr>
    </w:p>
    <w:p w14:paraId="2E27D0E8" w14:textId="243A44AE" w:rsidR="007C26BA" w:rsidRPr="00926303" w:rsidRDefault="007C26BA" w:rsidP="00B35671">
      <w:pPr>
        <w:pStyle w:val="Prrafodelista"/>
        <w:spacing w:line="360" w:lineRule="auto"/>
        <w:jc w:val="both"/>
        <w:rPr>
          <w:rFonts w:ascii="Century Gothic" w:hAnsi="Century Gothic"/>
          <w:b/>
          <w:bCs/>
        </w:rPr>
      </w:pPr>
    </w:p>
    <w:p w14:paraId="1A9BC30A" w14:textId="77777777" w:rsidR="009446A8" w:rsidRPr="00BF4030" w:rsidRDefault="009446A8" w:rsidP="00A424F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4A4AE75F" w14:textId="77777777" w:rsidR="009B2DDF" w:rsidRPr="00BF4030" w:rsidRDefault="009B2DDF" w:rsidP="00C91F6B">
      <w:pPr>
        <w:spacing w:line="480" w:lineRule="auto"/>
        <w:jc w:val="both"/>
        <w:rPr>
          <w:rFonts w:ascii="Century Gothic" w:eastAsia="Calibri" w:hAnsi="Century Gothic" w:cs="Calibri"/>
          <w:sz w:val="24"/>
          <w:szCs w:val="24"/>
          <w:lang w:val="en-US" w:eastAsia="es-MX"/>
        </w:rPr>
      </w:pPr>
      <w:r w:rsidRPr="009C4FD9">
        <w:rPr>
          <w:rFonts w:ascii="Century Gothic" w:eastAsia="Calibri" w:hAnsi="Century Gothic" w:cs="Calibri"/>
          <w:b/>
          <w:bCs/>
          <w:sz w:val="24"/>
          <w:szCs w:val="24"/>
          <w:lang w:val="en-US" w:eastAsia="es-MX"/>
        </w:rPr>
        <w:t>ECONÓMICO</w:t>
      </w:r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. 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Aprobado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que sea,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túrnese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a la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Secretaría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para que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elabore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la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Minuta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de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Acuerdo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correspondiente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.</w:t>
      </w:r>
    </w:p>
    <w:p w14:paraId="369B0087" w14:textId="536F3B15" w:rsidR="009B2DDF" w:rsidRPr="00BF4030" w:rsidRDefault="009B2DDF" w:rsidP="00C91F6B">
      <w:pPr>
        <w:spacing w:line="480" w:lineRule="auto"/>
        <w:jc w:val="both"/>
        <w:rPr>
          <w:rFonts w:ascii="Century Gothic" w:eastAsia="Calibri" w:hAnsi="Century Gothic" w:cs="Calibri"/>
          <w:sz w:val="24"/>
          <w:szCs w:val="24"/>
          <w:lang w:val="en-US" w:eastAsia="es-MX"/>
        </w:rPr>
      </w:pPr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Dado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en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el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Recinto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Oficial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del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Congreso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del Estado de Chihuahua, a los </w:t>
      </w:r>
      <w:r w:rsidR="009F06FA"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26</w:t>
      </w:r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días del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mes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de </w:t>
      </w:r>
      <w:proofErr w:type="spellStart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>marzo</w:t>
      </w:r>
      <w:proofErr w:type="spellEnd"/>
      <w:r w:rsidRPr="00BF4030">
        <w:rPr>
          <w:rFonts w:ascii="Century Gothic" w:eastAsia="Calibri" w:hAnsi="Century Gothic" w:cs="Calibri"/>
          <w:sz w:val="24"/>
          <w:szCs w:val="24"/>
          <w:lang w:val="en-US" w:eastAsia="es-MX"/>
        </w:rPr>
        <w:t xml:space="preserve"> del 2024.</w:t>
      </w:r>
    </w:p>
    <w:p w14:paraId="73700CC9" w14:textId="77777777" w:rsidR="009B2DDF" w:rsidRPr="001603A9" w:rsidRDefault="009B2DDF" w:rsidP="009B2DDF">
      <w:pPr>
        <w:spacing w:line="480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  <w:lang w:val="en-US" w:eastAsia="es-MX"/>
        </w:rPr>
      </w:pPr>
      <w:r w:rsidRPr="001603A9">
        <w:rPr>
          <w:rFonts w:ascii="Century Gothic" w:eastAsia="Calibri" w:hAnsi="Century Gothic" w:cs="Calibri"/>
          <w:b/>
          <w:bCs/>
          <w:sz w:val="24"/>
          <w:szCs w:val="24"/>
          <w:lang w:val="en-US" w:eastAsia="es-MX"/>
        </w:rPr>
        <w:t>A T E N T A M E N T E</w:t>
      </w:r>
    </w:p>
    <w:p w14:paraId="2CA781BE" w14:textId="77777777" w:rsidR="009B2DDF" w:rsidRPr="001603A9" w:rsidRDefault="009B2DDF" w:rsidP="009B2DDF">
      <w:pPr>
        <w:spacing w:line="480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  <w:lang w:val="en-US" w:eastAsia="es-MX"/>
        </w:rPr>
      </w:pPr>
    </w:p>
    <w:p w14:paraId="31292021" w14:textId="77777777" w:rsidR="009B2DDF" w:rsidRPr="001603A9" w:rsidRDefault="009B2DDF" w:rsidP="009B2DDF">
      <w:pPr>
        <w:spacing w:line="480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  <w:lang w:val="en-US" w:eastAsia="es-MX"/>
        </w:rPr>
      </w:pPr>
      <w:r w:rsidRPr="001603A9">
        <w:rPr>
          <w:rFonts w:ascii="Century Gothic" w:eastAsia="Calibri" w:hAnsi="Century Gothic" w:cs="Calibri"/>
          <w:b/>
          <w:bCs/>
          <w:sz w:val="24"/>
          <w:szCs w:val="24"/>
          <w:lang w:val="en-US" w:eastAsia="es-MX"/>
        </w:rPr>
        <w:t xml:space="preserve">DIP. MARÍA ANTONIETA PÉREZ REYES </w:t>
      </w:r>
    </w:p>
    <w:tbl>
      <w:tblPr>
        <w:tblStyle w:val="Tablaconcuadrcula1"/>
        <w:tblpPr w:leftFromText="141" w:rightFromText="141" w:vertAnchor="text" w:horzAnchor="margin" w:tblpY="107"/>
        <w:tblW w:w="90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22"/>
      </w:tblGrid>
      <w:tr w:rsidR="009B2DDF" w:rsidRPr="001603A9" w14:paraId="7287A464" w14:textId="77777777" w:rsidTr="00A424F5">
        <w:trPr>
          <w:trHeight w:val="2316"/>
        </w:trPr>
        <w:tc>
          <w:tcPr>
            <w:tcW w:w="4522" w:type="dxa"/>
            <w:vAlign w:val="center"/>
          </w:tcPr>
          <w:p w14:paraId="11C25E1E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8A16D5A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3ED0857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EDIN CUAUHTÉMOC ESTRADA SOTELO</w:t>
            </w:r>
          </w:p>
          <w:p w14:paraId="0765A1A3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14:paraId="60F6AE40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ÓSCAR DANIEL AVITIA ARELLANES</w:t>
            </w:r>
          </w:p>
        </w:tc>
      </w:tr>
      <w:tr w:rsidR="009B2DDF" w:rsidRPr="001603A9" w14:paraId="3DE720AB" w14:textId="77777777" w:rsidTr="00A424F5">
        <w:trPr>
          <w:trHeight w:val="1568"/>
        </w:trPr>
        <w:tc>
          <w:tcPr>
            <w:tcW w:w="4522" w:type="dxa"/>
            <w:vAlign w:val="center"/>
          </w:tcPr>
          <w:p w14:paraId="58BA73AF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3F4D4DF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DIP.LETICIA ORTEGA MAYNEZ</w:t>
            </w:r>
          </w:p>
          <w:p w14:paraId="62972FBF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14:paraId="5D0FB031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BENJAMÍN CARRERA CHÁVEZ</w:t>
            </w:r>
          </w:p>
        </w:tc>
      </w:tr>
      <w:tr w:rsidR="009B2DDF" w:rsidRPr="001603A9" w14:paraId="3D51240D" w14:textId="77777777" w:rsidTr="00A424F5">
        <w:trPr>
          <w:trHeight w:val="1319"/>
        </w:trPr>
        <w:tc>
          <w:tcPr>
            <w:tcW w:w="4522" w:type="dxa"/>
            <w:vAlign w:val="center"/>
            <w:hideMark/>
          </w:tcPr>
          <w:p w14:paraId="66DD03EE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7ECAA10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ROSANA DÍAZ REYES</w:t>
            </w:r>
          </w:p>
        </w:tc>
        <w:tc>
          <w:tcPr>
            <w:tcW w:w="4522" w:type="dxa"/>
            <w:vAlign w:val="bottom"/>
            <w:hideMark/>
          </w:tcPr>
          <w:p w14:paraId="5D44F12A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8E4D1CB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GUSTAVO DE LA ROSA HICKERSON</w:t>
            </w:r>
          </w:p>
        </w:tc>
      </w:tr>
      <w:tr w:rsidR="009B2DDF" w:rsidRPr="001603A9" w14:paraId="65F58100" w14:textId="77777777" w:rsidTr="00A424F5">
        <w:trPr>
          <w:trHeight w:val="1319"/>
        </w:trPr>
        <w:tc>
          <w:tcPr>
            <w:tcW w:w="4522" w:type="dxa"/>
            <w:vAlign w:val="center"/>
            <w:hideMark/>
          </w:tcPr>
          <w:p w14:paraId="6CE0CF40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7BC3DD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215A145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DAVID OSCAR CASTREJÓN RIVAS</w:t>
            </w:r>
          </w:p>
        </w:tc>
        <w:tc>
          <w:tcPr>
            <w:tcW w:w="4522" w:type="dxa"/>
            <w:vAlign w:val="center"/>
            <w:hideMark/>
          </w:tcPr>
          <w:p w14:paraId="02D89F73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B69A7EA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F5B8B23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MAGDALENA RENTERÍA PÉREZ</w:t>
            </w:r>
          </w:p>
        </w:tc>
      </w:tr>
      <w:tr w:rsidR="009B2DDF" w:rsidRPr="001603A9" w14:paraId="595246B2" w14:textId="77777777" w:rsidTr="00A424F5">
        <w:trPr>
          <w:trHeight w:val="1319"/>
        </w:trPr>
        <w:tc>
          <w:tcPr>
            <w:tcW w:w="4522" w:type="dxa"/>
            <w:vAlign w:val="center"/>
          </w:tcPr>
          <w:p w14:paraId="1662BB30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4B3E046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3AFD457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 DIP. ILSE AMÉRICA GARCÍA SOTO</w:t>
            </w:r>
          </w:p>
        </w:tc>
        <w:tc>
          <w:tcPr>
            <w:tcW w:w="4522" w:type="dxa"/>
            <w:vAlign w:val="bottom"/>
          </w:tcPr>
          <w:p w14:paraId="6B71F18F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D4CE0A1" w14:textId="77777777" w:rsidR="009B2DDF" w:rsidRPr="001603A9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3A9">
              <w:rPr>
                <w:rFonts w:ascii="Century Gothic" w:hAnsi="Century Gothic"/>
                <w:b/>
                <w:bCs/>
                <w:sz w:val="24"/>
                <w:szCs w:val="24"/>
              </w:rPr>
              <w:t>DIP. JAEL ARGÜELLES DÍAZ</w:t>
            </w:r>
          </w:p>
        </w:tc>
      </w:tr>
      <w:tr w:rsidR="009B2DDF" w:rsidRPr="009B2DDF" w14:paraId="6E7C8A1D" w14:textId="77777777" w:rsidTr="00A424F5">
        <w:trPr>
          <w:trHeight w:val="1319"/>
        </w:trPr>
        <w:tc>
          <w:tcPr>
            <w:tcW w:w="4522" w:type="dxa"/>
            <w:vAlign w:val="bottom"/>
          </w:tcPr>
          <w:p w14:paraId="446EFC12" w14:textId="77777777" w:rsidR="009B2DDF" w:rsidRPr="009B2DDF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14:paraId="70C91D78" w14:textId="77777777" w:rsidR="009B2DDF" w:rsidRPr="009B2DDF" w:rsidRDefault="009B2DDF" w:rsidP="009B2DDF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ACB6E9A" w14:textId="77777777" w:rsidR="009B2DDF" w:rsidRPr="009B2DDF" w:rsidRDefault="009B2DDF" w:rsidP="009B2DDF">
      <w:pPr>
        <w:spacing w:line="480" w:lineRule="auto"/>
        <w:jc w:val="center"/>
        <w:rPr>
          <w:rFonts w:ascii="Century Gothic" w:eastAsia="Calibri" w:hAnsi="Century Gothic" w:cs="Calibri"/>
          <w:b/>
          <w:bCs/>
          <w:sz w:val="24"/>
          <w:szCs w:val="24"/>
          <w:lang w:val="en-US" w:eastAsia="es-MX"/>
        </w:rPr>
      </w:pPr>
    </w:p>
    <w:p w14:paraId="657985A6" w14:textId="6363D42B" w:rsidR="00F045A2" w:rsidRDefault="00F045A2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5B7BFF1C" w14:textId="77777777" w:rsidR="009B2DDF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1A11E757" w14:textId="77777777" w:rsidR="009B2DDF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500DC869" w14:textId="77777777" w:rsidR="009B2DDF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0281C54B" w14:textId="3EEF96C1" w:rsidR="00B35671" w:rsidRPr="007C26BA" w:rsidRDefault="00B35671" w:rsidP="0073088B">
      <w:pPr>
        <w:pStyle w:val="Prrafodelista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6"/>
          <w:szCs w:val="26"/>
        </w:rPr>
        <w:t xml:space="preserve"> </w:t>
      </w:r>
    </w:p>
    <w:p w14:paraId="477A8D7C" w14:textId="77777777" w:rsidR="00B35671" w:rsidRPr="00926303" w:rsidRDefault="00B35671" w:rsidP="00A424F5">
      <w:pPr>
        <w:pStyle w:val="Prrafodelista"/>
        <w:spacing w:line="360" w:lineRule="auto"/>
        <w:jc w:val="both"/>
        <w:rPr>
          <w:rFonts w:ascii="Century Gothic" w:hAnsi="Century Gothic"/>
          <w:b/>
          <w:bCs/>
        </w:rPr>
      </w:pPr>
    </w:p>
    <w:p w14:paraId="20E70185" w14:textId="77777777" w:rsidR="009B2DDF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71331EF2" w14:textId="77777777" w:rsidR="009B2DDF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4A9726D2" w14:textId="77777777" w:rsidR="009B2DDF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0FA80873" w14:textId="77777777" w:rsidR="009B2DDF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37100CBE" w14:textId="77777777" w:rsidR="009B2DDF" w:rsidRPr="00500A97" w:rsidRDefault="009B2DDF" w:rsidP="001E039E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14:paraId="52539F2F" w14:textId="150177FB" w:rsidR="000A3EFF" w:rsidRPr="0042509E" w:rsidRDefault="000A3EFF" w:rsidP="0042509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0A3EFF" w:rsidRPr="0042509E" w:rsidSect="00A82E21">
      <w:headerReference w:type="default" r:id="rId8"/>
      <w:pgSz w:w="12240" w:h="15840"/>
      <w:pgMar w:top="32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A336" w14:textId="77777777" w:rsidR="0099463A" w:rsidRDefault="0099463A" w:rsidP="00FB1858">
      <w:pPr>
        <w:spacing w:after="0" w:line="240" w:lineRule="auto"/>
      </w:pPr>
      <w:r>
        <w:separator/>
      </w:r>
    </w:p>
  </w:endnote>
  <w:endnote w:type="continuationSeparator" w:id="0">
    <w:p w14:paraId="0BB47780" w14:textId="77777777" w:rsidR="0099463A" w:rsidRDefault="0099463A" w:rsidP="00F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F7D8" w14:textId="77777777" w:rsidR="0099463A" w:rsidRDefault="0099463A" w:rsidP="00FB1858">
      <w:pPr>
        <w:spacing w:after="0" w:line="240" w:lineRule="auto"/>
      </w:pPr>
      <w:r>
        <w:separator/>
      </w:r>
    </w:p>
  </w:footnote>
  <w:footnote w:type="continuationSeparator" w:id="0">
    <w:p w14:paraId="241DD7A7" w14:textId="77777777" w:rsidR="0099463A" w:rsidRDefault="0099463A" w:rsidP="00FB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AE02" w14:textId="77777777" w:rsidR="00FB02B8" w:rsidRPr="009C3459" w:rsidRDefault="00FB02B8" w:rsidP="008A4387">
    <w:pPr>
      <w:pStyle w:val="Cuerpo"/>
      <w:tabs>
        <w:tab w:val="center" w:pos="4419"/>
        <w:tab w:val="right" w:pos="8818"/>
      </w:tabs>
      <w:spacing w:after="0" w:line="240" w:lineRule="auto"/>
      <w:jc w:val="right"/>
      <w:rPr>
        <w:rFonts w:ascii="Century Gothic" w:hAnsi="Century Gothic"/>
        <w:i/>
        <w:iCs/>
        <w:sz w:val="24"/>
        <w:szCs w:val="24"/>
      </w:rPr>
    </w:pPr>
    <w:r>
      <w:rPr>
        <w:rStyle w:val="Ninguno"/>
        <w:rFonts w:ascii="Century Gothic" w:hAnsi="Century Gothic"/>
        <w:i/>
        <w:iCs/>
        <w:sz w:val="24"/>
        <w:szCs w:val="24"/>
      </w:rPr>
      <w:t>“2024, Año del Bicentenario de la fundación del Estado de Chihuahua”</w:t>
    </w:r>
  </w:p>
  <w:p w14:paraId="5284B262" w14:textId="77777777" w:rsidR="00FB1858" w:rsidRDefault="00FB18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2E5"/>
    <w:multiLevelType w:val="hybridMultilevel"/>
    <w:tmpl w:val="071C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15A"/>
    <w:multiLevelType w:val="hybridMultilevel"/>
    <w:tmpl w:val="5C3E3A5A"/>
    <w:lvl w:ilvl="0" w:tplc="1E2AAE52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B0860"/>
    <w:multiLevelType w:val="hybridMultilevel"/>
    <w:tmpl w:val="22DCB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5474"/>
    <w:multiLevelType w:val="hybridMultilevel"/>
    <w:tmpl w:val="D65AE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6005"/>
    <w:multiLevelType w:val="hybridMultilevel"/>
    <w:tmpl w:val="22DCB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FF"/>
    <w:rsid w:val="00021F76"/>
    <w:rsid w:val="0002569C"/>
    <w:rsid w:val="0002796D"/>
    <w:rsid w:val="00034990"/>
    <w:rsid w:val="000400E9"/>
    <w:rsid w:val="000A3EFF"/>
    <w:rsid w:val="000D0860"/>
    <w:rsid w:val="000D374E"/>
    <w:rsid w:val="000D6560"/>
    <w:rsid w:val="00107D57"/>
    <w:rsid w:val="0011418B"/>
    <w:rsid w:val="00116CBB"/>
    <w:rsid w:val="00137019"/>
    <w:rsid w:val="00154EC7"/>
    <w:rsid w:val="001603A9"/>
    <w:rsid w:val="00184452"/>
    <w:rsid w:val="001C6637"/>
    <w:rsid w:val="001E039E"/>
    <w:rsid w:val="001F39C0"/>
    <w:rsid w:val="001F77EA"/>
    <w:rsid w:val="00201E13"/>
    <w:rsid w:val="00216603"/>
    <w:rsid w:val="00224577"/>
    <w:rsid w:val="00236663"/>
    <w:rsid w:val="002435C6"/>
    <w:rsid w:val="00263542"/>
    <w:rsid w:val="002764BB"/>
    <w:rsid w:val="002B123E"/>
    <w:rsid w:val="002D68DF"/>
    <w:rsid w:val="00304E52"/>
    <w:rsid w:val="00342501"/>
    <w:rsid w:val="00370076"/>
    <w:rsid w:val="00374B35"/>
    <w:rsid w:val="00401B4E"/>
    <w:rsid w:val="00421921"/>
    <w:rsid w:val="0042509E"/>
    <w:rsid w:val="00442D51"/>
    <w:rsid w:val="004455B6"/>
    <w:rsid w:val="0046700C"/>
    <w:rsid w:val="004C1EB8"/>
    <w:rsid w:val="004F04E6"/>
    <w:rsid w:val="005044F9"/>
    <w:rsid w:val="00517F27"/>
    <w:rsid w:val="00523030"/>
    <w:rsid w:val="00523ABD"/>
    <w:rsid w:val="00536076"/>
    <w:rsid w:val="00560522"/>
    <w:rsid w:val="005E3798"/>
    <w:rsid w:val="005F5370"/>
    <w:rsid w:val="00631648"/>
    <w:rsid w:val="00642257"/>
    <w:rsid w:val="00660AAA"/>
    <w:rsid w:val="006663FD"/>
    <w:rsid w:val="00693232"/>
    <w:rsid w:val="006D44E4"/>
    <w:rsid w:val="00707E29"/>
    <w:rsid w:val="00710BE7"/>
    <w:rsid w:val="0073088B"/>
    <w:rsid w:val="00737918"/>
    <w:rsid w:val="00745A46"/>
    <w:rsid w:val="0074783C"/>
    <w:rsid w:val="0075270B"/>
    <w:rsid w:val="00754B56"/>
    <w:rsid w:val="00771445"/>
    <w:rsid w:val="007851B3"/>
    <w:rsid w:val="007A495C"/>
    <w:rsid w:val="007C26BA"/>
    <w:rsid w:val="007E0361"/>
    <w:rsid w:val="0082653B"/>
    <w:rsid w:val="00843951"/>
    <w:rsid w:val="008554BF"/>
    <w:rsid w:val="00867B27"/>
    <w:rsid w:val="008C6234"/>
    <w:rsid w:val="008C7A98"/>
    <w:rsid w:val="008E19BB"/>
    <w:rsid w:val="0090712C"/>
    <w:rsid w:val="009153C4"/>
    <w:rsid w:val="00926303"/>
    <w:rsid w:val="009446A8"/>
    <w:rsid w:val="00947E00"/>
    <w:rsid w:val="0097308C"/>
    <w:rsid w:val="0099463A"/>
    <w:rsid w:val="009A2EEE"/>
    <w:rsid w:val="009B2B96"/>
    <w:rsid w:val="009B2DDF"/>
    <w:rsid w:val="009C4FD9"/>
    <w:rsid w:val="009F06FA"/>
    <w:rsid w:val="009F6955"/>
    <w:rsid w:val="00A125D9"/>
    <w:rsid w:val="00A21B29"/>
    <w:rsid w:val="00A239CB"/>
    <w:rsid w:val="00A24F0D"/>
    <w:rsid w:val="00A368C8"/>
    <w:rsid w:val="00A606C6"/>
    <w:rsid w:val="00A81DCC"/>
    <w:rsid w:val="00A82E21"/>
    <w:rsid w:val="00AA289A"/>
    <w:rsid w:val="00AD12C9"/>
    <w:rsid w:val="00B35671"/>
    <w:rsid w:val="00B60C23"/>
    <w:rsid w:val="00B86AEF"/>
    <w:rsid w:val="00BC12F3"/>
    <w:rsid w:val="00BE4E27"/>
    <w:rsid w:val="00BE5C05"/>
    <w:rsid w:val="00BE5DC9"/>
    <w:rsid w:val="00BF4030"/>
    <w:rsid w:val="00BF7E4D"/>
    <w:rsid w:val="00C33A14"/>
    <w:rsid w:val="00C34813"/>
    <w:rsid w:val="00C57BB5"/>
    <w:rsid w:val="00C62467"/>
    <w:rsid w:val="00C91F6B"/>
    <w:rsid w:val="00CB55EE"/>
    <w:rsid w:val="00CC7FE2"/>
    <w:rsid w:val="00CD79D0"/>
    <w:rsid w:val="00CE3291"/>
    <w:rsid w:val="00CE38D4"/>
    <w:rsid w:val="00CF24BC"/>
    <w:rsid w:val="00CF713A"/>
    <w:rsid w:val="00D70FE3"/>
    <w:rsid w:val="00DA0349"/>
    <w:rsid w:val="00DF7ED4"/>
    <w:rsid w:val="00E66B05"/>
    <w:rsid w:val="00E71B58"/>
    <w:rsid w:val="00E82B35"/>
    <w:rsid w:val="00EB6F35"/>
    <w:rsid w:val="00ED3A69"/>
    <w:rsid w:val="00ED4650"/>
    <w:rsid w:val="00EF510A"/>
    <w:rsid w:val="00F00727"/>
    <w:rsid w:val="00F045A2"/>
    <w:rsid w:val="00F47B74"/>
    <w:rsid w:val="00F648EA"/>
    <w:rsid w:val="00F661F9"/>
    <w:rsid w:val="00F73AFC"/>
    <w:rsid w:val="00F87934"/>
    <w:rsid w:val="00FB02B8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2723"/>
  <w15:chartTrackingRefBased/>
  <w15:docId w15:val="{D2404C58-9765-437F-98B6-80B66DB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2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1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85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1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58"/>
    <w:rPr>
      <w:lang w:val="es-MX"/>
    </w:rPr>
  </w:style>
  <w:style w:type="paragraph" w:customStyle="1" w:styleId="Cuerpo">
    <w:name w:val="Cuerpo"/>
    <w:rsid w:val="00FB02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FB02B8"/>
    <w:rPr>
      <w:lang w:val="es-ES_tradnl"/>
    </w:rPr>
  </w:style>
  <w:style w:type="paragraph" w:customStyle="1" w:styleId="p1">
    <w:name w:val="p1"/>
    <w:basedOn w:val="Normal"/>
    <w:rsid w:val="00BE4E27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es-MX"/>
    </w:rPr>
  </w:style>
  <w:style w:type="paragraph" w:customStyle="1" w:styleId="p2">
    <w:name w:val="p2"/>
    <w:basedOn w:val="Normal"/>
    <w:rsid w:val="00BE4E27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es-MX"/>
    </w:rPr>
  </w:style>
  <w:style w:type="character" w:customStyle="1" w:styleId="s1">
    <w:name w:val="s1"/>
    <w:basedOn w:val="Fuentedeprrafopredeter"/>
    <w:rsid w:val="00BE4E27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table" w:customStyle="1" w:styleId="Tablaconcuadrcula1">
    <w:name w:val="Tabla con cuadrícula1"/>
    <w:basedOn w:val="Tablanormal"/>
    <w:uiPriority w:val="39"/>
    <w:rsid w:val="009B2DDF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E21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89D20-D5C3-4230-A610-24B30F9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Brenda Sarahi Gonzalez Dominguez</cp:lastModifiedBy>
  <cp:revision>2</cp:revision>
  <cp:lastPrinted>2024-03-25T21:28:00Z</cp:lastPrinted>
  <dcterms:created xsi:type="dcterms:W3CDTF">2024-03-25T21:38:00Z</dcterms:created>
  <dcterms:modified xsi:type="dcterms:W3CDTF">2024-03-25T21:38:00Z</dcterms:modified>
</cp:coreProperties>
</file>