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2085A1D4" w14:textId="77777777" w:rsidR="007F665E" w:rsidRDefault="007F665E" w:rsidP="007F665E">
      <w:pPr>
        <w:ind w:left="1985"/>
        <w:rPr>
          <w:rFonts w:ascii="Arial" w:hAnsi="Arial" w:cs="Arial"/>
        </w:rPr>
      </w:pPr>
    </w:p>
    <w:p w14:paraId="419DFBEF" w14:textId="77777777" w:rsidR="007F665E" w:rsidRPr="007F665E" w:rsidRDefault="007F665E" w:rsidP="00187E94">
      <w:pPr>
        <w:spacing w:after="0" w:line="240" w:lineRule="auto"/>
        <w:ind w:left="1985"/>
        <w:rPr>
          <w:rFonts w:ascii="Arial" w:hAnsi="Arial" w:cs="Arial"/>
        </w:rPr>
      </w:pPr>
    </w:p>
    <w:p w14:paraId="2A54670D" w14:textId="77777777" w:rsidR="00187E94" w:rsidRDefault="00187E94" w:rsidP="00187E94">
      <w:pPr>
        <w:spacing w:after="0" w:line="240" w:lineRule="auto"/>
        <w:rPr>
          <w:rFonts w:ascii="Century Gothic" w:hAnsi="Century Gothic"/>
          <w:b/>
          <w:bCs/>
          <w:sz w:val="24"/>
          <w:szCs w:val="24"/>
          <w:lang w:val="es-ES_tradnl"/>
        </w:rPr>
      </w:pPr>
    </w:p>
    <w:p w14:paraId="0302170C" w14:textId="77777777" w:rsidR="00187E94" w:rsidRDefault="00187E94" w:rsidP="00187E94">
      <w:pPr>
        <w:spacing w:after="0" w:line="240" w:lineRule="auto"/>
        <w:rPr>
          <w:rFonts w:ascii="Century Gothic" w:hAnsi="Century Gothic"/>
          <w:b/>
          <w:bCs/>
          <w:sz w:val="24"/>
          <w:szCs w:val="24"/>
          <w:lang w:val="es-ES_tradnl"/>
        </w:rPr>
      </w:pPr>
    </w:p>
    <w:p w14:paraId="1AE0C679" w14:textId="77777777" w:rsidR="008C70DE" w:rsidRPr="00EF5D0D" w:rsidRDefault="008C70DE" w:rsidP="00EF5D0D">
      <w:pPr>
        <w:spacing w:after="0" w:line="360" w:lineRule="auto"/>
        <w:jc w:val="both"/>
        <w:rPr>
          <w:rFonts w:ascii="Century Gothic" w:hAnsi="Century Gothic"/>
          <w:b/>
          <w:bCs/>
          <w:sz w:val="24"/>
          <w:szCs w:val="24"/>
          <w:lang w:val="es-ES_tradnl"/>
        </w:rPr>
      </w:pPr>
      <w:r w:rsidRPr="00EF5D0D">
        <w:rPr>
          <w:rFonts w:ascii="Century Gothic" w:hAnsi="Century Gothic"/>
          <w:b/>
          <w:bCs/>
          <w:sz w:val="24"/>
          <w:szCs w:val="24"/>
          <w:lang w:val="es-ES_tradnl"/>
        </w:rPr>
        <w:t>H. CONGRESO DEL ESTADO DE CHIHUAHUA</w:t>
      </w:r>
    </w:p>
    <w:p w14:paraId="4F7B8C4A" w14:textId="68B7EDA3" w:rsidR="008C70DE" w:rsidRPr="00EF5D0D" w:rsidRDefault="008C70DE" w:rsidP="00EF5D0D">
      <w:pPr>
        <w:spacing w:after="0" w:line="360" w:lineRule="auto"/>
        <w:jc w:val="both"/>
        <w:rPr>
          <w:rFonts w:ascii="Century Gothic" w:hAnsi="Century Gothic"/>
          <w:b/>
          <w:bCs/>
          <w:sz w:val="24"/>
          <w:szCs w:val="24"/>
          <w:lang w:val="es-ES_tradnl"/>
        </w:rPr>
      </w:pPr>
      <w:r w:rsidRPr="00EF5D0D">
        <w:rPr>
          <w:rFonts w:ascii="Century Gothic" w:hAnsi="Century Gothic"/>
          <w:b/>
          <w:bCs/>
          <w:sz w:val="24"/>
          <w:szCs w:val="24"/>
          <w:lang w:val="es-ES_tradnl"/>
        </w:rPr>
        <w:t xml:space="preserve">P R E S E N T E: </w:t>
      </w:r>
    </w:p>
    <w:p w14:paraId="737E46D6" w14:textId="77777777" w:rsidR="001718D5" w:rsidRPr="00EF5D0D" w:rsidRDefault="001718D5" w:rsidP="00EF5D0D">
      <w:pPr>
        <w:spacing w:after="0" w:line="360" w:lineRule="auto"/>
        <w:jc w:val="both"/>
        <w:rPr>
          <w:rFonts w:ascii="Century Gothic" w:hAnsi="Century Gothic"/>
          <w:sz w:val="24"/>
          <w:szCs w:val="24"/>
          <w:lang w:val="es-ES_tradnl"/>
        </w:rPr>
      </w:pPr>
    </w:p>
    <w:p w14:paraId="51C1CF1E" w14:textId="44FF20F9" w:rsidR="008C70DE" w:rsidRPr="00EF5D0D" w:rsidRDefault="003E5DA1" w:rsidP="00EF5D0D">
      <w:pPr>
        <w:spacing w:line="360" w:lineRule="auto"/>
        <w:ind w:firstLine="708"/>
        <w:jc w:val="both"/>
        <w:rPr>
          <w:rFonts w:ascii="Century Gothic" w:hAnsi="Century Gothic"/>
          <w:b/>
          <w:i/>
          <w:sz w:val="24"/>
          <w:szCs w:val="24"/>
        </w:rPr>
      </w:pPr>
      <w:r w:rsidRPr="00EF5D0D">
        <w:rPr>
          <w:rFonts w:ascii="Century Gothic" w:eastAsia="Century Gothic" w:hAnsi="Century Gothic" w:cs="Century Gothic"/>
          <w:color w:val="000000"/>
          <w:sz w:val="24"/>
          <w:szCs w:val="24"/>
        </w:rPr>
        <w:t xml:space="preserve">La suscrita </w:t>
      </w:r>
      <w:r w:rsidRPr="00EF5D0D">
        <w:rPr>
          <w:rFonts w:ascii="Century Gothic" w:eastAsia="Century Gothic" w:hAnsi="Century Gothic" w:cs="Century Gothic"/>
          <w:b/>
          <w:color w:val="000000"/>
          <w:sz w:val="24"/>
          <w:szCs w:val="24"/>
        </w:rPr>
        <w:t>GEORGINA BUJANDA RÍOS</w:t>
      </w:r>
      <w:r w:rsidRPr="00EF5D0D">
        <w:rPr>
          <w:rFonts w:ascii="Century Gothic" w:eastAsia="Century Gothic" w:hAnsi="Century Gothic" w:cs="Century Gothic"/>
          <w:color w:val="000000"/>
          <w:sz w:val="24"/>
          <w:szCs w:val="24"/>
        </w:rPr>
        <w:t xml:space="preserve">, en mi calidad de Diputada de la Sexagésima Séptima Legislatura del H. Congreso del Estado, integrante de la Fracción Parlamentaria del Partido </w:t>
      </w:r>
      <w:r w:rsidR="004C0136" w:rsidRPr="00EF5D0D">
        <w:rPr>
          <w:rFonts w:ascii="Century Gothic" w:eastAsia="Century Gothic" w:hAnsi="Century Gothic" w:cs="Century Gothic"/>
          <w:color w:val="000000"/>
          <w:sz w:val="24"/>
          <w:szCs w:val="24"/>
        </w:rPr>
        <w:t>Acción Nacional</w:t>
      </w:r>
      <w:r w:rsidRPr="00EF5D0D">
        <w:rPr>
          <w:rFonts w:ascii="Century Gothic" w:eastAsia="Century Gothic" w:hAnsi="Century Gothic" w:cs="Century Gothic"/>
          <w:color w:val="000000"/>
          <w:sz w:val="24"/>
          <w:szCs w:val="24"/>
        </w:rPr>
        <w:t xml:space="preserve">, con fundamento en los artículos 71 fracción III de la Constitución Política de los estados Unidos Mexicanos; 68, fracción I de la Constitución Política del Estado de Chihuahua, 167 y 168 de la Ley Orgánica del Poder Legislativo, 75 y 76 del Reglamento Interior y Prácticas Parlamentarias del Poder Legislativo y demás relativos, </w:t>
      </w:r>
      <w:r w:rsidR="004C0136" w:rsidRPr="00EF5D0D">
        <w:rPr>
          <w:rFonts w:ascii="Century Gothic" w:eastAsia="Century Gothic" w:hAnsi="Century Gothic" w:cs="Century Gothic"/>
          <w:color w:val="000000"/>
          <w:sz w:val="24"/>
          <w:szCs w:val="24"/>
        </w:rPr>
        <w:t>acudo</w:t>
      </w:r>
      <w:r w:rsidRPr="00EF5D0D">
        <w:rPr>
          <w:rFonts w:ascii="Century Gothic" w:eastAsia="Century Gothic" w:hAnsi="Century Gothic" w:cs="Century Gothic"/>
          <w:color w:val="000000"/>
          <w:sz w:val="24"/>
          <w:szCs w:val="24"/>
        </w:rPr>
        <w:t xml:space="preserve"> ante esta Honorable Asamblea Legislativa, a someter a consideración la presente iniciativa con carácter </w:t>
      </w:r>
      <w:r w:rsidR="00A03415" w:rsidRPr="00EF5D0D">
        <w:rPr>
          <w:rFonts w:ascii="Century Gothic" w:eastAsia="Century Gothic" w:hAnsi="Century Gothic" w:cs="Century Gothic"/>
          <w:bCs/>
          <w:color w:val="000000"/>
          <w:sz w:val="24"/>
          <w:szCs w:val="24"/>
        </w:rPr>
        <w:t>de</w:t>
      </w:r>
      <w:r w:rsidR="004C0136" w:rsidRPr="00EF5D0D">
        <w:rPr>
          <w:rFonts w:ascii="Century Gothic" w:eastAsia="Century Gothic" w:hAnsi="Century Gothic" w:cs="Century Gothic"/>
          <w:bCs/>
          <w:color w:val="000000"/>
          <w:sz w:val="24"/>
          <w:szCs w:val="24"/>
        </w:rPr>
        <w:t xml:space="preserve"> </w:t>
      </w:r>
      <w:r w:rsidR="004C0136" w:rsidRPr="00EF5D0D">
        <w:rPr>
          <w:rFonts w:ascii="Century Gothic" w:eastAsia="Century Gothic" w:hAnsi="Century Gothic" w:cs="Century Gothic"/>
          <w:b/>
          <w:color w:val="000000"/>
          <w:sz w:val="24"/>
          <w:szCs w:val="24"/>
        </w:rPr>
        <w:t>PROYECTO DE</w:t>
      </w:r>
      <w:r w:rsidR="00A03415" w:rsidRPr="00EF5D0D">
        <w:rPr>
          <w:rFonts w:ascii="Century Gothic" w:eastAsia="Century Gothic" w:hAnsi="Century Gothic" w:cs="Century Gothic"/>
          <w:b/>
          <w:color w:val="000000"/>
          <w:sz w:val="24"/>
          <w:szCs w:val="24"/>
        </w:rPr>
        <w:t xml:space="preserve"> DECRETO ANTE EL H. CONGRESO DE LA UNIÓN, PARA ADICIONAR LA FRACCIÓN XV AL   ARTÍCULO 195 DEL CÓDIGO NACIONAL DE PROCEDIMIENTOS PENALES, A EFECTO DE QUE LOS AGRESORES DE MUJERES</w:t>
      </w:r>
      <w:r w:rsidR="004C0136" w:rsidRPr="00EF5D0D">
        <w:rPr>
          <w:rFonts w:ascii="Century Gothic" w:eastAsia="Century Gothic" w:hAnsi="Century Gothic" w:cs="Century Gothic"/>
          <w:b/>
          <w:color w:val="000000"/>
          <w:sz w:val="24"/>
          <w:szCs w:val="24"/>
        </w:rPr>
        <w:t xml:space="preserve"> QUE SE SOMETAN A LA</w:t>
      </w:r>
      <w:r w:rsidR="00A03415" w:rsidRPr="00EF5D0D">
        <w:rPr>
          <w:rFonts w:ascii="Century Gothic" w:eastAsia="Century Gothic" w:hAnsi="Century Gothic" w:cs="Century Gothic"/>
          <w:b/>
          <w:color w:val="000000"/>
          <w:sz w:val="24"/>
          <w:szCs w:val="24"/>
        </w:rPr>
        <w:t xml:space="preserve"> SUSPENSIÓN CONDICIONAL DEL PROCESO, DEBAN </w:t>
      </w:r>
      <w:r w:rsidR="00A03415" w:rsidRPr="00EF5D0D">
        <w:rPr>
          <w:rFonts w:ascii="Century Gothic" w:hAnsi="Century Gothic"/>
          <w:b/>
          <w:sz w:val="24"/>
          <w:szCs w:val="24"/>
        </w:rPr>
        <w:t>SOMETERSE A TERAPIAS O REEDUCATIVOS INTEGRALES ESPECIALIZADOS CON PERSPECTIVA DE GÉNERO</w:t>
      </w:r>
      <w:r w:rsidRPr="00EF5D0D">
        <w:rPr>
          <w:rFonts w:ascii="Century Gothic" w:eastAsia="Century Gothic" w:hAnsi="Century Gothic" w:cs="Century Gothic"/>
          <w:color w:val="000000"/>
          <w:sz w:val="24"/>
          <w:szCs w:val="24"/>
        </w:rPr>
        <w:t>; lo anterior bajo la siguiente:</w:t>
      </w:r>
    </w:p>
    <w:p w14:paraId="1333A2BE" w14:textId="77777777" w:rsidR="008C70DE" w:rsidRPr="00EF5D0D" w:rsidRDefault="008C70DE" w:rsidP="00EF5D0D">
      <w:pPr>
        <w:spacing w:line="360" w:lineRule="auto"/>
        <w:jc w:val="both"/>
        <w:rPr>
          <w:rFonts w:ascii="Century Gothic" w:hAnsi="Century Gothic"/>
          <w:sz w:val="24"/>
          <w:szCs w:val="24"/>
        </w:rPr>
      </w:pPr>
    </w:p>
    <w:p w14:paraId="7D46929E" w14:textId="0AA0BD56" w:rsidR="001718D5" w:rsidRPr="00EF5D0D" w:rsidRDefault="008C70DE" w:rsidP="00EF5D0D">
      <w:pPr>
        <w:spacing w:line="360" w:lineRule="auto"/>
        <w:jc w:val="center"/>
        <w:rPr>
          <w:rFonts w:ascii="Century Gothic" w:hAnsi="Century Gothic"/>
          <w:b/>
          <w:sz w:val="24"/>
          <w:szCs w:val="24"/>
        </w:rPr>
      </w:pPr>
      <w:r w:rsidRPr="00EF5D0D">
        <w:rPr>
          <w:rFonts w:ascii="Century Gothic" w:hAnsi="Century Gothic"/>
          <w:b/>
          <w:sz w:val="24"/>
          <w:szCs w:val="24"/>
        </w:rPr>
        <w:t>EXPOSICION DE MOTIVOS</w:t>
      </w:r>
    </w:p>
    <w:p w14:paraId="538C4DA7" w14:textId="77777777" w:rsidR="004C0136" w:rsidRPr="00EF5D0D" w:rsidRDefault="004C0136" w:rsidP="00EF5D0D">
      <w:pPr>
        <w:spacing w:line="360" w:lineRule="auto"/>
        <w:jc w:val="both"/>
        <w:rPr>
          <w:rFonts w:ascii="Century Gothic" w:hAnsi="Century Gothic"/>
          <w:b/>
          <w:sz w:val="24"/>
          <w:szCs w:val="24"/>
        </w:rPr>
      </w:pPr>
    </w:p>
    <w:p w14:paraId="433D80AD" w14:textId="77777777" w:rsidR="005D500F" w:rsidRPr="00EF5D0D" w:rsidRDefault="005D500F" w:rsidP="00EF5D0D">
      <w:pPr>
        <w:spacing w:line="360" w:lineRule="auto"/>
        <w:jc w:val="both"/>
        <w:rPr>
          <w:rFonts w:ascii="Century Gothic" w:hAnsi="Century Gothic"/>
          <w:sz w:val="24"/>
          <w:szCs w:val="24"/>
        </w:rPr>
      </w:pPr>
    </w:p>
    <w:p w14:paraId="081AFC17" w14:textId="77777777" w:rsidR="005D500F" w:rsidRPr="00EF5D0D" w:rsidRDefault="005D500F" w:rsidP="00EF5D0D">
      <w:pPr>
        <w:spacing w:line="360" w:lineRule="auto"/>
        <w:jc w:val="both"/>
        <w:rPr>
          <w:rFonts w:ascii="Century Gothic" w:hAnsi="Century Gothic"/>
          <w:sz w:val="24"/>
          <w:szCs w:val="24"/>
        </w:rPr>
      </w:pPr>
    </w:p>
    <w:p w14:paraId="0E45AE63" w14:textId="77777777" w:rsidR="005D500F" w:rsidRPr="00EF5D0D" w:rsidRDefault="005D500F" w:rsidP="00EF5D0D">
      <w:pPr>
        <w:spacing w:line="360" w:lineRule="auto"/>
        <w:jc w:val="both"/>
        <w:rPr>
          <w:rFonts w:ascii="Century Gothic" w:hAnsi="Century Gothic"/>
          <w:sz w:val="24"/>
          <w:szCs w:val="24"/>
        </w:rPr>
      </w:pPr>
    </w:p>
    <w:p w14:paraId="43334F97" w14:textId="3BDD1F36" w:rsidR="00EF5D0D" w:rsidRDefault="00EF5D0D" w:rsidP="00EF5D0D">
      <w:pPr>
        <w:spacing w:line="360" w:lineRule="auto"/>
        <w:jc w:val="both"/>
        <w:rPr>
          <w:rFonts w:ascii="Century Gothic" w:hAnsi="Century Gothic"/>
          <w:sz w:val="24"/>
          <w:szCs w:val="24"/>
        </w:rPr>
      </w:pPr>
    </w:p>
    <w:p w14:paraId="2D032DCA" w14:textId="77777777" w:rsidR="00EF5D0D" w:rsidRPr="00EF5D0D" w:rsidRDefault="00EF5D0D" w:rsidP="00EF5D0D">
      <w:pPr>
        <w:spacing w:line="360" w:lineRule="auto"/>
        <w:jc w:val="both"/>
        <w:rPr>
          <w:rFonts w:ascii="Century Gothic" w:hAnsi="Century Gothic"/>
          <w:sz w:val="24"/>
          <w:szCs w:val="24"/>
        </w:rPr>
      </w:pPr>
    </w:p>
    <w:p w14:paraId="74EB5447" w14:textId="77777777" w:rsidR="004148FD" w:rsidRDefault="00EF5D0D" w:rsidP="00EF5D0D">
      <w:pPr>
        <w:spacing w:line="360" w:lineRule="auto"/>
        <w:jc w:val="both"/>
        <w:rPr>
          <w:rFonts w:ascii="Century Gothic" w:hAnsi="Century Gothic"/>
          <w:sz w:val="24"/>
          <w:szCs w:val="24"/>
        </w:rPr>
      </w:pPr>
      <w:r>
        <w:rPr>
          <w:rFonts w:ascii="Century Gothic" w:hAnsi="Century Gothic"/>
          <w:sz w:val="24"/>
          <w:szCs w:val="24"/>
        </w:rPr>
        <w:t>Compañeras Diputadas y Diputados, en el marco de la Conmemoración</w:t>
      </w:r>
      <w:r w:rsidRPr="00EF5D0D">
        <w:rPr>
          <w:rFonts w:ascii="Century Gothic" w:hAnsi="Century Gothic"/>
          <w:sz w:val="24"/>
          <w:szCs w:val="24"/>
        </w:rPr>
        <w:t xml:space="preserve"> </w:t>
      </w:r>
      <w:r>
        <w:rPr>
          <w:rFonts w:ascii="Century Gothic" w:hAnsi="Century Gothic"/>
          <w:sz w:val="24"/>
          <w:szCs w:val="24"/>
        </w:rPr>
        <w:t xml:space="preserve">Del Día Internacional De La Mujer, me parece de gran importancia </w:t>
      </w:r>
      <w:r w:rsidRPr="00EF5D0D">
        <w:rPr>
          <w:rFonts w:ascii="Century Gothic" w:hAnsi="Century Gothic"/>
          <w:sz w:val="24"/>
          <w:szCs w:val="24"/>
        </w:rPr>
        <w:t xml:space="preserve">abordar una problemática persistente y grave que afecta a la sociedad mexicana: la violencia de género contra las mujeres. </w:t>
      </w:r>
    </w:p>
    <w:p w14:paraId="27601A71" w14:textId="77777777" w:rsidR="004148FD" w:rsidRDefault="004148FD" w:rsidP="00EF5D0D">
      <w:pPr>
        <w:spacing w:line="360" w:lineRule="auto"/>
        <w:jc w:val="both"/>
        <w:rPr>
          <w:rFonts w:ascii="Century Gothic" w:hAnsi="Century Gothic"/>
          <w:sz w:val="24"/>
          <w:szCs w:val="24"/>
        </w:rPr>
      </w:pPr>
    </w:p>
    <w:p w14:paraId="22811964" w14:textId="2CE32BFC"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Este fenómeno, catalogado incluso como un problema de salud pública, ha experimentado una evolución en su estudio y atención, reconociendo la necesidad de intervenir no solo con las mujeres víctimas, sino también con los hombres agresores.</w:t>
      </w:r>
    </w:p>
    <w:p w14:paraId="4DB7DA62" w14:textId="77777777" w:rsidR="00EF5D0D" w:rsidRPr="00EF5D0D" w:rsidRDefault="00EF5D0D" w:rsidP="00EF5D0D">
      <w:pPr>
        <w:spacing w:line="360" w:lineRule="auto"/>
        <w:jc w:val="both"/>
        <w:rPr>
          <w:rFonts w:ascii="Century Gothic" w:hAnsi="Century Gothic"/>
          <w:sz w:val="24"/>
          <w:szCs w:val="24"/>
        </w:rPr>
      </w:pPr>
    </w:p>
    <w:p w14:paraId="2141BF44" w14:textId="77777777"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En este contexto, propongo una iniciativa que establezca como obligación para los agresores de mujeres, </w:t>
      </w:r>
      <w:r w:rsidRPr="004148FD">
        <w:rPr>
          <w:rFonts w:ascii="Century Gothic" w:hAnsi="Century Gothic"/>
          <w:b/>
          <w:bCs/>
          <w:sz w:val="24"/>
          <w:szCs w:val="24"/>
        </w:rPr>
        <w:t>durante la suspensión condicional del proceso</w:t>
      </w:r>
      <w:r w:rsidRPr="00EF5D0D">
        <w:rPr>
          <w:rFonts w:ascii="Century Gothic" w:hAnsi="Century Gothic"/>
          <w:sz w:val="24"/>
          <w:szCs w:val="24"/>
        </w:rPr>
        <w:t>, someterse a terapias o servicios reeducativos integrales especializados y gratuitos, con perspectiva de género, en instituciones públicas debidamente acreditadas.</w:t>
      </w:r>
    </w:p>
    <w:p w14:paraId="72534920" w14:textId="77777777" w:rsidR="00EF5D0D" w:rsidRPr="00EF5D0D" w:rsidRDefault="00EF5D0D" w:rsidP="00EF5D0D">
      <w:pPr>
        <w:spacing w:line="360" w:lineRule="auto"/>
        <w:jc w:val="both"/>
        <w:rPr>
          <w:rFonts w:ascii="Century Gothic" w:hAnsi="Century Gothic"/>
          <w:sz w:val="24"/>
          <w:szCs w:val="24"/>
        </w:rPr>
      </w:pPr>
    </w:p>
    <w:p w14:paraId="058A45F3" w14:textId="77777777" w:rsidR="004148F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La evolución en el abordaje de la violencia de género ha destacado la importancia de trabajar con todos los actores involucrados, reconociendo que la violencia es un problema relacional. </w:t>
      </w:r>
    </w:p>
    <w:p w14:paraId="2E85E2A9" w14:textId="77777777" w:rsidR="004148FD" w:rsidRDefault="004148FD" w:rsidP="00EF5D0D">
      <w:pPr>
        <w:spacing w:line="360" w:lineRule="auto"/>
        <w:jc w:val="both"/>
        <w:rPr>
          <w:rFonts w:ascii="Century Gothic" w:hAnsi="Century Gothic"/>
          <w:sz w:val="24"/>
          <w:szCs w:val="24"/>
        </w:rPr>
      </w:pPr>
    </w:p>
    <w:p w14:paraId="1BD1E60E" w14:textId="77777777" w:rsidR="004148FD" w:rsidRDefault="004148FD" w:rsidP="00EF5D0D">
      <w:pPr>
        <w:spacing w:line="360" w:lineRule="auto"/>
        <w:jc w:val="both"/>
        <w:rPr>
          <w:rFonts w:ascii="Century Gothic" w:hAnsi="Century Gothic"/>
          <w:sz w:val="24"/>
          <w:szCs w:val="24"/>
        </w:rPr>
      </w:pPr>
    </w:p>
    <w:p w14:paraId="0B7CEB71" w14:textId="77777777" w:rsidR="004148FD" w:rsidRDefault="004148FD" w:rsidP="00EF5D0D">
      <w:pPr>
        <w:spacing w:line="360" w:lineRule="auto"/>
        <w:jc w:val="both"/>
        <w:rPr>
          <w:rFonts w:ascii="Century Gothic" w:hAnsi="Century Gothic"/>
          <w:sz w:val="24"/>
          <w:szCs w:val="24"/>
        </w:rPr>
      </w:pPr>
    </w:p>
    <w:p w14:paraId="71C8E414" w14:textId="77777777" w:rsidR="004148FD" w:rsidRDefault="004148FD" w:rsidP="00EF5D0D">
      <w:pPr>
        <w:spacing w:line="360" w:lineRule="auto"/>
        <w:jc w:val="both"/>
        <w:rPr>
          <w:rFonts w:ascii="Century Gothic" w:hAnsi="Century Gothic"/>
          <w:sz w:val="24"/>
          <w:szCs w:val="24"/>
        </w:rPr>
      </w:pPr>
    </w:p>
    <w:p w14:paraId="1147E63F" w14:textId="77777777" w:rsidR="004148FD" w:rsidRDefault="004148FD" w:rsidP="00EF5D0D">
      <w:pPr>
        <w:spacing w:line="360" w:lineRule="auto"/>
        <w:jc w:val="both"/>
        <w:rPr>
          <w:rFonts w:ascii="Century Gothic" w:hAnsi="Century Gothic"/>
          <w:sz w:val="24"/>
          <w:szCs w:val="24"/>
        </w:rPr>
      </w:pPr>
    </w:p>
    <w:p w14:paraId="00293E06" w14:textId="42E2C90E"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Se ha constatado que la construcción social y psicológica con la que muchos hombres se identifican contribuye significativamente a la perpetuación de conductas violentas contra las mujeres.</w:t>
      </w:r>
    </w:p>
    <w:p w14:paraId="493D2726" w14:textId="77777777" w:rsidR="00EF5D0D" w:rsidRPr="00EF5D0D" w:rsidRDefault="00EF5D0D" w:rsidP="00EF5D0D">
      <w:pPr>
        <w:spacing w:line="360" w:lineRule="auto"/>
        <w:jc w:val="both"/>
        <w:rPr>
          <w:rFonts w:ascii="Century Gothic" w:hAnsi="Century Gothic"/>
          <w:sz w:val="24"/>
          <w:szCs w:val="24"/>
        </w:rPr>
      </w:pPr>
    </w:p>
    <w:p w14:paraId="4A13B4C6" w14:textId="77777777"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Como ha sido señalado en diversas investigaciones, la imagen de "ser masculino" ha sido configurada por la instrumentalidad, la capacidad de hacer y lograr. Este modelo ha conducido en múltiples casos a comportamientos basados en el poder, el control y la competencia, contribuyendo así a la manifestación de conductas agresivas y violentas.</w:t>
      </w:r>
    </w:p>
    <w:p w14:paraId="710ADB3B" w14:textId="77777777" w:rsidR="00EF5D0D" w:rsidRPr="00EF5D0D" w:rsidRDefault="00EF5D0D" w:rsidP="00EF5D0D">
      <w:pPr>
        <w:spacing w:line="360" w:lineRule="auto"/>
        <w:jc w:val="both"/>
        <w:rPr>
          <w:rFonts w:ascii="Century Gothic" w:hAnsi="Century Gothic"/>
          <w:sz w:val="24"/>
          <w:szCs w:val="24"/>
        </w:rPr>
      </w:pPr>
    </w:p>
    <w:p w14:paraId="48895554" w14:textId="77777777"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La propuesta de adición busca abordar esta problemática desde una </w:t>
      </w:r>
      <w:r w:rsidRPr="004148FD">
        <w:rPr>
          <w:rFonts w:ascii="Century Gothic" w:hAnsi="Century Gothic"/>
          <w:b/>
          <w:bCs/>
          <w:sz w:val="24"/>
          <w:szCs w:val="24"/>
        </w:rPr>
        <w:t>perspectiva</w:t>
      </w:r>
      <w:r w:rsidRPr="00EF5D0D">
        <w:rPr>
          <w:rFonts w:ascii="Century Gothic" w:hAnsi="Century Gothic"/>
          <w:sz w:val="24"/>
          <w:szCs w:val="24"/>
        </w:rPr>
        <w:t xml:space="preserve"> </w:t>
      </w:r>
      <w:r w:rsidRPr="004148FD">
        <w:rPr>
          <w:rFonts w:ascii="Century Gothic" w:hAnsi="Century Gothic"/>
          <w:b/>
          <w:bCs/>
          <w:sz w:val="24"/>
          <w:szCs w:val="24"/>
        </w:rPr>
        <w:t>preventiva y rehabilitadora</w:t>
      </w:r>
      <w:r w:rsidRPr="00EF5D0D">
        <w:rPr>
          <w:rFonts w:ascii="Century Gothic" w:hAnsi="Century Gothic"/>
          <w:sz w:val="24"/>
          <w:szCs w:val="24"/>
        </w:rPr>
        <w:t>. Al obligar a los agresores a someterse a estas terapias, se busca erradicar los patrones de conducta basados en la construcción de la identidad que propician la violencia contra mujeres, niñas y adolescentes.</w:t>
      </w:r>
    </w:p>
    <w:p w14:paraId="579B4AC3" w14:textId="77777777" w:rsidR="00EF5D0D" w:rsidRPr="00EF5D0D" w:rsidRDefault="00EF5D0D" w:rsidP="00EF5D0D">
      <w:pPr>
        <w:spacing w:line="360" w:lineRule="auto"/>
        <w:jc w:val="both"/>
        <w:rPr>
          <w:rFonts w:ascii="Century Gothic" w:hAnsi="Century Gothic"/>
          <w:sz w:val="24"/>
          <w:szCs w:val="24"/>
        </w:rPr>
      </w:pPr>
    </w:p>
    <w:p w14:paraId="7B4990C2" w14:textId="77777777" w:rsidR="004148F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La inclusión de esta iniciativa en el marco legal refuerza el compromiso del Estado mexicano en la erradicación de la violencia de género, reconociendo la necesidad de intervenir con los agresores para romper con el ciclo de violencia. </w:t>
      </w:r>
    </w:p>
    <w:p w14:paraId="40AF871A" w14:textId="77777777" w:rsidR="004148FD" w:rsidRDefault="004148FD" w:rsidP="00EF5D0D">
      <w:pPr>
        <w:spacing w:line="360" w:lineRule="auto"/>
        <w:jc w:val="both"/>
        <w:rPr>
          <w:rFonts w:ascii="Century Gothic" w:hAnsi="Century Gothic"/>
          <w:sz w:val="24"/>
          <w:szCs w:val="24"/>
        </w:rPr>
      </w:pPr>
    </w:p>
    <w:p w14:paraId="084AA9F1" w14:textId="77777777" w:rsidR="004148FD" w:rsidRDefault="004148FD" w:rsidP="00EF5D0D">
      <w:pPr>
        <w:spacing w:line="360" w:lineRule="auto"/>
        <w:jc w:val="both"/>
        <w:rPr>
          <w:rFonts w:ascii="Century Gothic" w:hAnsi="Century Gothic"/>
          <w:sz w:val="24"/>
          <w:szCs w:val="24"/>
        </w:rPr>
      </w:pPr>
    </w:p>
    <w:p w14:paraId="743ED02F" w14:textId="77777777" w:rsidR="004148FD" w:rsidRDefault="004148FD" w:rsidP="00EF5D0D">
      <w:pPr>
        <w:spacing w:line="360" w:lineRule="auto"/>
        <w:jc w:val="both"/>
        <w:rPr>
          <w:rFonts w:ascii="Century Gothic" w:hAnsi="Century Gothic"/>
          <w:sz w:val="24"/>
          <w:szCs w:val="24"/>
        </w:rPr>
      </w:pPr>
    </w:p>
    <w:p w14:paraId="3FDFE4BF" w14:textId="77777777" w:rsidR="004148FD" w:rsidRDefault="004148FD" w:rsidP="00EF5D0D">
      <w:pPr>
        <w:spacing w:line="360" w:lineRule="auto"/>
        <w:jc w:val="both"/>
        <w:rPr>
          <w:rFonts w:ascii="Century Gothic" w:hAnsi="Century Gothic"/>
          <w:sz w:val="24"/>
          <w:szCs w:val="24"/>
        </w:rPr>
      </w:pPr>
    </w:p>
    <w:p w14:paraId="10724592" w14:textId="77777777" w:rsidR="004148FD" w:rsidRDefault="004148FD" w:rsidP="00EF5D0D">
      <w:pPr>
        <w:spacing w:line="360" w:lineRule="auto"/>
        <w:jc w:val="both"/>
        <w:rPr>
          <w:rFonts w:ascii="Century Gothic" w:hAnsi="Century Gothic"/>
          <w:sz w:val="24"/>
          <w:szCs w:val="24"/>
        </w:rPr>
      </w:pPr>
    </w:p>
    <w:p w14:paraId="7B8FED1C" w14:textId="1F796DB4"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Además, al asegurar que estas terapias sean especializadas, gratuitas y se realicen en instituciones públicas acreditadas, se garantiza la calidad y accesibilidad del tratamiento.</w:t>
      </w:r>
    </w:p>
    <w:p w14:paraId="5B8835F1" w14:textId="77777777" w:rsidR="00EF5D0D" w:rsidRPr="00EF5D0D" w:rsidRDefault="00EF5D0D" w:rsidP="00EF5D0D">
      <w:pPr>
        <w:spacing w:line="360" w:lineRule="auto"/>
        <w:jc w:val="both"/>
        <w:rPr>
          <w:rFonts w:ascii="Century Gothic" w:hAnsi="Century Gothic"/>
          <w:sz w:val="24"/>
          <w:szCs w:val="24"/>
        </w:rPr>
      </w:pPr>
    </w:p>
    <w:p w14:paraId="138A589D" w14:textId="77777777" w:rsidR="00EF5D0D" w:rsidRPr="004148FD" w:rsidRDefault="00EF5D0D" w:rsidP="00EF5D0D">
      <w:pPr>
        <w:spacing w:line="360" w:lineRule="auto"/>
        <w:jc w:val="both"/>
        <w:rPr>
          <w:rFonts w:ascii="Century Gothic" w:hAnsi="Century Gothic"/>
          <w:b/>
          <w:bCs/>
          <w:sz w:val="24"/>
          <w:szCs w:val="24"/>
        </w:rPr>
      </w:pPr>
      <w:r w:rsidRPr="00EF5D0D">
        <w:rPr>
          <w:rFonts w:ascii="Century Gothic" w:hAnsi="Century Gothic"/>
          <w:sz w:val="24"/>
          <w:szCs w:val="24"/>
        </w:rPr>
        <w:t xml:space="preserve">Es crucial destacar que brindar tratamiento a un agresor </w:t>
      </w:r>
      <w:r w:rsidRPr="004148FD">
        <w:rPr>
          <w:rFonts w:ascii="Century Gothic" w:hAnsi="Century Gothic"/>
          <w:b/>
          <w:bCs/>
          <w:sz w:val="24"/>
          <w:szCs w:val="24"/>
        </w:rPr>
        <w:t>no implica eximirlo de responsabilidad</w:t>
      </w:r>
      <w:r w:rsidRPr="00EF5D0D">
        <w:rPr>
          <w:rFonts w:ascii="Century Gothic" w:hAnsi="Century Gothic"/>
          <w:sz w:val="24"/>
          <w:szCs w:val="24"/>
        </w:rPr>
        <w:t xml:space="preserve">; por el contrario, una de las metas principales de dicha intervención es lograr que el agresor asuma la responsabilidad por su conducta. Considerar el maltrato como inmodificable conduciría simplemente al encarcelamiento de los sujetos, lo cual </w:t>
      </w:r>
      <w:r w:rsidRPr="004148FD">
        <w:rPr>
          <w:rFonts w:ascii="Century Gothic" w:hAnsi="Century Gothic"/>
          <w:b/>
          <w:bCs/>
          <w:sz w:val="24"/>
          <w:szCs w:val="24"/>
        </w:rPr>
        <w:t>no aborda de manera efectiva el problema subyacente.</w:t>
      </w:r>
    </w:p>
    <w:p w14:paraId="3D762E64" w14:textId="77777777" w:rsidR="00EF5D0D" w:rsidRPr="00EF5D0D" w:rsidRDefault="00EF5D0D" w:rsidP="00EF5D0D">
      <w:pPr>
        <w:spacing w:line="360" w:lineRule="auto"/>
        <w:jc w:val="both"/>
        <w:rPr>
          <w:rFonts w:ascii="Century Gothic" w:hAnsi="Century Gothic"/>
          <w:sz w:val="24"/>
          <w:szCs w:val="24"/>
        </w:rPr>
      </w:pPr>
    </w:p>
    <w:p w14:paraId="79DE845F" w14:textId="77777777"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La posibilidad de proporcionar tratamiento psicológico a los maltratadores es viable, especialmente si el sujeto muestra una mínima motivación para el cambio. En este sentido, es crucial entender que el objetivo fundamental del tratamiento es detener la violencia y proteger a la víctima, y no se trata de eximir al agresor de sus actos.</w:t>
      </w:r>
    </w:p>
    <w:p w14:paraId="68892CBE" w14:textId="77777777" w:rsidR="00EF5D0D" w:rsidRPr="00EF5D0D" w:rsidRDefault="00EF5D0D" w:rsidP="00EF5D0D">
      <w:pPr>
        <w:spacing w:line="360" w:lineRule="auto"/>
        <w:jc w:val="both"/>
        <w:rPr>
          <w:rFonts w:ascii="Century Gothic" w:hAnsi="Century Gothic"/>
          <w:sz w:val="24"/>
          <w:szCs w:val="24"/>
        </w:rPr>
      </w:pPr>
    </w:p>
    <w:p w14:paraId="017EC6E9" w14:textId="77777777" w:rsidR="004148F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Es un error contraponer la ayuda psicológica a la víctima con el tratamiento al maltratador bajo el argumento de que todos los recursos deben centrarse en las víctimas. Ambas intervenciones son necesarias y complementarias. </w:t>
      </w:r>
    </w:p>
    <w:p w14:paraId="09E885B1" w14:textId="77777777" w:rsidR="004148FD" w:rsidRDefault="004148FD" w:rsidP="00EF5D0D">
      <w:pPr>
        <w:spacing w:line="360" w:lineRule="auto"/>
        <w:jc w:val="both"/>
        <w:rPr>
          <w:rFonts w:ascii="Century Gothic" w:hAnsi="Century Gothic"/>
          <w:sz w:val="24"/>
          <w:szCs w:val="24"/>
        </w:rPr>
      </w:pPr>
    </w:p>
    <w:p w14:paraId="76DE4EC2" w14:textId="77777777" w:rsidR="004148FD" w:rsidRDefault="004148FD" w:rsidP="00EF5D0D">
      <w:pPr>
        <w:spacing w:line="360" w:lineRule="auto"/>
        <w:jc w:val="both"/>
        <w:rPr>
          <w:rFonts w:ascii="Century Gothic" w:hAnsi="Century Gothic"/>
          <w:sz w:val="24"/>
          <w:szCs w:val="24"/>
        </w:rPr>
      </w:pPr>
    </w:p>
    <w:p w14:paraId="5A2C1BC6" w14:textId="77777777" w:rsidR="004148FD" w:rsidRDefault="004148FD" w:rsidP="00EF5D0D">
      <w:pPr>
        <w:spacing w:line="360" w:lineRule="auto"/>
        <w:jc w:val="both"/>
        <w:rPr>
          <w:rFonts w:ascii="Century Gothic" w:hAnsi="Century Gothic"/>
          <w:sz w:val="24"/>
          <w:szCs w:val="24"/>
        </w:rPr>
      </w:pPr>
    </w:p>
    <w:p w14:paraId="4B3E377D" w14:textId="77777777" w:rsidR="004148FD" w:rsidRDefault="004148FD" w:rsidP="00EF5D0D">
      <w:pPr>
        <w:spacing w:line="360" w:lineRule="auto"/>
        <w:jc w:val="both"/>
        <w:rPr>
          <w:rFonts w:ascii="Century Gothic" w:hAnsi="Century Gothic"/>
          <w:sz w:val="24"/>
          <w:szCs w:val="24"/>
        </w:rPr>
      </w:pPr>
    </w:p>
    <w:p w14:paraId="3066E154" w14:textId="77777777" w:rsidR="004148FD" w:rsidRDefault="004148FD" w:rsidP="00EF5D0D">
      <w:pPr>
        <w:spacing w:line="360" w:lineRule="auto"/>
        <w:jc w:val="both"/>
        <w:rPr>
          <w:rFonts w:ascii="Century Gothic" w:hAnsi="Century Gothic"/>
          <w:sz w:val="24"/>
          <w:szCs w:val="24"/>
        </w:rPr>
      </w:pPr>
    </w:p>
    <w:p w14:paraId="71865527" w14:textId="18117EC3"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Es importante tener en cuenta que, al menos, </w:t>
      </w:r>
      <w:r w:rsidRPr="00173608">
        <w:rPr>
          <w:rFonts w:ascii="Century Gothic" w:hAnsi="Century Gothic"/>
          <w:b/>
          <w:bCs/>
          <w:sz w:val="24"/>
          <w:szCs w:val="24"/>
        </w:rPr>
        <w:t xml:space="preserve">un tercio de las mujeres maltratadas que buscan ayuda o presentan denuncias </w:t>
      </w:r>
      <w:r w:rsidR="00173608">
        <w:rPr>
          <w:rFonts w:ascii="Century Gothic" w:hAnsi="Century Gothic"/>
          <w:b/>
          <w:bCs/>
          <w:sz w:val="24"/>
          <w:szCs w:val="24"/>
        </w:rPr>
        <w:t xml:space="preserve">lamentablemente </w:t>
      </w:r>
      <w:r w:rsidRPr="00173608">
        <w:rPr>
          <w:rFonts w:ascii="Century Gothic" w:hAnsi="Century Gothic"/>
          <w:b/>
          <w:bCs/>
          <w:sz w:val="24"/>
          <w:szCs w:val="24"/>
        </w:rPr>
        <w:t>siguen viviendo con el agresor</w:t>
      </w:r>
      <w:r w:rsidRPr="00EF5D0D">
        <w:rPr>
          <w:rFonts w:ascii="Century Gothic" w:hAnsi="Century Gothic"/>
          <w:sz w:val="24"/>
          <w:szCs w:val="24"/>
        </w:rPr>
        <w:t>. Incluso aquellas parejas que logran poner fin a la relación tienen una alta probabilidad de reincidir, ya sea como víctimas o victimarios, en futuras relaciones.</w:t>
      </w:r>
    </w:p>
    <w:p w14:paraId="497DBB18" w14:textId="77777777" w:rsidR="00EF5D0D" w:rsidRPr="00EF5D0D" w:rsidRDefault="00EF5D0D" w:rsidP="00EF5D0D">
      <w:pPr>
        <w:spacing w:line="360" w:lineRule="auto"/>
        <w:jc w:val="both"/>
        <w:rPr>
          <w:rFonts w:ascii="Century Gothic" w:hAnsi="Century Gothic"/>
          <w:sz w:val="24"/>
          <w:szCs w:val="24"/>
        </w:rPr>
      </w:pPr>
    </w:p>
    <w:p w14:paraId="777F605B" w14:textId="77777777"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Asistir psicológicamente a la víctima es esencial, pero prescindir de la ayuda al agresor violento sería insuficiente. La intervención debe ser integral, abordando tanto las necesidades de la víctima como trabajando con los agresores para prevenir la reincidencia y contribuir a la construcción de relaciones más saludables en el futuro, </w:t>
      </w:r>
      <w:proofErr w:type="gramStart"/>
      <w:r w:rsidRPr="00EF5D0D">
        <w:rPr>
          <w:rFonts w:ascii="Century Gothic" w:hAnsi="Century Gothic"/>
          <w:sz w:val="24"/>
          <w:szCs w:val="24"/>
        </w:rPr>
        <w:t>pero</w:t>
      </w:r>
      <w:proofErr w:type="gramEnd"/>
      <w:r w:rsidRPr="00EF5D0D">
        <w:rPr>
          <w:rFonts w:ascii="Century Gothic" w:hAnsi="Century Gothic"/>
          <w:sz w:val="24"/>
          <w:szCs w:val="24"/>
        </w:rPr>
        <w:t xml:space="preserve"> sobre todo, que pronto acabemos con esta pandemia tan vil de violencia contra las mujeres.</w:t>
      </w:r>
    </w:p>
    <w:p w14:paraId="6CA07EB0" w14:textId="77777777" w:rsidR="00EF5D0D" w:rsidRPr="00EF5D0D" w:rsidRDefault="00EF5D0D" w:rsidP="00EF5D0D">
      <w:pPr>
        <w:spacing w:line="360" w:lineRule="auto"/>
        <w:jc w:val="both"/>
        <w:rPr>
          <w:rFonts w:ascii="Century Gothic" w:hAnsi="Century Gothic"/>
          <w:sz w:val="24"/>
          <w:szCs w:val="24"/>
        </w:rPr>
      </w:pPr>
    </w:p>
    <w:p w14:paraId="64291B0C" w14:textId="77777777"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Cabe destacar que los primeros programas para maltratadores surgieron a partir de la década de los 70s, siendo impulsados por feministas y defensores de las víctimas. Estos defensores y defensoras consideraron que proporcionar ayuda exclusivamente a la mujer, sin abordar la conducta del agresor, no constituye la solución más efectiva. Como se ha señalado previamente, identificar y tratar a los agresores no es menos importante que brindar apoyo a las víctimas.</w:t>
      </w:r>
    </w:p>
    <w:p w14:paraId="17FF97F8" w14:textId="77777777" w:rsidR="00EF5D0D" w:rsidRPr="00EF5D0D" w:rsidRDefault="00EF5D0D" w:rsidP="00EF5D0D">
      <w:pPr>
        <w:spacing w:line="360" w:lineRule="auto"/>
        <w:jc w:val="both"/>
        <w:rPr>
          <w:rFonts w:ascii="Century Gothic" w:hAnsi="Century Gothic"/>
          <w:sz w:val="24"/>
          <w:szCs w:val="24"/>
        </w:rPr>
      </w:pPr>
    </w:p>
    <w:p w14:paraId="07E65385" w14:textId="77777777" w:rsidR="00173608" w:rsidRDefault="00173608" w:rsidP="00EF5D0D">
      <w:pPr>
        <w:spacing w:line="360" w:lineRule="auto"/>
        <w:jc w:val="both"/>
        <w:rPr>
          <w:rFonts w:ascii="Century Gothic" w:hAnsi="Century Gothic"/>
          <w:sz w:val="24"/>
          <w:szCs w:val="24"/>
        </w:rPr>
      </w:pPr>
    </w:p>
    <w:p w14:paraId="78D37362" w14:textId="77777777" w:rsidR="00173608" w:rsidRDefault="00173608" w:rsidP="00EF5D0D">
      <w:pPr>
        <w:spacing w:line="360" w:lineRule="auto"/>
        <w:jc w:val="both"/>
        <w:rPr>
          <w:rFonts w:ascii="Century Gothic" w:hAnsi="Century Gothic"/>
          <w:sz w:val="24"/>
          <w:szCs w:val="24"/>
        </w:rPr>
      </w:pPr>
    </w:p>
    <w:p w14:paraId="54C4E9BD" w14:textId="77777777" w:rsidR="00173608" w:rsidRDefault="00173608" w:rsidP="00EF5D0D">
      <w:pPr>
        <w:spacing w:line="360" w:lineRule="auto"/>
        <w:jc w:val="both"/>
        <w:rPr>
          <w:rFonts w:ascii="Century Gothic" w:hAnsi="Century Gothic"/>
          <w:sz w:val="24"/>
          <w:szCs w:val="24"/>
        </w:rPr>
      </w:pPr>
    </w:p>
    <w:p w14:paraId="5F6D1CEF" w14:textId="77777777" w:rsidR="00173608" w:rsidRDefault="00173608" w:rsidP="00EF5D0D">
      <w:pPr>
        <w:spacing w:line="360" w:lineRule="auto"/>
        <w:jc w:val="both"/>
        <w:rPr>
          <w:rFonts w:ascii="Century Gothic" w:hAnsi="Century Gothic"/>
          <w:sz w:val="24"/>
          <w:szCs w:val="24"/>
        </w:rPr>
      </w:pPr>
    </w:p>
    <w:p w14:paraId="4375BB31" w14:textId="2147ED73"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En la actualidad, existe una amplia gama de modelos de tratamiento para maltratadores, cada uno fundamentado en diferentes perspectivas teóricas. En la práctica, es común que los programas de tratamiento para maltratadores utilicen componentes de diferentes modelos teóricos, aunque la mayoría de ellos están basados en enfoques feministas e incorporan nociones cognitivo/conductuales.</w:t>
      </w:r>
    </w:p>
    <w:p w14:paraId="169B2630" w14:textId="77777777" w:rsidR="00EF5D0D" w:rsidRPr="00EF5D0D" w:rsidRDefault="00EF5D0D" w:rsidP="00EF5D0D">
      <w:pPr>
        <w:spacing w:line="360" w:lineRule="auto"/>
        <w:jc w:val="both"/>
        <w:rPr>
          <w:rFonts w:ascii="Century Gothic" w:hAnsi="Century Gothic"/>
          <w:sz w:val="24"/>
          <w:szCs w:val="24"/>
        </w:rPr>
      </w:pPr>
    </w:p>
    <w:p w14:paraId="5914BBAE" w14:textId="77777777"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Estos programas parten del entendimiento de que la violencia es parte de un conjunto de estrategias que los hombres emplean para controlar a sus parejas, buscando así modificar dichos patrones de comportamiento y contribuir a la erradicación de la violencia de género.</w:t>
      </w:r>
    </w:p>
    <w:p w14:paraId="0B70DD8D" w14:textId="77777777" w:rsidR="00EF5D0D" w:rsidRPr="00EF5D0D" w:rsidRDefault="00EF5D0D" w:rsidP="00EF5D0D">
      <w:pPr>
        <w:spacing w:line="360" w:lineRule="auto"/>
        <w:jc w:val="both"/>
        <w:rPr>
          <w:rFonts w:ascii="Century Gothic" w:hAnsi="Century Gothic"/>
          <w:sz w:val="24"/>
          <w:szCs w:val="24"/>
        </w:rPr>
      </w:pPr>
    </w:p>
    <w:p w14:paraId="12F12EBC" w14:textId="77777777" w:rsidR="00173608"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Adicionalmente, es relevante destacar que, en la actualidad, según datos de la Organización Mundial de la Salud, 39 países, </w:t>
      </w:r>
      <w:r w:rsidRPr="00173608">
        <w:rPr>
          <w:rFonts w:ascii="Century Gothic" w:hAnsi="Century Gothic"/>
          <w:b/>
          <w:bCs/>
          <w:sz w:val="24"/>
          <w:szCs w:val="24"/>
        </w:rPr>
        <w:t>incluyendo México</w:t>
      </w:r>
      <w:r w:rsidRPr="00EF5D0D">
        <w:rPr>
          <w:rFonts w:ascii="Century Gothic" w:hAnsi="Century Gothic"/>
          <w:sz w:val="24"/>
          <w:szCs w:val="24"/>
        </w:rPr>
        <w:t xml:space="preserve">, cuentan con programas de tratamiento para hombres violentos. </w:t>
      </w:r>
    </w:p>
    <w:p w14:paraId="4CB5447A" w14:textId="77777777" w:rsidR="00173608" w:rsidRDefault="00173608" w:rsidP="00EF5D0D">
      <w:pPr>
        <w:spacing w:line="360" w:lineRule="auto"/>
        <w:jc w:val="both"/>
        <w:rPr>
          <w:rFonts w:ascii="Century Gothic" w:hAnsi="Century Gothic"/>
          <w:sz w:val="24"/>
          <w:szCs w:val="24"/>
        </w:rPr>
      </w:pPr>
    </w:p>
    <w:p w14:paraId="03F02DD0" w14:textId="499AA4E8"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Es esencial reconocer que ninguno de estos programas puede garantizar la recuperación de hombres considerados irrecuperables, ni asegurar la paz familiar sin separación, ni disminuir la necesidad de protección a las mujeres víctimas.</w:t>
      </w:r>
    </w:p>
    <w:p w14:paraId="301A31E5" w14:textId="77777777" w:rsidR="00EF5D0D" w:rsidRPr="00EF5D0D" w:rsidRDefault="00EF5D0D" w:rsidP="00EF5D0D">
      <w:pPr>
        <w:spacing w:line="360" w:lineRule="auto"/>
        <w:jc w:val="both"/>
        <w:rPr>
          <w:rFonts w:ascii="Century Gothic" w:hAnsi="Century Gothic"/>
          <w:sz w:val="24"/>
          <w:szCs w:val="24"/>
        </w:rPr>
      </w:pPr>
    </w:p>
    <w:p w14:paraId="5F9E216D" w14:textId="77777777" w:rsidR="00173608" w:rsidRDefault="00173608" w:rsidP="00EF5D0D">
      <w:pPr>
        <w:spacing w:line="360" w:lineRule="auto"/>
        <w:jc w:val="both"/>
        <w:rPr>
          <w:rFonts w:ascii="Century Gothic" w:hAnsi="Century Gothic"/>
          <w:sz w:val="24"/>
          <w:szCs w:val="24"/>
        </w:rPr>
      </w:pPr>
    </w:p>
    <w:p w14:paraId="3ABAD069" w14:textId="77777777" w:rsidR="00173608" w:rsidRDefault="00173608" w:rsidP="00EF5D0D">
      <w:pPr>
        <w:spacing w:line="360" w:lineRule="auto"/>
        <w:jc w:val="both"/>
        <w:rPr>
          <w:rFonts w:ascii="Century Gothic" w:hAnsi="Century Gothic"/>
          <w:sz w:val="24"/>
          <w:szCs w:val="24"/>
        </w:rPr>
      </w:pPr>
    </w:p>
    <w:p w14:paraId="6B35031D" w14:textId="77777777" w:rsidR="00173608" w:rsidRDefault="00173608" w:rsidP="00EF5D0D">
      <w:pPr>
        <w:spacing w:line="360" w:lineRule="auto"/>
        <w:jc w:val="both"/>
        <w:rPr>
          <w:rFonts w:ascii="Century Gothic" w:hAnsi="Century Gothic"/>
          <w:sz w:val="24"/>
          <w:szCs w:val="24"/>
        </w:rPr>
      </w:pPr>
    </w:p>
    <w:p w14:paraId="0CF85E77" w14:textId="77777777" w:rsidR="00173608" w:rsidRDefault="00173608" w:rsidP="00EF5D0D">
      <w:pPr>
        <w:spacing w:line="360" w:lineRule="auto"/>
        <w:jc w:val="both"/>
        <w:rPr>
          <w:rFonts w:ascii="Century Gothic" w:hAnsi="Century Gothic"/>
          <w:sz w:val="24"/>
          <w:szCs w:val="24"/>
        </w:rPr>
      </w:pPr>
    </w:p>
    <w:p w14:paraId="77F8F3E8" w14:textId="504A1E66"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Además, estos programas </w:t>
      </w:r>
      <w:r w:rsidRPr="00173608">
        <w:rPr>
          <w:rFonts w:ascii="Century Gothic" w:hAnsi="Century Gothic"/>
          <w:b/>
          <w:bCs/>
          <w:sz w:val="24"/>
          <w:szCs w:val="24"/>
        </w:rPr>
        <w:t>no deben generar falsas expectativas de seguridad para las mujeres</w:t>
      </w:r>
      <w:r w:rsidRPr="00EF5D0D">
        <w:rPr>
          <w:rFonts w:ascii="Century Gothic" w:hAnsi="Century Gothic"/>
          <w:sz w:val="24"/>
          <w:szCs w:val="24"/>
        </w:rPr>
        <w:t xml:space="preserve"> ni eximir a las autoridades públicas de la aplicación de acciones judiciales necesarias. En términos generales, la motivación para el cambio en los hombres suele ser baja, y muchos acuden a estos programas por sanción o como una estrategia para retener a sus parejas. Sin embargo, un programa adecuado </w:t>
      </w:r>
      <w:r w:rsidR="00173608">
        <w:rPr>
          <w:rFonts w:ascii="Century Gothic" w:hAnsi="Century Gothic"/>
          <w:sz w:val="24"/>
          <w:szCs w:val="24"/>
        </w:rPr>
        <w:t xml:space="preserve">pero obligatorio, </w:t>
      </w:r>
      <w:r w:rsidRPr="00EF5D0D">
        <w:rPr>
          <w:rFonts w:ascii="Century Gothic" w:hAnsi="Century Gothic"/>
          <w:sz w:val="24"/>
          <w:szCs w:val="24"/>
        </w:rPr>
        <w:t>puede representar la oportunidad para generar conciencia en los agresores y hacerlos responsables de su conducta.</w:t>
      </w:r>
    </w:p>
    <w:p w14:paraId="24B203B1" w14:textId="77777777" w:rsidR="00EF5D0D" w:rsidRPr="00EF5D0D" w:rsidRDefault="00EF5D0D" w:rsidP="00EF5D0D">
      <w:pPr>
        <w:spacing w:line="360" w:lineRule="auto"/>
        <w:jc w:val="both"/>
        <w:rPr>
          <w:rFonts w:ascii="Century Gothic" w:hAnsi="Century Gothic"/>
          <w:sz w:val="24"/>
          <w:szCs w:val="24"/>
        </w:rPr>
      </w:pPr>
    </w:p>
    <w:p w14:paraId="5C44733E" w14:textId="77777777"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La duración del programa parece estar correlacionada con mejores resultados, destacando la importancia de la continuidad en la intervención para lograr cambios significativos en el comportamiento de los agresores.</w:t>
      </w:r>
    </w:p>
    <w:p w14:paraId="4905F87A" w14:textId="77777777" w:rsidR="00EF5D0D" w:rsidRPr="00EF5D0D" w:rsidRDefault="00EF5D0D" w:rsidP="00EF5D0D">
      <w:pPr>
        <w:spacing w:line="360" w:lineRule="auto"/>
        <w:jc w:val="both"/>
        <w:rPr>
          <w:rFonts w:ascii="Century Gothic" w:hAnsi="Century Gothic"/>
          <w:sz w:val="24"/>
          <w:szCs w:val="24"/>
        </w:rPr>
      </w:pPr>
    </w:p>
    <w:p w14:paraId="7DFD4FE6" w14:textId="467D078C"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Es fundamental reconocer que el contexto cultural y social en el que se implementa el modelo requerirá adaptaciones para ajustarse a la realidad de cada comunidad, considerando factores como la diversidad étnica, contextos sociales, poblaciones de inmigrantes, entre otros.</w:t>
      </w:r>
    </w:p>
    <w:p w14:paraId="79EF1A32" w14:textId="77777777" w:rsidR="00EF5D0D" w:rsidRPr="00EF5D0D" w:rsidRDefault="00EF5D0D" w:rsidP="00EF5D0D">
      <w:pPr>
        <w:spacing w:line="360" w:lineRule="auto"/>
        <w:jc w:val="both"/>
        <w:rPr>
          <w:rFonts w:ascii="Century Gothic" w:hAnsi="Century Gothic"/>
          <w:sz w:val="24"/>
          <w:szCs w:val="24"/>
        </w:rPr>
      </w:pPr>
    </w:p>
    <w:p w14:paraId="587927A4" w14:textId="77777777" w:rsidR="00173608"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Por último, la intervención conjunta de diversos actores sociales es esencial para prevenir y detener la violencia hacia las mujeres. La combinación de leyes y acciones judiciales, el respaldo a las víctimas en aspectos legales, </w:t>
      </w:r>
    </w:p>
    <w:p w14:paraId="0ACD9004" w14:textId="77777777" w:rsidR="00173608" w:rsidRDefault="00173608" w:rsidP="00EF5D0D">
      <w:pPr>
        <w:spacing w:line="360" w:lineRule="auto"/>
        <w:jc w:val="both"/>
        <w:rPr>
          <w:rFonts w:ascii="Century Gothic" w:hAnsi="Century Gothic"/>
          <w:sz w:val="24"/>
          <w:szCs w:val="24"/>
        </w:rPr>
      </w:pPr>
    </w:p>
    <w:p w14:paraId="18C673D5" w14:textId="77777777" w:rsidR="00173608" w:rsidRDefault="00173608" w:rsidP="00EF5D0D">
      <w:pPr>
        <w:spacing w:line="360" w:lineRule="auto"/>
        <w:jc w:val="both"/>
        <w:rPr>
          <w:rFonts w:ascii="Century Gothic" w:hAnsi="Century Gothic"/>
          <w:sz w:val="24"/>
          <w:szCs w:val="24"/>
        </w:rPr>
      </w:pPr>
    </w:p>
    <w:p w14:paraId="5E436C15" w14:textId="77777777" w:rsidR="00173608" w:rsidRDefault="00173608" w:rsidP="00EF5D0D">
      <w:pPr>
        <w:spacing w:line="360" w:lineRule="auto"/>
        <w:jc w:val="both"/>
        <w:rPr>
          <w:rFonts w:ascii="Century Gothic" w:hAnsi="Century Gothic"/>
          <w:sz w:val="24"/>
          <w:szCs w:val="24"/>
        </w:rPr>
      </w:pPr>
    </w:p>
    <w:p w14:paraId="2EB90DA7" w14:textId="77777777" w:rsidR="00173608" w:rsidRDefault="00173608" w:rsidP="00EF5D0D">
      <w:pPr>
        <w:spacing w:line="360" w:lineRule="auto"/>
        <w:jc w:val="both"/>
        <w:rPr>
          <w:rFonts w:ascii="Century Gothic" w:hAnsi="Century Gothic"/>
          <w:sz w:val="24"/>
          <w:szCs w:val="24"/>
        </w:rPr>
      </w:pPr>
    </w:p>
    <w:p w14:paraId="64CCE2E1" w14:textId="5B9643EF"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 xml:space="preserve">médicos, psicológicos y sociales, las campañas de prevención, así como el tratamiento de los maltratadores, constituyen diferentes facetas interrelacionadas de una </w:t>
      </w:r>
      <w:r w:rsidRPr="00173608">
        <w:rPr>
          <w:rFonts w:ascii="Century Gothic" w:hAnsi="Century Gothic"/>
          <w:b/>
          <w:bCs/>
          <w:sz w:val="24"/>
          <w:szCs w:val="24"/>
        </w:rPr>
        <w:t>estrategia integral</w:t>
      </w:r>
      <w:r w:rsidRPr="00EF5D0D">
        <w:rPr>
          <w:rFonts w:ascii="Century Gothic" w:hAnsi="Century Gothic"/>
          <w:sz w:val="24"/>
          <w:szCs w:val="24"/>
        </w:rPr>
        <w:t xml:space="preserve"> para abordar este problema.</w:t>
      </w:r>
    </w:p>
    <w:p w14:paraId="17298BDC" w14:textId="77777777" w:rsidR="00173608" w:rsidRDefault="00173608" w:rsidP="00EF5D0D">
      <w:pPr>
        <w:spacing w:line="360" w:lineRule="auto"/>
        <w:jc w:val="both"/>
        <w:rPr>
          <w:rFonts w:ascii="Century Gothic" w:hAnsi="Century Gothic"/>
          <w:sz w:val="24"/>
          <w:szCs w:val="24"/>
        </w:rPr>
      </w:pPr>
    </w:p>
    <w:p w14:paraId="454F3F4C" w14:textId="256F3D2D" w:rsidR="00EF5D0D" w:rsidRPr="00EF5D0D" w:rsidRDefault="00EF5D0D" w:rsidP="00EF5D0D">
      <w:pPr>
        <w:spacing w:line="360" w:lineRule="auto"/>
        <w:jc w:val="both"/>
        <w:rPr>
          <w:rFonts w:ascii="Century Gothic" w:hAnsi="Century Gothic"/>
          <w:sz w:val="24"/>
          <w:szCs w:val="24"/>
        </w:rPr>
      </w:pPr>
      <w:r w:rsidRPr="00EF5D0D">
        <w:rPr>
          <w:rFonts w:ascii="Century Gothic" w:hAnsi="Century Gothic"/>
          <w:sz w:val="24"/>
          <w:szCs w:val="24"/>
        </w:rPr>
        <w:t>Agradezco su atención a este asunto de vital importancia y confío en que, juntos</w:t>
      </w:r>
      <w:r w:rsidR="00173608">
        <w:rPr>
          <w:rFonts w:ascii="Century Gothic" w:hAnsi="Century Gothic"/>
          <w:sz w:val="24"/>
          <w:szCs w:val="24"/>
        </w:rPr>
        <w:t xml:space="preserve"> y juntas</w:t>
      </w:r>
      <w:r w:rsidRPr="00EF5D0D">
        <w:rPr>
          <w:rFonts w:ascii="Century Gothic" w:hAnsi="Century Gothic"/>
          <w:sz w:val="24"/>
          <w:szCs w:val="24"/>
        </w:rPr>
        <w:t xml:space="preserve">, podamos contribuir significativamente a la erradicación de la violencia </w:t>
      </w:r>
      <w:r w:rsidR="00173608">
        <w:rPr>
          <w:rFonts w:ascii="Century Gothic" w:hAnsi="Century Gothic"/>
          <w:sz w:val="24"/>
          <w:szCs w:val="24"/>
        </w:rPr>
        <w:t xml:space="preserve">contra las mujeres </w:t>
      </w:r>
      <w:r w:rsidRPr="00EF5D0D">
        <w:rPr>
          <w:rFonts w:ascii="Century Gothic" w:hAnsi="Century Gothic"/>
          <w:sz w:val="24"/>
          <w:szCs w:val="24"/>
        </w:rPr>
        <w:t>en nuestra sociedad.</w:t>
      </w:r>
    </w:p>
    <w:p w14:paraId="76FCA37F" w14:textId="378AA5B0" w:rsidR="00B41209" w:rsidRDefault="00B41209" w:rsidP="00EF5D0D">
      <w:pPr>
        <w:spacing w:line="360" w:lineRule="auto"/>
        <w:jc w:val="both"/>
        <w:rPr>
          <w:rFonts w:ascii="Century Gothic" w:hAnsi="Century Gothic"/>
          <w:sz w:val="24"/>
          <w:szCs w:val="24"/>
        </w:rPr>
      </w:pPr>
    </w:p>
    <w:p w14:paraId="5D032F92" w14:textId="29F000E7" w:rsidR="00173608" w:rsidRPr="00EF5D0D" w:rsidRDefault="00173608" w:rsidP="00EF5D0D">
      <w:pPr>
        <w:spacing w:line="360" w:lineRule="auto"/>
        <w:jc w:val="both"/>
        <w:rPr>
          <w:rFonts w:ascii="Century Gothic" w:eastAsia="Arial" w:hAnsi="Century Gothic" w:cs="Arial"/>
          <w:b/>
          <w:sz w:val="24"/>
          <w:szCs w:val="24"/>
        </w:rPr>
      </w:pPr>
      <w:r>
        <w:rPr>
          <w:rFonts w:ascii="Century Gothic" w:hAnsi="Century Gothic"/>
          <w:sz w:val="24"/>
          <w:szCs w:val="24"/>
        </w:rPr>
        <w:t xml:space="preserve">Por lo anteriormente expuesto, someto a su consideración el siguiente proyecto de: </w:t>
      </w:r>
    </w:p>
    <w:p w14:paraId="5519434F" w14:textId="77777777" w:rsidR="00B41209" w:rsidRPr="00EF5D0D" w:rsidRDefault="00B41209" w:rsidP="00173608">
      <w:pPr>
        <w:spacing w:line="360" w:lineRule="auto"/>
        <w:jc w:val="center"/>
        <w:rPr>
          <w:rFonts w:ascii="Century Gothic" w:eastAsia="Arial" w:hAnsi="Century Gothic" w:cs="Arial"/>
          <w:b/>
          <w:sz w:val="24"/>
          <w:szCs w:val="24"/>
        </w:rPr>
      </w:pPr>
    </w:p>
    <w:p w14:paraId="6ED917B3" w14:textId="4B07A485" w:rsidR="00523431" w:rsidRDefault="008C70DE" w:rsidP="00173608">
      <w:pPr>
        <w:spacing w:line="360" w:lineRule="auto"/>
        <w:jc w:val="center"/>
        <w:rPr>
          <w:rFonts w:ascii="Century Gothic" w:eastAsia="Arial" w:hAnsi="Century Gothic" w:cs="Arial"/>
          <w:b/>
          <w:sz w:val="24"/>
          <w:szCs w:val="24"/>
        </w:rPr>
      </w:pPr>
      <w:r w:rsidRPr="00EF5D0D">
        <w:rPr>
          <w:rFonts w:ascii="Century Gothic" w:eastAsia="Arial" w:hAnsi="Century Gothic" w:cs="Arial"/>
          <w:b/>
          <w:sz w:val="24"/>
          <w:szCs w:val="24"/>
        </w:rPr>
        <w:t>DECRETO</w:t>
      </w:r>
    </w:p>
    <w:p w14:paraId="7F3F6A2A" w14:textId="77777777" w:rsidR="00173608" w:rsidRPr="00EF5D0D" w:rsidRDefault="00173608" w:rsidP="00173608">
      <w:pPr>
        <w:spacing w:line="360" w:lineRule="auto"/>
        <w:jc w:val="center"/>
        <w:rPr>
          <w:rFonts w:ascii="Century Gothic" w:eastAsia="Arial" w:hAnsi="Century Gothic" w:cs="Arial"/>
          <w:b/>
          <w:sz w:val="24"/>
          <w:szCs w:val="24"/>
        </w:rPr>
      </w:pPr>
    </w:p>
    <w:p w14:paraId="26145EB1" w14:textId="085E0E03" w:rsidR="008C70DE" w:rsidRPr="00EF5D0D" w:rsidRDefault="00BA1A34" w:rsidP="00EF5D0D">
      <w:pPr>
        <w:spacing w:line="360" w:lineRule="auto"/>
        <w:jc w:val="both"/>
        <w:rPr>
          <w:rFonts w:ascii="Century Gothic" w:eastAsia="Arial" w:hAnsi="Century Gothic" w:cs="Arial"/>
          <w:sz w:val="24"/>
          <w:szCs w:val="24"/>
        </w:rPr>
      </w:pPr>
      <w:r w:rsidRPr="00EF5D0D">
        <w:rPr>
          <w:rFonts w:ascii="Century Gothic" w:eastAsia="Arial" w:hAnsi="Century Gothic" w:cs="Arial"/>
          <w:b/>
          <w:sz w:val="24"/>
          <w:szCs w:val="24"/>
        </w:rPr>
        <w:t>ARTÍCULO</w:t>
      </w:r>
      <w:r w:rsidR="00523431" w:rsidRPr="00EF5D0D">
        <w:rPr>
          <w:rFonts w:ascii="Century Gothic" w:eastAsia="Arial" w:hAnsi="Century Gothic" w:cs="Arial"/>
          <w:b/>
          <w:sz w:val="24"/>
          <w:szCs w:val="24"/>
        </w:rPr>
        <w:t xml:space="preserve"> </w:t>
      </w:r>
      <w:proofErr w:type="gramStart"/>
      <w:r w:rsidR="00523431" w:rsidRPr="00EF5D0D">
        <w:rPr>
          <w:rFonts w:ascii="Century Gothic" w:eastAsia="Arial" w:hAnsi="Century Gothic" w:cs="Arial"/>
          <w:b/>
          <w:sz w:val="24"/>
          <w:szCs w:val="24"/>
        </w:rPr>
        <w:t>ÚNICO.-</w:t>
      </w:r>
      <w:proofErr w:type="gramEnd"/>
      <w:r w:rsidR="00523431" w:rsidRPr="00EF5D0D">
        <w:rPr>
          <w:rFonts w:ascii="Century Gothic" w:eastAsia="Arial" w:hAnsi="Century Gothic" w:cs="Arial"/>
          <w:b/>
          <w:sz w:val="24"/>
          <w:szCs w:val="24"/>
        </w:rPr>
        <w:t xml:space="preserve"> </w:t>
      </w:r>
      <w:r w:rsidR="00173608" w:rsidRPr="00173608">
        <w:rPr>
          <w:rFonts w:ascii="Century Gothic" w:eastAsia="Arial" w:hAnsi="Century Gothic" w:cs="Arial"/>
          <w:b/>
          <w:bCs/>
          <w:sz w:val="24"/>
          <w:szCs w:val="24"/>
        </w:rPr>
        <w:t>SE ADICIONA LA FRACCIÓN XV AL ARTÍCULO 195 DEL CÓDIGO NACIONAL DE PROCEDIMIENTOS PENALES, RELATIVO A LAS CONDICIONES POR CUMPLIR DURANTE EL PERIODO DE SUSPENSIÓN CONDICIONAL DEL PROCESO, PARA QUEDAR REDACTADO DE LA SIGUIENTE MANERA:</w:t>
      </w:r>
      <w:r w:rsidR="00173608" w:rsidRPr="00EF5D0D">
        <w:rPr>
          <w:rFonts w:ascii="Century Gothic" w:eastAsia="Arial" w:hAnsi="Century Gothic" w:cs="Arial"/>
          <w:sz w:val="24"/>
          <w:szCs w:val="24"/>
        </w:rPr>
        <w:t xml:space="preserve"> </w:t>
      </w:r>
    </w:p>
    <w:p w14:paraId="055C592E" w14:textId="77777777" w:rsidR="00B41209" w:rsidRPr="00EF5D0D" w:rsidRDefault="00B41209" w:rsidP="00EF5D0D">
      <w:pPr>
        <w:spacing w:line="360" w:lineRule="auto"/>
        <w:jc w:val="both"/>
        <w:rPr>
          <w:rFonts w:ascii="Century Gothic" w:eastAsia="Arial" w:hAnsi="Century Gothic" w:cs="Arial"/>
          <w:sz w:val="24"/>
          <w:szCs w:val="24"/>
        </w:rPr>
      </w:pPr>
    </w:p>
    <w:p w14:paraId="54B6EFA0" w14:textId="77777777" w:rsidR="00173608" w:rsidRDefault="00173608" w:rsidP="00EF5D0D">
      <w:pPr>
        <w:spacing w:line="360" w:lineRule="auto"/>
        <w:jc w:val="both"/>
        <w:rPr>
          <w:rFonts w:ascii="Century Gothic" w:hAnsi="Century Gothic"/>
          <w:b/>
          <w:iCs/>
          <w:sz w:val="24"/>
          <w:szCs w:val="24"/>
        </w:rPr>
      </w:pPr>
    </w:p>
    <w:p w14:paraId="53D64DEF" w14:textId="77777777" w:rsidR="00173608" w:rsidRDefault="00173608" w:rsidP="00EF5D0D">
      <w:pPr>
        <w:spacing w:line="360" w:lineRule="auto"/>
        <w:jc w:val="both"/>
        <w:rPr>
          <w:rFonts w:ascii="Century Gothic" w:hAnsi="Century Gothic"/>
          <w:b/>
          <w:iCs/>
          <w:sz w:val="24"/>
          <w:szCs w:val="24"/>
        </w:rPr>
      </w:pPr>
    </w:p>
    <w:p w14:paraId="33117816" w14:textId="77777777" w:rsidR="00173608" w:rsidRDefault="00173608" w:rsidP="00EF5D0D">
      <w:pPr>
        <w:spacing w:line="360" w:lineRule="auto"/>
        <w:jc w:val="both"/>
        <w:rPr>
          <w:rFonts w:ascii="Century Gothic" w:hAnsi="Century Gothic"/>
          <w:b/>
          <w:iCs/>
          <w:sz w:val="24"/>
          <w:szCs w:val="24"/>
        </w:rPr>
      </w:pPr>
    </w:p>
    <w:p w14:paraId="585C4E24" w14:textId="77777777" w:rsidR="00173608" w:rsidRDefault="00173608" w:rsidP="00EF5D0D">
      <w:pPr>
        <w:spacing w:line="360" w:lineRule="auto"/>
        <w:jc w:val="both"/>
        <w:rPr>
          <w:rFonts w:ascii="Century Gothic" w:hAnsi="Century Gothic"/>
          <w:b/>
          <w:iCs/>
          <w:sz w:val="24"/>
          <w:szCs w:val="24"/>
        </w:rPr>
      </w:pPr>
    </w:p>
    <w:p w14:paraId="5FBD39E7" w14:textId="77777777" w:rsidR="00173608" w:rsidRDefault="00173608" w:rsidP="00EF5D0D">
      <w:pPr>
        <w:spacing w:line="360" w:lineRule="auto"/>
        <w:jc w:val="both"/>
        <w:rPr>
          <w:rFonts w:ascii="Century Gothic" w:hAnsi="Century Gothic"/>
          <w:b/>
          <w:iCs/>
          <w:sz w:val="24"/>
          <w:szCs w:val="24"/>
        </w:rPr>
      </w:pPr>
    </w:p>
    <w:p w14:paraId="6B32D044" w14:textId="682EA001" w:rsidR="00B41209" w:rsidRPr="00173608" w:rsidRDefault="00B41209" w:rsidP="00EF5D0D">
      <w:pPr>
        <w:spacing w:line="360" w:lineRule="auto"/>
        <w:jc w:val="both"/>
        <w:rPr>
          <w:rFonts w:ascii="Century Gothic" w:hAnsi="Century Gothic"/>
          <w:b/>
          <w:iCs/>
          <w:sz w:val="24"/>
          <w:szCs w:val="24"/>
        </w:rPr>
      </w:pPr>
      <w:r w:rsidRPr="00173608">
        <w:rPr>
          <w:rFonts w:ascii="Century Gothic" w:hAnsi="Century Gothic"/>
          <w:b/>
          <w:iCs/>
          <w:sz w:val="24"/>
          <w:szCs w:val="24"/>
        </w:rPr>
        <w:t>ARTICULO 195. CONDICIONES POR CUMPLIR DURANTE EL PERIODO DE SUSPENSIÓN CONDICIONAL DEL PROCESO</w:t>
      </w:r>
      <w:r w:rsidRPr="00173608">
        <w:rPr>
          <w:rFonts w:ascii="Century Gothic" w:hAnsi="Century Gothic"/>
          <w:b/>
          <w:iCs/>
          <w:sz w:val="24"/>
          <w:szCs w:val="24"/>
        </w:rPr>
        <w:cr/>
      </w:r>
    </w:p>
    <w:p w14:paraId="09BCAB04" w14:textId="176CB272" w:rsidR="00523431" w:rsidRPr="00173608" w:rsidRDefault="00B41209" w:rsidP="00EF5D0D">
      <w:pPr>
        <w:spacing w:line="360" w:lineRule="auto"/>
        <w:jc w:val="both"/>
        <w:rPr>
          <w:rFonts w:ascii="Century Gothic" w:hAnsi="Century Gothic"/>
          <w:b/>
          <w:iCs/>
          <w:sz w:val="24"/>
          <w:szCs w:val="24"/>
        </w:rPr>
      </w:pPr>
      <w:r w:rsidRPr="00173608">
        <w:rPr>
          <w:rFonts w:ascii="Century Gothic" w:hAnsi="Century Gothic"/>
          <w:b/>
          <w:iCs/>
          <w:sz w:val="24"/>
          <w:szCs w:val="24"/>
        </w:rPr>
        <w:t>(…)</w:t>
      </w:r>
    </w:p>
    <w:p w14:paraId="40068F10" w14:textId="77777777" w:rsidR="00B41209" w:rsidRPr="00173608" w:rsidRDefault="00B41209" w:rsidP="00EF5D0D">
      <w:pPr>
        <w:spacing w:line="360" w:lineRule="auto"/>
        <w:jc w:val="both"/>
        <w:rPr>
          <w:rFonts w:ascii="Century Gothic" w:hAnsi="Century Gothic"/>
          <w:b/>
          <w:iCs/>
          <w:sz w:val="24"/>
          <w:szCs w:val="24"/>
        </w:rPr>
      </w:pPr>
    </w:p>
    <w:p w14:paraId="2EEC966F" w14:textId="726BAFE8" w:rsidR="00B41209" w:rsidRPr="00173608" w:rsidRDefault="00B41209" w:rsidP="00EF5D0D">
      <w:pPr>
        <w:spacing w:line="360" w:lineRule="auto"/>
        <w:jc w:val="both"/>
        <w:rPr>
          <w:rFonts w:ascii="Century Gothic" w:hAnsi="Century Gothic"/>
          <w:b/>
          <w:iCs/>
          <w:sz w:val="24"/>
          <w:szCs w:val="24"/>
        </w:rPr>
      </w:pPr>
      <w:r w:rsidRPr="00173608">
        <w:rPr>
          <w:rFonts w:ascii="Century Gothic" w:hAnsi="Century Gothic"/>
          <w:b/>
          <w:iCs/>
          <w:sz w:val="24"/>
          <w:szCs w:val="24"/>
        </w:rPr>
        <w:t>I-XIV (…)</w:t>
      </w:r>
    </w:p>
    <w:p w14:paraId="28483997" w14:textId="77777777" w:rsidR="00B41209" w:rsidRPr="00173608" w:rsidRDefault="00B41209" w:rsidP="00EF5D0D">
      <w:pPr>
        <w:spacing w:line="360" w:lineRule="auto"/>
        <w:jc w:val="both"/>
        <w:rPr>
          <w:rFonts w:ascii="Century Gothic" w:hAnsi="Century Gothic"/>
          <w:b/>
          <w:iCs/>
          <w:sz w:val="24"/>
          <w:szCs w:val="24"/>
        </w:rPr>
      </w:pPr>
    </w:p>
    <w:p w14:paraId="75D61551" w14:textId="75FCFBFF" w:rsidR="00B41209" w:rsidRPr="00173608" w:rsidRDefault="00B41209" w:rsidP="00EF5D0D">
      <w:pPr>
        <w:spacing w:line="360" w:lineRule="auto"/>
        <w:jc w:val="both"/>
        <w:rPr>
          <w:rFonts w:ascii="Century Gothic" w:hAnsi="Century Gothic"/>
          <w:b/>
          <w:iCs/>
          <w:sz w:val="24"/>
          <w:szCs w:val="24"/>
        </w:rPr>
      </w:pPr>
      <w:r w:rsidRPr="00173608">
        <w:rPr>
          <w:rFonts w:ascii="Century Gothic" w:hAnsi="Century Gothic"/>
          <w:b/>
          <w:iCs/>
          <w:sz w:val="24"/>
          <w:szCs w:val="24"/>
        </w:rPr>
        <w:t>XV. SOMETERSE A TERAPIAS O SERVICIOS REEDUCATIVOS INTEGRALES ESPECIALIZADOS Y GRATUITOS, CON PERSPECTIVA DE GÉNERO, AL AGRESOR, EN INSTITUCIONES PÚBLICAS DEBIDAMENTE ACREDITADAS.</w:t>
      </w:r>
    </w:p>
    <w:p w14:paraId="49340839" w14:textId="77777777" w:rsidR="00BA1A34" w:rsidRPr="00EF5D0D" w:rsidRDefault="00BA1A34" w:rsidP="00EF5D0D">
      <w:pPr>
        <w:spacing w:line="360" w:lineRule="auto"/>
        <w:jc w:val="both"/>
        <w:rPr>
          <w:rFonts w:ascii="Century Gothic" w:hAnsi="Century Gothic"/>
          <w:b/>
          <w:sz w:val="24"/>
          <w:szCs w:val="24"/>
        </w:rPr>
      </w:pPr>
    </w:p>
    <w:p w14:paraId="50D63F83" w14:textId="77777777" w:rsidR="00580AAA" w:rsidRPr="00EF5D0D" w:rsidRDefault="00580AAA" w:rsidP="00173608">
      <w:pPr>
        <w:spacing w:line="360" w:lineRule="auto"/>
        <w:jc w:val="center"/>
        <w:rPr>
          <w:rFonts w:ascii="Century Gothic" w:hAnsi="Century Gothic"/>
          <w:b/>
          <w:sz w:val="24"/>
          <w:szCs w:val="24"/>
        </w:rPr>
      </w:pPr>
      <w:r w:rsidRPr="00EF5D0D">
        <w:rPr>
          <w:rFonts w:ascii="Century Gothic" w:hAnsi="Century Gothic"/>
          <w:b/>
          <w:sz w:val="24"/>
          <w:szCs w:val="24"/>
        </w:rPr>
        <w:t>TRANSITORIOS:</w:t>
      </w:r>
    </w:p>
    <w:p w14:paraId="464F63F9" w14:textId="77777777" w:rsidR="00580AAA" w:rsidRPr="00EF5D0D" w:rsidRDefault="00580AAA" w:rsidP="00EF5D0D">
      <w:pPr>
        <w:spacing w:line="360" w:lineRule="auto"/>
        <w:jc w:val="both"/>
        <w:rPr>
          <w:rFonts w:ascii="Century Gothic" w:hAnsi="Century Gothic"/>
          <w:b/>
          <w:sz w:val="24"/>
          <w:szCs w:val="24"/>
        </w:rPr>
      </w:pPr>
    </w:p>
    <w:p w14:paraId="1D498327" w14:textId="14B0DE94" w:rsidR="00580AAA" w:rsidRDefault="00580AAA" w:rsidP="00EF5D0D">
      <w:pPr>
        <w:spacing w:line="360" w:lineRule="auto"/>
        <w:jc w:val="both"/>
        <w:rPr>
          <w:rFonts w:ascii="Century Gothic" w:hAnsi="Century Gothic"/>
          <w:sz w:val="24"/>
          <w:szCs w:val="24"/>
        </w:rPr>
      </w:pPr>
      <w:r w:rsidRPr="00EF5D0D">
        <w:rPr>
          <w:rFonts w:ascii="Century Gothic" w:hAnsi="Century Gothic"/>
          <w:b/>
          <w:sz w:val="24"/>
          <w:szCs w:val="24"/>
        </w:rPr>
        <w:t>ÚNICO:</w:t>
      </w:r>
      <w:r w:rsidRPr="00EF5D0D">
        <w:rPr>
          <w:rFonts w:ascii="Century Gothic" w:hAnsi="Century Gothic"/>
          <w:sz w:val="24"/>
          <w:szCs w:val="24"/>
        </w:rPr>
        <w:t xml:space="preserve"> </w:t>
      </w:r>
      <w:r w:rsidR="00173608" w:rsidRPr="00173608">
        <w:rPr>
          <w:rFonts w:ascii="Century Gothic" w:hAnsi="Century Gothic"/>
          <w:sz w:val="24"/>
          <w:szCs w:val="24"/>
        </w:rPr>
        <w:t>El presente decreto entrará en vigor al día siguiente de su publicación en el Diario Oficial de la Federación.</w:t>
      </w:r>
    </w:p>
    <w:p w14:paraId="60578105" w14:textId="77777777" w:rsidR="00173608" w:rsidRPr="00EF5D0D" w:rsidRDefault="00173608" w:rsidP="00EF5D0D">
      <w:pPr>
        <w:spacing w:line="360" w:lineRule="auto"/>
        <w:jc w:val="both"/>
        <w:rPr>
          <w:rFonts w:ascii="Century Gothic" w:hAnsi="Century Gothic"/>
          <w:sz w:val="24"/>
          <w:szCs w:val="24"/>
        </w:rPr>
      </w:pPr>
    </w:p>
    <w:p w14:paraId="283932D4" w14:textId="17FD91EF" w:rsidR="00580AAA" w:rsidRPr="00EF5D0D" w:rsidRDefault="00580AAA" w:rsidP="00EF5D0D">
      <w:pPr>
        <w:spacing w:line="360" w:lineRule="auto"/>
        <w:jc w:val="both"/>
        <w:rPr>
          <w:rFonts w:ascii="Century Gothic" w:hAnsi="Century Gothic"/>
          <w:sz w:val="24"/>
          <w:szCs w:val="24"/>
        </w:rPr>
      </w:pPr>
      <w:r w:rsidRPr="00EF5D0D">
        <w:rPr>
          <w:rFonts w:ascii="Century Gothic" w:hAnsi="Century Gothic"/>
          <w:b/>
          <w:sz w:val="24"/>
          <w:szCs w:val="24"/>
        </w:rPr>
        <w:t>ECONÓMICO:</w:t>
      </w:r>
      <w:r w:rsidRPr="00EF5D0D">
        <w:rPr>
          <w:rFonts w:ascii="Century Gothic" w:hAnsi="Century Gothic"/>
          <w:sz w:val="24"/>
          <w:szCs w:val="24"/>
        </w:rPr>
        <w:t xml:space="preserve"> Aprobado que sea, túrnese a la Secretaría para que elabore la minuta correspondiente.</w:t>
      </w:r>
    </w:p>
    <w:p w14:paraId="1720A78D" w14:textId="77777777" w:rsidR="00580AAA" w:rsidRPr="00EF5D0D" w:rsidRDefault="00580AAA" w:rsidP="00EF5D0D">
      <w:pPr>
        <w:spacing w:line="360" w:lineRule="auto"/>
        <w:jc w:val="both"/>
        <w:rPr>
          <w:rFonts w:ascii="Century Gothic" w:hAnsi="Century Gothic"/>
          <w:b/>
          <w:sz w:val="24"/>
          <w:szCs w:val="24"/>
        </w:rPr>
      </w:pPr>
    </w:p>
    <w:p w14:paraId="67E74EFB" w14:textId="77777777" w:rsidR="00173608" w:rsidRDefault="00173608" w:rsidP="00EF5D0D">
      <w:pPr>
        <w:spacing w:line="360" w:lineRule="auto"/>
        <w:jc w:val="both"/>
        <w:rPr>
          <w:rFonts w:ascii="Century Gothic" w:hAnsi="Century Gothic"/>
          <w:b/>
          <w:sz w:val="24"/>
          <w:szCs w:val="24"/>
        </w:rPr>
      </w:pPr>
    </w:p>
    <w:p w14:paraId="06B4E00B" w14:textId="77777777" w:rsidR="00173608" w:rsidRDefault="00173608" w:rsidP="00EF5D0D">
      <w:pPr>
        <w:spacing w:line="360" w:lineRule="auto"/>
        <w:jc w:val="both"/>
        <w:rPr>
          <w:rFonts w:ascii="Century Gothic" w:hAnsi="Century Gothic"/>
          <w:b/>
          <w:sz w:val="24"/>
          <w:szCs w:val="24"/>
        </w:rPr>
      </w:pPr>
    </w:p>
    <w:p w14:paraId="7E11A713" w14:textId="77777777" w:rsidR="00173608" w:rsidRDefault="00173608" w:rsidP="00EF5D0D">
      <w:pPr>
        <w:spacing w:line="360" w:lineRule="auto"/>
        <w:jc w:val="both"/>
        <w:rPr>
          <w:rFonts w:ascii="Century Gothic" w:hAnsi="Century Gothic"/>
          <w:b/>
          <w:sz w:val="24"/>
          <w:szCs w:val="24"/>
        </w:rPr>
      </w:pPr>
    </w:p>
    <w:p w14:paraId="65752578" w14:textId="77777777" w:rsidR="00173608" w:rsidRDefault="00173608" w:rsidP="00EF5D0D">
      <w:pPr>
        <w:spacing w:line="360" w:lineRule="auto"/>
        <w:jc w:val="both"/>
        <w:rPr>
          <w:rFonts w:ascii="Century Gothic" w:hAnsi="Century Gothic"/>
          <w:b/>
          <w:sz w:val="24"/>
          <w:szCs w:val="24"/>
        </w:rPr>
      </w:pPr>
    </w:p>
    <w:p w14:paraId="5AC89BB8" w14:textId="06437892" w:rsidR="00580AAA" w:rsidRPr="00EF5D0D" w:rsidRDefault="00580AAA" w:rsidP="00EF5D0D">
      <w:pPr>
        <w:spacing w:line="360" w:lineRule="auto"/>
        <w:jc w:val="both"/>
        <w:rPr>
          <w:rFonts w:ascii="Century Gothic" w:hAnsi="Century Gothic"/>
          <w:sz w:val="24"/>
          <w:szCs w:val="24"/>
        </w:rPr>
      </w:pPr>
      <w:r w:rsidRPr="00EF5D0D">
        <w:rPr>
          <w:rFonts w:ascii="Century Gothic" w:hAnsi="Century Gothic"/>
          <w:b/>
          <w:sz w:val="24"/>
          <w:szCs w:val="24"/>
        </w:rPr>
        <w:t>DADO</w:t>
      </w:r>
      <w:r w:rsidRPr="00EF5D0D">
        <w:rPr>
          <w:rFonts w:ascii="Century Gothic" w:hAnsi="Century Gothic"/>
          <w:sz w:val="24"/>
          <w:szCs w:val="24"/>
        </w:rPr>
        <w:t xml:space="preserve"> en el salón de sesiones del Poder Legislativo de Chihuahua, a los </w:t>
      </w:r>
      <w:r w:rsidR="007347A4" w:rsidRPr="00EF5D0D">
        <w:rPr>
          <w:rFonts w:ascii="Century Gothic" w:hAnsi="Century Gothic"/>
          <w:sz w:val="24"/>
          <w:szCs w:val="24"/>
        </w:rPr>
        <w:t xml:space="preserve">12 </w:t>
      </w:r>
      <w:r w:rsidRPr="00EF5D0D">
        <w:rPr>
          <w:rFonts w:ascii="Century Gothic" w:hAnsi="Century Gothic"/>
          <w:sz w:val="24"/>
          <w:szCs w:val="24"/>
        </w:rPr>
        <w:t xml:space="preserve">días del mes de </w:t>
      </w:r>
      <w:r w:rsidR="007347A4" w:rsidRPr="00EF5D0D">
        <w:rPr>
          <w:rFonts w:ascii="Century Gothic" w:hAnsi="Century Gothic"/>
          <w:sz w:val="24"/>
          <w:szCs w:val="24"/>
        </w:rPr>
        <w:t>marz</w:t>
      </w:r>
      <w:r w:rsidR="00B42910" w:rsidRPr="00EF5D0D">
        <w:rPr>
          <w:rFonts w:ascii="Century Gothic" w:hAnsi="Century Gothic"/>
          <w:sz w:val="24"/>
          <w:szCs w:val="24"/>
        </w:rPr>
        <w:t>o del año dos mil veinticuatro</w:t>
      </w:r>
      <w:r w:rsidRPr="00EF5D0D">
        <w:rPr>
          <w:rFonts w:ascii="Century Gothic" w:hAnsi="Century Gothic"/>
          <w:sz w:val="24"/>
          <w:szCs w:val="24"/>
        </w:rPr>
        <w:t xml:space="preserve">. </w:t>
      </w:r>
    </w:p>
    <w:p w14:paraId="5D0AD754" w14:textId="2B881177" w:rsidR="00580AAA" w:rsidRDefault="00580AAA" w:rsidP="00EF5D0D">
      <w:pPr>
        <w:spacing w:line="360" w:lineRule="auto"/>
        <w:jc w:val="both"/>
        <w:rPr>
          <w:rFonts w:ascii="Century Gothic" w:hAnsi="Century Gothic"/>
          <w:sz w:val="24"/>
          <w:szCs w:val="24"/>
        </w:rPr>
      </w:pPr>
    </w:p>
    <w:p w14:paraId="1E12C272" w14:textId="122B5CC0" w:rsidR="00173608" w:rsidRDefault="00173608" w:rsidP="00173608">
      <w:pPr>
        <w:spacing w:line="360" w:lineRule="auto"/>
        <w:jc w:val="center"/>
        <w:rPr>
          <w:rFonts w:ascii="Century Gothic" w:hAnsi="Century Gothic"/>
          <w:b/>
          <w:bCs/>
          <w:sz w:val="24"/>
          <w:szCs w:val="24"/>
        </w:rPr>
      </w:pPr>
      <w:r w:rsidRPr="00173608">
        <w:rPr>
          <w:rFonts w:ascii="Century Gothic" w:hAnsi="Century Gothic"/>
          <w:b/>
          <w:bCs/>
          <w:sz w:val="24"/>
          <w:szCs w:val="24"/>
        </w:rPr>
        <w:t>ATENTAMENTE</w:t>
      </w:r>
    </w:p>
    <w:p w14:paraId="2491E06F" w14:textId="0B5BBC06" w:rsidR="00173608" w:rsidRDefault="00173608" w:rsidP="00173608">
      <w:pPr>
        <w:spacing w:line="360" w:lineRule="auto"/>
        <w:jc w:val="center"/>
        <w:rPr>
          <w:rFonts w:ascii="Century Gothic" w:hAnsi="Century Gothic"/>
          <w:b/>
          <w:bCs/>
          <w:sz w:val="24"/>
          <w:szCs w:val="24"/>
        </w:rPr>
      </w:pPr>
    </w:p>
    <w:p w14:paraId="5948E069" w14:textId="27AE9AC0" w:rsidR="00173608" w:rsidRPr="00173608" w:rsidRDefault="00173608" w:rsidP="00173608">
      <w:pPr>
        <w:spacing w:line="360" w:lineRule="auto"/>
        <w:jc w:val="center"/>
        <w:rPr>
          <w:rFonts w:ascii="Century Gothic" w:hAnsi="Century Gothic"/>
          <w:b/>
          <w:bCs/>
          <w:sz w:val="24"/>
          <w:szCs w:val="24"/>
        </w:rPr>
      </w:pPr>
      <w:proofErr w:type="spellStart"/>
      <w:r w:rsidRPr="00173608">
        <w:rPr>
          <w:rFonts w:ascii="Century Gothic" w:hAnsi="Century Gothic"/>
          <w:b/>
          <w:bCs/>
          <w:sz w:val="24"/>
          <w:szCs w:val="24"/>
        </w:rPr>
        <w:t>Dip</w:t>
      </w:r>
      <w:proofErr w:type="spellEnd"/>
      <w:r w:rsidRPr="00173608">
        <w:rPr>
          <w:rFonts w:ascii="Century Gothic" w:hAnsi="Century Gothic"/>
          <w:b/>
          <w:bCs/>
          <w:sz w:val="24"/>
          <w:szCs w:val="24"/>
        </w:rPr>
        <w:t>. Georgina Alejandra Bujanda Ríos</w:t>
      </w:r>
    </w:p>
    <w:p w14:paraId="547CC4FC" w14:textId="519DCC4A" w:rsidR="00173608" w:rsidRDefault="00173608" w:rsidP="00EF5D0D">
      <w:pPr>
        <w:spacing w:line="360" w:lineRule="auto"/>
        <w:jc w:val="both"/>
        <w:rPr>
          <w:rFonts w:ascii="Century Gothic" w:hAnsi="Century Gothic"/>
          <w:sz w:val="24"/>
          <w:szCs w:val="24"/>
        </w:rPr>
      </w:pPr>
    </w:p>
    <w:p w14:paraId="2DB31D6F" w14:textId="77777777" w:rsidR="00173608" w:rsidRPr="00EF5D0D" w:rsidRDefault="00173608" w:rsidP="00EF5D0D">
      <w:pPr>
        <w:spacing w:line="360" w:lineRule="auto"/>
        <w:jc w:val="both"/>
        <w:rPr>
          <w:rFonts w:ascii="Century Gothic" w:hAnsi="Century Gothic"/>
          <w:sz w:val="24"/>
          <w:szCs w:val="24"/>
        </w:rPr>
      </w:pPr>
    </w:p>
    <w:p w14:paraId="19AB0472" w14:textId="77777777" w:rsidR="00580AAA" w:rsidRPr="00EF5D0D" w:rsidRDefault="00580AAA" w:rsidP="00EF5D0D">
      <w:pPr>
        <w:spacing w:line="360" w:lineRule="auto"/>
        <w:ind w:left="-567"/>
        <w:jc w:val="both"/>
        <w:rPr>
          <w:rFonts w:ascii="Century Gothic" w:hAnsi="Century Gothic" w:cs="Arial"/>
          <w:sz w:val="24"/>
          <w:szCs w:val="24"/>
          <w:u w:val="single"/>
        </w:rPr>
      </w:pPr>
    </w:p>
    <w:p w14:paraId="508CA2DB" w14:textId="77777777" w:rsidR="008A5352" w:rsidRPr="00EF5D0D" w:rsidRDefault="008A5352" w:rsidP="00EF5D0D">
      <w:pPr>
        <w:spacing w:line="360" w:lineRule="auto"/>
        <w:ind w:left="-567"/>
        <w:jc w:val="both"/>
        <w:rPr>
          <w:rFonts w:ascii="Century Gothic" w:hAnsi="Century Gothic" w:cs="Arial"/>
          <w:sz w:val="24"/>
          <w:szCs w:val="24"/>
          <w:u w:val="single"/>
        </w:rPr>
      </w:pPr>
    </w:p>
    <w:p w14:paraId="3DEA178D" w14:textId="77777777" w:rsidR="008A5352" w:rsidRPr="00EF5D0D" w:rsidRDefault="008A5352" w:rsidP="00EF5D0D">
      <w:pPr>
        <w:spacing w:line="360" w:lineRule="auto"/>
        <w:ind w:left="-567"/>
        <w:jc w:val="both"/>
        <w:rPr>
          <w:rFonts w:ascii="Century Gothic" w:hAnsi="Century Gothic" w:cs="Arial"/>
          <w:sz w:val="24"/>
          <w:szCs w:val="24"/>
          <w:u w:val="single"/>
        </w:rPr>
      </w:pPr>
    </w:p>
    <w:p w14:paraId="58964008" w14:textId="77777777" w:rsidR="008A5352" w:rsidRPr="00EF5D0D" w:rsidRDefault="008A5352" w:rsidP="00EF5D0D">
      <w:pPr>
        <w:spacing w:line="360" w:lineRule="auto"/>
        <w:ind w:left="-567"/>
        <w:jc w:val="both"/>
        <w:rPr>
          <w:rFonts w:ascii="Century Gothic" w:hAnsi="Century Gothic" w:cs="Arial"/>
          <w:sz w:val="24"/>
          <w:szCs w:val="24"/>
          <w:u w:val="single"/>
        </w:rPr>
      </w:pPr>
    </w:p>
    <w:p w14:paraId="25A871CD" w14:textId="77777777" w:rsidR="008A5352" w:rsidRPr="00EF5D0D" w:rsidRDefault="008A5352" w:rsidP="00EF5D0D">
      <w:pPr>
        <w:spacing w:line="360" w:lineRule="auto"/>
        <w:ind w:left="-567"/>
        <w:jc w:val="both"/>
        <w:rPr>
          <w:rFonts w:ascii="Century Gothic" w:hAnsi="Century Gothic" w:cs="Arial"/>
          <w:sz w:val="24"/>
          <w:szCs w:val="24"/>
          <w:u w:val="single"/>
        </w:rPr>
      </w:pPr>
    </w:p>
    <w:p w14:paraId="4A228815" w14:textId="77777777" w:rsidR="008A5352" w:rsidRPr="00EF5D0D" w:rsidRDefault="008A5352" w:rsidP="00EF5D0D">
      <w:pPr>
        <w:spacing w:line="360" w:lineRule="auto"/>
        <w:ind w:left="-567"/>
        <w:jc w:val="both"/>
        <w:rPr>
          <w:rFonts w:ascii="Century Gothic" w:hAnsi="Century Gothic" w:cs="Arial"/>
          <w:sz w:val="24"/>
          <w:szCs w:val="24"/>
          <w:u w:val="single"/>
        </w:rPr>
      </w:pPr>
    </w:p>
    <w:p w14:paraId="29CB79D4" w14:textId="77777777" w:rsidR="008A5352" w:rsidRPr="00EF5D0D" w:rsidRDefault="008A5352" w:rsidP="00EF5D0D">
      <w:pPr>
        <w:spacing w:line="360" w:lineRule="auto"/>
        <w:ind w:left="-567"/>
        <w:jc w:val="both"/>
        <w:rPr>
          <w:rFonts w:ascii="Century Gothic" w:hAnsi="Century Gothic" w:cs="Arial"/>
          <w:sz w:val="24"/>
          <w:szCs w:val="24"/>
          <w:u w:val="single"/>
        </w:rPr>
      </w:pPr>
    </w:p>
    <w:p w14:paraId="7E0D7894" w14:textId="77777777" w:rsidR="008A5352" w:rsidRPr="00EF5D0D" w:rsidRDefault="008A5352" w:rsidP="00EF5D0D">
      <w:pPr>
        <w:spacing w:line="360" w:lineRule="auto"/>
        <w:ind w:left="-567"/>
        <w:jc w:val="both"/>
        <w:rPr>
          <w:rFonts w:ascii="Century Gothic" w:hAnsi="Century Gothic" w:cs="Arial"/>
          <w:sz w:val="24"/>
          <w:szCs w:val="24"/>
          <w:u w:val="single"/>
        </w:rPr>
      </w:pPr>
    </w:p>
    <w:p w14:paraId="65D7B94E" w14:textId="77777777" w:rsidR="008A5352" w:rsidRPr="00EF5D0D" w:rsidRDefault="008A5352" w:rsidP="00EF5D0D">
      <w:pPr>
        <w:spacing w:line="360" w:lineRule="auto"/>
        <w:ind w:left="-567"/>
        <w:jc w:val="both"/>
        <w:rPr>
          <w:rFonts w:ascii="Century Gothic" w:hAnsi="Century Gothic" w:cs="Arial"/>
          <w:sz w:val="24"/>
          <w:szCs w:val="24"/>
          <w:u w:val="single"/>
        </w:rPr>
        <w:sectPr w:rsidR="008A5352" w:rsidRPr="00EF5D0D" w:rsidSect="008A5352">
          <w:headerReference w:type="default" r:id="rId8"/>
          <w:footerReference w:type="default" r:id="rId9"/>
          <w:pgSz w:w="12240" w:h="15840"/>
          <w:pgMar w:top="1701" w:right="1701" w:bottom="1417" w:left="1701" w:header="708" w:footer="708" w:gutter="0"/>
          <w:cols w:space="708"/>
          <w:docGrid w:linePitch="360"/>
        </w:sectPr>
      </w:pPr>
    </w:p>
    <w:p w14:paraId="427A5395" w14:textId="2E5FA0CC" w:rsidR="008A5352" w:rsidRPr="00EF5D0D" w:rsidRDefault="008A5352" w:rsidP="00EF5D0D">
      <w:pPr>
        <w:spacing w:line="360" w:lineRule="auto"/>
        <w:ind w:left="-567"/>
        <w:jc w:val="both"/>
        <w:rPr>
          <w:rFonts w:ascii="Century Gothic" w:hAnsi="Century Gothic" w:cs="Arial"/>
          <w:sz w:val="24"/>
          <w:szCs w:val="24"/>
          <w:u w:val="single"/>
        </w:rPr>
      </w:pPr>
    </w:p>
    <w:p w14:paraId="69E54E4C" w14:textId="77777777" w:rsidR="008A5352" w:rsidRPr="00EF5D0D" w:rsidRDefault="008A5352" w:rsidP="00EF5D0D">
      <w:pPr>
        <w:spacing w:line="360" w:lineRule="auto"/>
        <w:ind w:left="-567"/>
        <w:jc w:val="both"/>
        <w:rPr>
          <w:rFonts w:ascii="Century Gothic" w:hAnsi="Century Gothic" w:cs="Arial"/>
          <w:sz w:val="24"/>
          <w:szCs w:val="24"/>
          <w:u w:val="single"/>
        </w:rPr>
      </w:pPr>
    </w:p>
    <w:p w14:paraId="1CF9AB47" w14:textId="77777777" w:rsidR="008A5352" w:rsidRPr="00EF5D0D" w:rsidRDefault="008A5352" w:rsidP="00EF5D0D">
      <w:pPr>
        <w:spacing w:line="360" w:lineRule="auto"/>
        <w:ind w:left="-567"/>
        <w:jc w:val="both"/>
        <w:rPr>
          <w:rFonts w:ascii="Century Gothic" w:hAnsi="Century Gothic" w:cs="Arial"/>
          <w:sz w:val="24"/>
          <w:szCs w:val="24"/>
          <w:u w:val="single"/>
        </w:rPr>
      </w:pPr>
    </w:p>
    <w:p w14:paraId="312C8B53" w14:textId="77777777" w:rsidR="008A5352" w:rsidRPr="00EF5D0D" w:rsidRDefault="008A5352" w:rsidP="00EF5D0D">
      <w:pPr>
        <w:spacing w:line="360" w:lineRule="auto"/>
        <w:ind w:left="-567"/>
        <w:jc w:val="both"/>
        <w:rPr>
          <w:rFonts w:ascii="Century Gothic" w:hAnsi="Century Gothic" w:cs="Arial"/>
          <w:sz w:val="24"/>
          <w:szCs w:val="24"/>
          <w:u w:val="single"/>
        </w:rPr>
      </w:pPr>
    </w:p>
    <w:p w14:paraId="67982050"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sectPr w:rsidR="008A5352" w:rsidRPr="00EF5D0D" w:rsidSect="008A5352">
          <w:type w:val="continuous"/>
          <w:pgSz w:w="12240" w:h="15840"/>
          <w:pgMar w:top="1701" w:right="1701" w:bottom="1417" w:left="1701" w:header="708" w:footer="708" w:gutter="0"/>
          <w:cols w:num="2" w:space="708"/>
          <w:docGrid w:linePitch="360"/>
        </w:sectPr>
      </w:pPr>
    </w:p>
    <w:p w14:paraId="48FD096E"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58F8ECD0"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sectPr w:rsidR="008A5352" w:rsidRPr="00EF5D0D" w:rsidSect="008A5352">
          <w:type w:val="continuous"/>
          <w:pgSz w:w="12240" w:h="15840"/>
          <w:pgMar w:top="1701" w:right="1701" w:bottom="1417" w:left="1701" w:header="708" w:footer="708" w:gutter="0"/>
          <w:cols w:space="708"/>
          <w:docGrid w:linePitch="360"/>
        </w:sectPr>
      </w:pPr>
    </w:p>
    <w:p w14:paraId="1FECC2C6"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07B549BA"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50DA16FF"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59B117D7"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Ismael Mario Rodríguez Saldaña</w:t>
      </w:r>
    </w:p>
    <w:p w14:paraId="79EC7FD3"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00F0B100"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2CC2FD7B"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xml:space="preserve">. Yesenia Guadalupe Reyes </w:t>
      </w:r>
      <w:proofErr w:type="spellStart"/>
      <w:r w:rsidRPr="00EF5D0D">
        <w:rPr>
          <w:rFonts w:ascii="Century Gothic" w:eastAsia="Arial" w:hAnsi="Century Gothic" w:cs="Arial"/>
          <w:b/>
          <w:color w:val="4A4A4A"/>
          <w:sz w:val="24"/>
          <w:szCs w:val="24"/>
        </w:rPr>
        <w:t>Calzadías</w:t>
      </w:r>
      <w:proofErr w:type="spellEnd"/>
    </w:p>
    <w:p w14:paraId="4F831F2A"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44F7E89"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28B6420F"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Marisela Terrazas Muñoz</w:t>
      </w:r>
    </w:p>
    <w:p w14:paraId="73110FB0"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093D5C2"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27C795F"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Ismael Pérez Pavía</w:t>
      </w:r>
    </w:p>
    <w:p w14:paraId="2C492221"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0CAF2621"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3656872C"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xml:space="preserve">. </w:t>
      </w:r>
      <w:proofErr w:type="spellStart"/>
      <w:r w:rsidRPr="00EF5D0D">
        <w:rPr>
          <w:rFonts w:ascii="Century Gothic" w:eastAsia="Arial" w:hAnsi="Century Gothic" w:cs="Arial"/>
          <w:b/>
          <w:color w:val="4A4A4A"/>
          <w:sz w:val="24"/>
          <w:szCs w:val="24"/>
        </w:rPr>
        <w:t>Rocio</w:t>
      </w:r>
      <w:proofErr w:type="spellEnd"/>
      <w:r w:rsidRPr="00EF5D0D">
        <w:rPr>
          <w:rFonts w:ascii="Century Gothic" w:eastAsia="Arial" w:hAnsi="Century Gothic" w:cs="Arial"/>
          <w:b/>
          <w:color w:val="4A4A4A"/>
          <w:sz w:val="24"/>
          <w:szCs w:val="24"/>
        </w:rPr>
        <w:t xml:space="preserve"> Guadalupe Sarmiento Rufino</w:t>
      </w:r>
    </w:p>
    <w:p w14:paraId="308C6BE4"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1613D98E"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128DDA41"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Saúl Mireles Corral</w:t>
      </w:r>
    </w:p>
    <w:p w14:paraId="38B0892D"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26C9B4DF"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232C894F"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E9C5B4F"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B39677C"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José Alfredo Chávez Madrid</w:t>
      </w:r>
    </w:p>
    <w:p w14:paraId="63CFDF25"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0124EAF"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Carlos Alfredo Olson San Vicente</w:t>
      </w:r>
    </w:p>
    <w:p w14:paraId="09617628"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AFE8344" w14:textId="2BB1A295"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10FEC463"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Andrea Daniela Flores Chacón</w:t>
      </w:r>
    </w:p>
    <w:p w14:paraId="18C0C709" w14:textId="75A6491D"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36A0592B"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4089A99A" w14:textId="5AAEFA39"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Roberto Marcelino Carreón Huitrón</w:t>
      </w:r>
    </w:p>
    <w:p w14:paraId="7C3C50C2" w14:textId="4355A42D"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30F31E2F" w14:textId="3D8ACD8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9D9C6B7" w14:textId="3E27A819"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Luis Alberto Aguilar Lozoya</w:t>
      </w:r>
    </w:p>
    <w:p w14:paraId="32A94BEC"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23D276E0" w14:textId="7EB81191"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5C27368E" w14:textId="2F6DD3E7"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Diana Ivette Pereda Gutiérrez</w:t>
      </w:r>
    </w:p>
    <w:p w14:paraId="6764D4DA" w14:textId="60D24C4E"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2246A549" w14:textId="088B99E2"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0B3F9F30" w14:textId="795837A5"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Gabriel Ángel García Cantú</w:t>
      </w:r>
    </w:p>
    <w:p w14:paraId="22CABAB9"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566A0D38" w14:textId="33FE4D53"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3D89F828" w14:textId="4FCD6BD3" w:rsidR="008A5352" w:rsidRPr="00EF5D0D" w:rsidRDefault="008A5352" w:rsidP="00EF5D0D">
      <w:pPr>
        <w:spacing w:before="150" w:after="150" w:line="360" w:lineRule="auto"/>
        <w:jc w:val="both"/>
        <w:rPr>
          <w:rFonts w:ascii="Century Gothic" w:eastAsia="Arial" w:hAnsi="Century Gothic" w:cs="Arial"/>
          <w:b/>
          <w:color w:val="4A4A4A"/>
          <w:sz w:val="24"/>
          <w:szCs w:val="24"/>
        </w:rPr>
      </w:pPr>
      <w:proofErr w:type="spellStart"/>
      <w:r w:rsidRPr="00EF5D0D">
        <w:rPr>
          <w:rFonts w:ascii="Century Gothic" w:eastAsia="Arial" w:hAnsi="Century Gothic" w:cs="Arial"/>
          <w:b/>
          <w:color w:val="4A4A4A"/>
          <w:sz w:val="24"/>
          <w:szCs w:val="24"/>
        </w:rPr>
        <w:t>Dip</w:t>
      </w:r>
      <w:proofErr w:type="spellEnd"/>
      <w:r w:rsidRPr="00EF5D0D">
        <w:rPr>
          <w:rFonts w:ascii="Century Gothic" w:eastAsia="Arial" w:hAnsi="Century Gothic" w:cs="Arial"/>
          <w:b/>
          <w:color w:val="4A4A4A"/>
          <w:sz w:val="24"/>
          <w:szCs w:val="24"/>
        </w:rPr>
        <w:t>. Rosa Isela Martínez Díaz</w:t>
      </w:r>
    </w:p>
    <w:p w14:paraId="7A7278F0" w14:textId="77777777" w:rsidR="008A5352" w:rsidRPr="00EF5D0D" w:rsidRDefault="008A5352" w:rsidP="00EF5D0D">
      <w:pPr>
        <w:spacing w:before="150" w:after="150" w:line="360" w:lineRule="auto"/>
        <w:jc w:val="both"/>
        <w:rPr>
          <w:rFonts w:ascii="Century Gothic" w:eastAsia="Arial" w:hAnsi="Century Gothic" w:cs="Arial"/>
          <w:b/>
          <w:color w:val="4A4A4A"/>
          <w:sz w:val="24"/>
          <w:szCs w:val="24"/>
        </w:rPr>
        <w:sectPr w:rsidR="008A5352" w:rsidRPr="00EF5D0D" w:rsidSect="008A5352">
          <w:type w:val="continuous"/>
          <w:pgSz w:w="12240" w:h="15840"/>
          <w:pgMar w:top="1701" w:right="1701" w:bottom="1417" w:left="1701" w:header="708" w:footer="708" w:gutter="0"/>
          <w:cols w:num="2" w:space="708"/>
          <w:docGrid w:linePitch="360"/>
        </w:sectPr>
      </w:pPr>
    </w:p>
    <w:p w14:paraId="7101F610" w14:textId="7489A5C5"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7349B45A" w14:textId="2DA412B3" w:rsidR="008A5352" w:rsidRPr="00EF5D0D" w:rsidRDefault="008A5352" w:rsidP="00EF5D0D">
      <w:pPr>
        <w:spacing w:before="150" w:after="150" w:line="360" w:lineRule="auto"/>
        <w:jc w:val="both"/>
        <w:rPr>
          <w:rFonts w:ascii="Century Gothic" w:eastAsia="Arial" w:hAnsi="Century Gothic" w:cs="Arial"/>
          <w:b/>
          <w:color w:val="4A4A4A"/>
          <w:sz w:val="24"/>
          <w:szCs w:val="24"/>
        </w:rPr>
      </w:pPr>
    </w:p>
    <w:p w14:paraId="19077DF6" w14:textId="3CA6E916" w:rsidR="008A5352" w:rsidRPr="00EF5D0D" w:rsidRDefault="008A5352" w:rsidP="00EF5D0D">
      <w:pPr>
        <w:spacing w:line="360" w:lineRule="auto"/>
        <w:ind w:left="-567"/>
        <w:jc w:val="both"/>
        <w:rPr>
          <w:rFonts w:ascii="Century Gothic" w:hAnsi="Century Gothic" w:cs="Arial"/>
          <w:sz w:val="24"/>
          <w:szCs w:val="24"/>
          <w:u w:val="single"/>
        </w:rPr>
      </w:pPr>
    </w:p>
    <w:sectPr w:rsidR="008A5352" w:rsidRPr="00EF5D0D" w:rsidSect="008A5352">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0AFD" w14:textId="77777777" w:rsidR="006D13ED" w:rsidRDefault="006D13ED" w:rsidP="007F665E">
      <w:pPr>
        <w:spacing w:after="0" w:line="240" w:lineRule="auto"/>
      </w:pPr>
      <w:r>
        <w:separator/>
      </w:r>
    </w:p>
  </w:endnote>
  <w:endnote w:type="continuationSeparator" w:id="0">
    <w:p w14:paraId="7B3E2B73" w14:textId="77777777" w:rsidR="006D13ED" w:rsidRDefault="006D13E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charset w:val="00"/>
    <w:family w:val="modern"/>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81840"/>
      <w:docPartObj>
        <w:docPartGallery w:val="Page Numbers (Bottom of Page)"/>
        <w:docPartUnique/>
      </w:docPartObj>
    </w:sdtPr>
    <w:sdtEndPr/>
    <w:sdtContent>
      <w:p w14:paraId="22DF5155" w14:textId="690D5E60" w:rsidR="00EF5D0D" w:rsidRDefault="00EF5D0D">
        <w:pPr>
          <w:pStyle w:val="Piedepgina"/>
          <w:jc w:val="right"/>
        </w:pPr>
        <w:r>
          <w:fldChar w:fldCharType="begin"/>
        </w:r>
        <w:r>
          <w:instrText>PAGE   \* MERGEFORMAT</w:instrText>
        </w:r>
        <w:r>
          <w:fldChar w:fldCharType="separate"/>
        </w:r>
        <w:r>
          <w:t>2</w:t>
        </w:r>
        <w:r>
          <w:fldChar w:fldCharType="end"/>
        </w:r>
      </w:p>
    </w:sdtContent>
  </w:sdt>
  <w:p w14:paraId="684A8E4C"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5888" w14:textId="77777777" w:rsidR="006D13ED" w:rsidRDefault="006D13ED" w:rsidP="007F665E">
      <w:pPr>
        <w:spacing w:after="0" w:line="240" w:lineRule="auto"/>
      </w:pPr>
      <w:r>
        <w:separator/>
      </w:r>
    </w:p>
  </w:footnote>
  <w:footnote w:type="continuationSeparator" w:id="0">
    <w:p w14:paraId="0DE6AB64" w14:textId="77777777" w:rsidR="006D13ED" w:rsidRDefault="006D13ED"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7FB3997">
          <wp:simplePos x="0" y="0"/>
          <wp:positionH relativeFrom="column">
            <wp:posOffset>-1080135</wp:posOffset>
          </wp:positionH>
          <wp:positionV relativeFrom="paragraph">
            <wp:posOffset>-449580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CBC"/>
    <w:multiLevelType w:val="hybridMultilevel"/>
    <w:tmpl w:val="7286DB3E"/>
    <w:lvl w:ilvl="0" w:tplc="266EA7A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25AA2B70"/>
    <w:multiLevelType w:val="hybridMultilevel"/>
    <w:tmpl w:val="6B14494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4BB8297F"/>
    <w:multiLevelType w:val="hybridMultilevel"/>
    <w:tmpl w:val="BF603B16"/>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53BE6299"/>
    <w:multiLevelType w:val="hybridMultilevel"/>
    <w:tmpl w:val="DB7E1EB4"/>
    <w:lvl w:ilvl="0" w:tplc="5C886B9C">
      <w:start w:val="1"/>
      <w:numFmt w:val="upperRoman"/>
      <w:lvlText w:val="%1."/>
      <w:lvlJc w:val="left"/>
      <w:pPr>
        <w:ind w:left="578" w:hanging="720"/>
      </w:pPr>
      <w:rPr>
        <w:rFonts w:cstheme="minorBidi" w:hint="default"/>
        <w:b w:val="0"/>
        <w:i w:val="0"/>
        <w:sz w:val="22"/>
        <w:u w:val="none"/>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 w15:restartNumberingAfterBreak="0">
    <w:nsid w:val="5835249A"/>
    <w:multiLevelType w:val="hybridMultilevel"/>
    <w:tmpl w:val="CEDA394A"/>
    <w:lvl w:ilvl="0" w:tplc="080A000B">
      <w:start w:val="1"/>
      <w:numFmt w:val="bullet"/>
      <w:lvlText w:val=""/>
      <w:lvlJc w:val="left"/>
      <w:pPr>
        <w:ind w:left="1866" w:hanging="360"/>
      </w:pPr>
      <w:rPr>
        <w:rFonts w:ascii="Wingdings" w:hAnsi="Wingdings"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5" w15:restartNumberingAfterBreak="0">
    <w:nsid w:val="5D997B02"/>
    <w:multiLevelType w:val="hybridMultilevel"/>
    <w:tmpl w:val="BCC0966A"/>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6C320F03"/>
    <w:multiLevelType w:val="hybridMultilevel"/>
    <w:tmpl w:val="2E9A11FC"/>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258F"/>
    <w:rsid w:val="00034AF4"/>
    <w:rsid w:val="001718D5"/>
    <w:rsid w:val="00173608"/>
    <w:rsid w:val="00187E94"/>
    <w:rsid w:val="001911AA"/>
    <w:rsid w:val="001D1E7E"/>
    <w:rsid w:val="00256146"/>
    <w:rsid w:val="00291896"/>
    <w:rsid w:val="002E4894"/>
    <w:rsid w:val="003148B1"/>
    <w:rsid w:val="00326670"/>
    <w:rsid w:val="00353DD7"/>
    <w:rsid w:val="003C48E7"/>
    <w:rsid w:val="003D3DCB"/>
    <w:rsid w:val="003E5DA1"/>
    <w:rsid w:val="004148FD"/>
    <w:rsid w:val="00444C92"/>
    <w:rsid w:val="00480B2B"/>
    <w:rsid w:val="004C0136"/>
    <w:rsid w:val="004C1D83"/>
    <w:rsid w:val="004C60C5"/>
    <w:rsid w:val="004D5B3F"/>
    <w:rsid w:val="00523431"/>
    <w:rsid w:val="00561A86"/>
    <w:rsid w:val="00580AAA"/>
    <w:rsid w:val="0059206D"/>
    <w:rsid w:val="005D500F"/>
    <w:rsid w:val="005F7DB5"/>
    <w:rsid w:val="00652673"/>
    <w:rsid w:val="006972BD"/>
    <w:rsid w:val="006A339C"/>
    <w:rsid w:val="006D13ED"/>
    <w:rsid w:val="0070484A"/>
    <w:rsid w:val="007347A4"/>
    <w:rsid w:val="00740750"/>
    <w:rsid w:val="007659A7"/>
    <w:rsid w:val="007926CD"/>
    <w:rsid w:val="007D0AFF"/>
    <w:rsid w:val="007F665E"/>
    <w:rsid w:val="008818DB"/>
    <w:rsid w:val="008A5352"/>
    <w:rsid w:val="008C70DE"/>
    <w:rsid w:val="008F5B89"/>
    <w:rsid w:val="008F6A06"/>
    <w:rsid w:val="009038D5"/>
    <w:rsid w:val="00937786"/>
    <w:rsid w:val="009715A5"/>
    <w:rsid w:val="00A03415"/>
    <w:rsid w:val="00A4474A"/>
    <w:rsid w:val="00AF3AF7"/>
    <w:rsid w:val="00B41209"/>
    <w:rsid w:val="00B42910"/>
    <w:rsid w:val="00BA1A34"/>
    <w:rsid w:val="00BA6F58"/>
    <w:rsid w:val="00C17A1B"/>
    <w:rsid w:val="00CA783E"/>
    <w:rsid w:val="00CE5C19"/>
    <w:rsid w:val="00D03976"/>
    <w:rsid w:val="00D65DAA"/>
    <w:rsid w:val="00DB3F45"/>
    <w:rsid w:val="00E4376A"/>
    <w:rsid w:val="00EB012D"/>
    <w:rsid w:val="00EF5D0D"/>
    <w:rsid w:val="00F85652"/>
    <w:rsid w:val="00F87F75"/>
    <w:rsid w:val="00F92CD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D7175B4D-3BF1-4134-A797-7DEE4F58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Normal1">
    <w:name w:val="Normal1"/>
    <w:rsid w:val="008C70DE"/>
    <w:rPr>
      <w:rFonts w:ascii="Soberana Sans" w:eastAsia="Soberana Sans" w:hAnsi="Soberana Sans" w:cs="Soberana Sans"/>
      <w:lang w:eastAsia="es-MX"/>
    </w:rPr>
  </w:style>
  <w:style w:type="paragraph" w:styleId="Prrafodelista">
    <w:name w:val="List Paragraph"/>
    <w:basedOn w:val="Normal"/>
    <w:uiPriority w:val="34"/>
    <w:qFormat/>
    <w:rsid w:val="00523431"/>
    <w:pPr>
      <w:ind w:left="720"/>
      <w:contextualSpacing/>
    </w:pPr>
  </w:style>
  <w:style w:type="paragraph" w:styleId="Textonotapie">
    <w:name w:val="footnote text"/>
    <w:basedOn w:val="Normal"/>
    <w:link w:val="TextonotapieCar"/>
    <w:uiPriority w:val="99"/>
    <w:semiHidden/>
    <w:unhideWhenUsed/>
    <w:rsid w:val="001718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18D5"/>
    <w:rPr>
      <w:sz w:val="20"/>
      <w:szCs w:val="20"/>
    </w:rPr>
  </w:style>
  <w:style w:type="character" w:styleId="Refdenotaalpie">
    <w:name w:val="footnote reference"/>
    <w:basedOn w:val="Fuentedeprrafopredeter"/>
    <w:uiPriority w:val="99"/>
    <w:semiHidden/>
    <w:unhideWhenUsed/>
    <w:rsid w:val="00171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326">
      <w:bodyDiv w:val="1"/>
      <w:marLeft w:val="0"/>
      <w:marRight w:val="0"/>
      <w:marTop w:val="0"/>
      <w:marBottom w:val="0"/>
      <w:divBdr>
        <w:top w:val="none" w:sz="0" w:space="0" w:color="auto"/>
        <w:left w:val="none" w:sz="0" w:space="0" w:color="auto"/>
        <w:bottom w:val="none" w:sz="0" w:space="0" w:color="auto"/>
        <w:right w:val="none" w:sz="0" w:space="0" w:color="auto"/>
      </w:divBdr>
      <w:divsChild>
        <w:div w:id="382951717">
          <w:marLeft w:val="0"/>
          <w:marRight w:val="0"/>
          <w:marTop w:val="0"/>
          <w:marBottom w:val="0"/>
          <w:divBdr>
            <w:top w:val="single" w:sz="2" w:space="0" w:color="E3E3E3"/>
            <w:left w:val="single" w:sz="2" w:space="0" w:color="E3E3E3"/>
            <w:bottom w:val="single" w:sz="2" w:space="0" w:color="E3E3E3"/>
            <w:right w:val="single" w:sz="2" w:space="0" w:color="E3E3E3"/>
          </w:divBdr>
          <w:divsChild>
            <w:div w:id="357439347">
              <w:marLeft w:val="0"/>
              <w:marRight w:val="0"/>
              <w:marTop w:val="100"/>
              <w:marBottom w:val="100"/>
              <w:divBdr>
                <w:top w:val="single" w:sz="2" w:space="0" w:color="E3E3E3"/>
                <w:left w:val="single" w:sz="2" w:space="0" w:color="E3E3E3"/>
                <w:bottom w:val="single" w:sz="2" w:space="0" w:color="E3E3E3"/>
                <w:right w:val="single" w:sz="2" w:space="0" w:color="E3E3E3"/>
              </w:divBdr>
              <w:divsChild>
                <w:div w:id="794644616">
                  <w:marLeft w:val="0"/>
                  <w:marRight w:val="0"/>
                  <w:marTop w:val="0"/>
                  <w:marBottom w:val="0"/>
                  <w:divBdr>
                    <w:top w:val="single" w:sz="2" w:space="0" w:color="E3E3E3"/>
                    <w:left w:val="single" w:sz="2" w:space="0" w:color="E3E3E3"/>
                    <w:bottom w:val="single" w:sz="2" w:space="0" w:color="E3E3E3"/>
                    <w:right w:val="single" w:sz="2" w:space="0" w:color="E3E3E3"/>
                  </w:divBdr>
                  <w:divsChild>
                    <w:div w:id="1028338055">
                      <w:marLeft w:val="0"/>
                      <w:marRight w:val="0"/>
                      <w:marTop w:val="0"/>
                      <w:marBottom w:val="0"/>
                      <w:divBdr>
                        <w:top w:val="single" w:sz="2" w:space="0" w:color="E3E3E3"/>
                        <w:left w:val="single" w:sz="2" w:space="0" w:color="E3E3E3"/>
                        <w:bottom w:val="single" w:sz="2" w:space="0" w:color="E3E3E3"/>
                        <w:right w:val="single" w:sz="2" w:space="0" w:color="E3E3E3"/>
                      </w:divBdr>
                      <w:divsChild>
                        <w:div w:id="2070422952">
                          <w:marLeft w:val="0"/>
                          <w:marRight w:val="0"/>
                          <w:marTop w:val="0"/>
                          <w:marBottom w:val="0"/>
                          <w:divBdr>
                            <w:top w:val="single" w:sz="2" w:space="0" w:color="E3E3E3"/>
                            <w:left w:val="single" w:sz="2" w:space="0" w:color="E3E3E3"/>
                            <w:bottom w:val="single" w:sz="2" w:space="0" w:color="E3E3E3"/>
                            <w:right w:val="single" w:sz="2" w:space="0" w:color="E3E3E3"/>
                          </w:divBdr>
                          <w:divsChild>
                            <w:div w:id="1066148546">
                              <w:marLeft w:val="0"/>
                              <w:marRight w:val="0"/>
                              <w:marTop w:val="0"/>
                              <w:marBottom w:val="0"/>
                              <w:divBdr>
                                <w:top w:val="single" w:sz="2" w:space="0" w:color="E3E3E3"/>
                                <w:left w:val="single" w:sz="2" w:space="0" w:color="E3E3E3"/>
                                <w:bottom w:val="single" w:sz="2" w:space="0" w:color="E3E3E3"/>
                                <w:right w:val="single" w:sz="2" w:space="0" w:color="E3E3E3"/>
                              </w:divBdr>
                              <w:divsChild>
                                <w:div w:id="1135877030">
                                  <w:marLeft w:val="0"/>
                                  <w:marRight w:val="0"/>
                                  <w:marTop w:val="0"/>
                                  <w:marBottom w:val="0"/>
                                  <w:divBdr>
                                    <w:top w:val="single" w:sz="2" w:space="0" w:color="E3E3E3"/>
                                    <w:left w:val="single" w:sz="2" w:space="0" w:color="E3E3E3"/>
                                    <w:bottom w:val="single" w:sz="2" w:space="0" w:color="E3E3E3"/>
                                    <w:right w:val="single" w:sz="2" w:space="0" w:color="E3E3E3"/>
                                  </w:divBdr>
                                  <w:divsChild>
                                    <w:div w:id="6555762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9296064">
      <w:bodyDiv w:val="1"/>
      <w:marLeft w:val="0"/>
      <w:marRight w:val="0"/>
      <w:marTop w:val="0"/>
      <w:marBottom w:val="0"/>
      <w:divBdr>
        <w:top w:val="none" w:sz="0" w:space="0" w:color="auto"/>
        <w:left w:val="none" w:sz="0" w:space="0" w:color="auto"/>
        <w:bottom w:val="none" w:sz="0" w:space="0" w:color="auto"/>
        <w:right w:val="none" w:sz="0" w:space="0" w:color="auto"/>
      </w:divBdr>
    </w:div>
    <w:div w:id="464078589">
      <w:bodyDiv w:val="1"/>
      <w:marLeft w:val="0"/>
      <w:marRight w:val="0"/>
      <w:marTop w:val="0"/>
      <w:marBottom w:val="0"/>
      <w:divBdr>
        <w:top w:val="none" w:sz="0" w:space="0" w:color="auto"/>
        <w:left w:val="none" w:sz="0" w:space="0" w:color="auto"/>
        <w:bottom w:val="none" w:sz="0" w:space="0" w:color="auto"/>
        <w:right w:val="none" w:sz="0" w:space="0" w:color="auto"/>
      </w:divBdr>
    </w:div>
    <w:div w:id="1250314951">
      <w:bodyDiv w:val="1"/>
      <w:marLeft w:val="0"/>
      <w:marRight w:val="0"/>
      <w:marTop w:val="0"/>
      <w:marBottom w:val="0"/>
      <w:divBdr>
        <w:top w:val="none" w:sz="0" w:space="0" w:color="auto"/>
        <w:left w:val="none" w:sz="0" w:space="0" w:color="auto"/>
        <w:bottom w:val="none" w:sz="0" w:space="0" w:color="auto"/>
        <w:right w:val="none" w:sz="0" w:space="0" w:color="auto"/>
      </w:divBdr>
    </w:div>
    <w:div w:id="2060396461">
      <w:bodyDiv w:val="1"/>
      <w:marLeft w:val="0"/>
      <w:marRight w:val="0"/>
      <w:marTop w:val="0"/>
      <w:marBottom w:val="0"/>
      <w:divBdr>
        <w:top w:val="none" w:sz="0" w:space="0" w:color="auto"/>
        <w:left w:val="none" w:sz="0" w:space="0" w:color="auto"/>
        <w:bottom w:val="none" w:sz="0" w:space="0" w:color="auto"/>
        <w:right w:val="none" w:sz="0" w:space="0" w:color="auto"/>
      </w:divBdr>
    </w:div>
    <w:div w:id="21369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INE24</b:Tag>
    <b:SourceType>DocumentFromInternetSite</b:SourceType>
    <b:Guid>{D6845DC7-BC44-414E-8CBD-732BA1613DE4}</b:Guid>
    <b:Year>2024</b:Year>
    <b:Month>marzo</b:Month>
    <b:Day>11</b:Day>
    <b:URL>http://www.beta.inegi.org.mx/contenidos/saladeprensa/apr%20oposito/2018/violencia2018_Nal.pdf</b:URL>
    <b:Author>
      <b:Author>
        <b:NameList>
          <b:Person>
            <b:Last>INEGI</b:Last>
          </b:Person>
        </b:NameList>
      </b:Author>
    </b:Author>
    <b:RefOrder>1</b:RefOrder>
  </b:Source>
</b:Sources>
</file>

<file path=customXml/itemProps1.xml><?xml version="1.0" encoding="utf-8"?>
<ds:datastoreItem xmlns:ds="http://schemas.openxmlformats.org/officeDocument/2006/customXml" ds:itemID="{BCBE0BE8-A26B-44F1-99E8-D85F0286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2024-03-11T21:00:00Z</dcterms:created>
  <dcterms:modified xsi:type="dcterms:W3CDTF">2024-03-11T21:00:00Z</dcterms:modified>
</cp:coreProperties>
</file>