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0FAF" w:rsidRDefault="00524F6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H. CONGRESO DEL ESTADO DE CHIHUAHUA.</w:t>
      </w:r>
    </w:p>
    <w:p w14:paraId="00000002" w14:textId="77777777" w:rsidR="003E0FAF" w:rsidRDefault="00524F6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PRESENTE. -</w:t>
      </w:r>
    </w:p>
    <w:p w14:paraId="00000003" w14:textId="77777777" w:rsidR="003E0FAF" w:rsidRDefault="00524F6F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0000004" w14:textId="77777777" w:rsidR="003E0FAF" w:rsidRDefault="00524F6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Quien suscribe </w:t>
      </w:r>
      <w:r>
        <w:rPr>
          <w:b/>
          <w:sz w:val="24"/>
          <w:szCs w:val="24"/>
        </w:rPr>
        <w:t xml:space="preserve">Jael Argüelles </w:t>
      </w:r>
      <w:proofErr w:type="spellStart"/>
      <w:r>
        <w:rPr>
          <w:b/>
          <w:sz w:val="24"/>
          <w:szCs w:val="24"/>
        </w:rPr>
        <w:t>Dáz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Diputada integrante del</w:t>
      </w:r>
      <w:r>
        <w:rPr>
          <w:b/>
          <w:sz w:val="24"/>
          <w:szCs w:val="24"/>
        </w:rPr>
        <w:t xml:space="preserve"> Grupo Parlamentario de MORENA, </w:t>
      </w:r>
      <w:r>
        <w:rPr>
          <w:sz w:val="24"/>
          <w:szCs w:val="24"/>
        </w:rPr>
        <w:t xml:space="preserve">con fundamento en lo dispuesto por el artículo </w:t>
      </w:r>
      <w:r>
        <w:rPr>
          <w:b/>
          <w:sz w:val="24"/>
          <w:szCs w:val="24"/>
        </w:rPr>
        <w:t xml:space="preserve">66 de la Constitución Política del Estado Libre y Soberano de Chihuahua </w:t>
      </w:r>
      <w:r>
        <w:rPr>
          <w:sz w:val="24"/>
          <w:szCs w:val="24"/>
        </w:rPr>
        <w:t xml:space="preserve">me permito formular las siguientes preguntas a la </w:t>
      </w:r>
      <w:r>
        <w:rPr>
          <w:b/>
          <w:sz w:val="24"/>
          <w:szCs w:val="24"/>
        </w:rPr>
        <w:t>SECRETARÍA DE SALUD DE GOBIERNO DEL ESTADO DE CHIHUAHUA</w:t>
      </w:r>
      <w:r>
        <w:rPr>
          <w:sz w:val="24"/>
          <w:szCs w:val="24"/>
        </w:rPr>
        <w:t xml:space="preserve">, cumpliendo con los requerimientos del numeral anteriormente citado, al tenor </w:t>
      </w:r>
      <w:r>
        <w:rPr>
          <w:sz w:val="24"/>
          <w:szCs w:val="24"/>
        </w:rPr>
        <w:t>de la siguiente:</w:t>
      </w:r>
    </w:p>
    <w:p w14:paraId="00000005" w14:textId="77777777" w:rsidR="003E0FAF" w:rsidRDefault="00524F6F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EXPOSICIÓN DE MOTIVOS</w:t>
      </w:r>
    </w:p>
    <w:p w14:paraId="00000006" w14:textId="77777777" w:rsidR="003E0FAF" w:rsidRDefault="00524F6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niñas y los niños, así como las juventudes, son sujetos prioritarios de la política pública por su vulnerabilidad ante las circunstancias externas como las violencias, la discriminación, la situación </w:t>
      </w:r>
      <w:proofErr w:type="spellStart"/>
      <w:r>
        <w:rPr>
          <w:sz w:val="24"/>
          <w:szCs w:val="24"/>
        </w:rPr>
        <w:t>economica</w:t>
      </w:r>
      <w:proofErr w:type="spellEnd"/>
      <w:r>
        <w:rPr>
          <w:sz w:val="24"/>
          <w:szCs w:val="24"/>
        </w:rPr>
        <w:t>, en</w:t>
      </w:r>
      <w:r>
        <w:rPr>
          <w:sz w:val="24"/>
          <w:szCs w:val="24"/>
        </w:rPr>
        <w:t xml:space="preserve">tre otros factores. Por ello, esta legislatura también le dedica especial interés a su desarrollo, procurando que sus derechos se encuentren garantizados en todas las esferas desde la pública hasta la privada. </w:t>
      </w:r>
    </w:p>
    <w:p w14:paraId="00000007" w14:textId="77777777" w:rsidR="003E0FAF" w:rsidRDefault="00524F6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Ante ello, el derecho a gozar de un estado de</w:t>
      </w:r>
      <w:r>
        <w:rPr>
          <w:sz w:val="24"/>
          <w:szCs w:val="24"/>
        </w:rPr>
        <w:t xml:space="preserve"> bienestar óptimo, de que su protección a la salud sea la suficiente para poder disfrutar de cada una de las etapas que le corresponden, es de suma importancia. </w:t>
      </w:r>
    </w:p>
    <w:p w14:paraId="00000008" w14:textId="77777777" w:rsidR="003E0FAF" w:rsidRDefault="00524F6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mortalidad infantil es un lastre para las familias y para la sociedad. Por ello, desde la e</w:t>
      </w:r>
      <w:r>
        <w:rPr>
          <w:sz w:val="24"/>
          <w:szCs w:val="24"/>
        </w:rPr>
        <w:t>sfera gubernamental se deben procurar contar con las políticas públicas y los programas necesarios para brindarles las mejores condiciones de salud, de prevención y atención, nutricionales, de seguridad, entre otras para el óptimo desarrollo de las infanci</w:t>
      </w:r>
      <w:r>
        <w:rPr>
          <w:sz w:val="24"/>
          <w:szCs w:val="24"/>
        </w:rPr>
        <w:t xml:space="preserve">as. </w:t>
      </w:r>
    </w:p>
    <w:p w14:paraId="00000009" w14:textId="77777777" w:rsidR="003E0FAF" w:rsidRDefault="00524F6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mortalidad infantil o juvenil, nos referiremos a las y los niños que han perdido la vida por diversas circunstancias. La Organización Mundial de la Salud estima que </w:t>
      </w:r>
      <w:r>
        <w:rPr>
          <w:color w:val="3C4245"/>
          <w:sz w:val="24"/>
          <w:szCs w:val="24"/>
          <w:highlight w:val="white"/>
        </w:rPr>
        <w:t>cinco millones de niños y niñas murieron antes de cumplir cinco años y otros 2,1 m</w:t>
      </w:r>
      <w:r>
        <w:rPr>
          <w:color w:val="3C4245"/>
          <w:sz w:val="24"/>
          <w:szCs w:val="24"/>
          <w:highlight w:val="white"/>
        </w:rPr>
        <w:t>illones de niños y jóvenes de entre 5 y 24 años perdieron la vida en 2021, según los últimos cálculos publicados por el Grupo Interinstitucional de las Naciones Unidas para la Estimación de la Mortalidad en la Niñez.</w:t>
      </w:r>
    </w:p>
    <w:p w14:paraId="0000000A" w14:textId="77777777" w:rsidR="003E0FAF" w:rsidRDefault="003E0FAF">
      <w:pPr>
        <w:spacing w:before="240" w:after="240" w:line="360" w:lineRule="auto"/>
        <w:jc w:val="both"/>
        <w:rPr>
          <w:sz w:val="24"/>
          <w:szCs w:val="24"/>
        </w:rPr>
      </w:pPr>
    </w:p>
    <w:p w14:paraId="0000000B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El Dr. </w:t>
      </w:r>
      <w:proofErr w:type="spellStart"/>
      <w:r>
        <w:rPr>
          <w:color w:val="3C4245"/>
          <w:sz w:val="24"/>
          <w:szCs w:val="24"/>
          <w:highlight w:val="white"/>
        </w:rPr>
        <w:t>Anshu</w:t>
      </w:r>
      <w:proofErr w:type="spellEnd"/>
      <w:r>
        <w:rPr>
          <w:color w:val="3C4245"/>
          <w:sz w:val="24"/>
          <w:szCs w:val="24"/>
          <w:highlight w:val="white"/>
        </w:rPr>
        <w:t xml:space="preserve"> </w:t>
      </w:r>
      <w:proofErr w:type="spellStart"/>
      <w:r>
        <w:rPr>
          <w:color w:val="3C4245"/>
          <w:sz w:val="24"/>
          <w:szCs w:val="24"/>
          <w:highlight w:val="white"/>
        </w:rPr>
        <w:t>Banerjee</w:t>
      </w:r>
      <w:proofErr w:type="spellEnd"/>
      <w:r>
        <w:rPr>
          <w:color w:val="3C4245"/>
          <w:sz w:val="24"/>
          <w:szCs w:val="24"/>
          <w:highlight w:val="white"/>
        </w:rPr>
        <w:t>, Director del De</w:t>
      </w:r>
      <w:r>
        <w:rPr>
          <w:color w:val="3C4245"/>
          <w:sz w:val="24"/>
          <w:szCs w:val="24"/>
          <w:highlight w:val="white"/>
        </w:rPr>
        <w:t>partamento de Salud de la Madre, el Recién Nacido, el Niño y el Adolescente y Envejecimiento de la Organización Mundial de la Salud (OMS) señala</w:t>
      </w:r>
      <w:proofErr w:type="gramStart"/>
      <w:r>
        <w:rPr>
          <w:color w:val="3C4245"/>
          <w:sz w:val="24"/>
          <w:szCs w:val="24"/>
          <w:highlight w:val="white"/>
        </w:rPr>
        <w:t>:  “</w:t>
      </w:r>
      <w:proofErr w:type="gramEnd"/>
      <w:r>
        <w:rPr>
          <w:color w:val="3C4245"/>
          <w:sz w:val="24"/>
          <w:szCs w:val="24"/>
          <w:highlight w:val="white"/>
        </w:rPr>
        <w:t>Los niños de todo el mundo necesitan sistemas sólidos de atención primaria de la salud que satisfagan sus ne</w:t>
      </w:r>
      <w:r>
        <w:rPr>
          <w:color w:val="3C4245"/>
          <w:sz w:val="24"/>
          <w:szCs w:val="24"/>
          <w:highlight w:val="white"/>
        </w:rPr>
        <w:t>cesidades y las de sus familias, para que tengan el mejor comienzo en la vida y esperanzas para el futuro, independientemente de dónde nazcan”.</w:t>
      </w:r>
    </w:p>
    <w:p w14:paraId="0000000C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Las desigualdades persisten y estas marcan la diferencia para un niño o niña entre vivir o morir. México, de acu</w:t>
      </w:r>
      <w:r>
        <w:rPr>
          <w:color w:val="3C4245"/>
          <w:sz w:val="24"/>
          <w:szCs w:val="24"/>
          <w:highlight w:val="white"/>
        </w:rPr>
        <w:t xml:space="preserve">erdo al reporte de la OMS, ha disminuido su tasa de mortalidad infantil (muertes por cada 1,000 nacimientos vivos, menores de 5 años) de 45 en 1990 a 28 en el 2000 y 13 en el 2020, lo cual indica que las condiciones han mejorado a través de los años, pero </w:t>
      </w:r>
      <w:r>
        <w:rPr>
          <w:color w:val="3C4245"/>
          <w:sz w:val="24"/>
          <w:szCs w:val="24"/>
          <w:highlight w:val="white"/>
        </w:rPr>
        <w:t>ello no significa que debamos conformarnos, sino que debemos seguir trabajando por alcanzar mejores cifras.</w:t>
      </w:r>
    </w:p>
    <w:p w14:paraId="0000000D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Chihuahua, es uno los estados del país con una desigualdad más marcada, ocupa el séptimo lugar del indicador “Gini del ingreso disponible de los hog</w:t>
      </w:r>
      <w:r>
        <w:rPr>
          <w:color w:val="3C4245"/>
          <w:sz w:val="24"/>
          <w:szCs w:val="24"/>
          <w:highlight w:val="white"/>
        </w:rPr>
        <w:t xml:space="preserve">ares per cápita”. Esta desigualdad se acentúa en los municipios serranos, ejemplo de ello son los resultados en el índice descrito de Batopilas, Guazapares, </w:t>
      </w:r>
      <w:proofErr w:type="spellStart"/>
      <w:r>
        <w:rPr>
          <w:color w:val="3C4245"/>
          <w:sz w:val="24"/>
          <w:szCs w:val="24"/>
          <w:highlight w:val="white"/>
        </w:rPr>
        <w:t>Balleza</w:t>
      </w:r>
      <w:proofErr w:type="spellEnd"/>
      <w:r>
        <w:rPr>
          <w:color w:val="3C4245"/>
          <w:sz w:val="24"/>
          <w:szCs w:val="24"/>
          <w:highlight w:val="white"/>
        </w:rPr>
        <w:t>, Bocoyna y Guachochi, municipios en donde incluso, los medios de comunicación, han dado a c</w:t>
      </w:r>
      <w:r>
        <w:rPr>
          <w:color w:val="3C4245"/>
          <w:sz w:val="24"/>
          <w:szCs w:val="24"/>
          <w:highlight w:val="white"/>
        </w:rPr>
        <w:t xml:space="preserve">onocer casos de muertes por desnutrición. </w:t>
      </w:r>
    </w:p>
    <w:p w14:paraId="0000000E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Por ello, sí las desigualdades en el mundo, marcan la diferencia entre la esperanza de vida de las niñas y niños, esto debe ser trasladado a nuestro Estado, por lo que es necesario conocer la situación, así como l</w:t>
      </w:r>
      <w:r>
        <w:rPr>
          <w:color w:val="3C4245"/>
          <w:sz w:val="24"/>
          <w:szCs w:val="24"/>
          <w:highlight w:val="white"/>
        </w:rPr>
        <w:t xml:space="preserve">as políticas que se desarrollan y la efectividad que las mismas han tenido para poder, desde el ámbito de cada poder, realizar las acciones necesarias y suficientes para disminuir las muertes de infantes. </w:t>
      </w:r>
    </w:p>
    <w:p w14:paraId="0000000F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De acuerdo con la Red por los Derechos de la Infan</w:t>
      </w:r>
      <w:r>
        <w:rPr>
          <w:color w:val="3C4245"/>
          <w:sz w:val="24"/>
          <w:szCs w:val="24"/>
          <w:highlight w:val="white"/>
        </w:rPr>
        <w:t xml:space="preserve">cia en México, la principal causa de muerte de niñas y niños de 0 a 5 años en nuestro Estado son: ciertas afecciones originadas en el período perinatal (45.3%), malformaciones congénitas, deformidades y anomalías cromosómicas (17%), otras enfermedades del </w:t>
      </w:r>
      <w:r>
        <w:rPr>
          <w:color w:val="3C4245"/>
          <w:sz w:val="24"/>
          <w:szCs w:val="24"/>
          <w:highlight w:val="white"/>
        </w:rPr>
        <w:t xml:space="preserve">aparato </w:t>
      </w:r>
      <w:proofErr w:type="gramStart"/>
      <w:r>
        <w:rPr>
          <w:color w:val="3C4245"/>
          <w:sz w:val="24"/>
          <w:szCs w:val="24"/>
          <w:highlight w:val="white"/>
        </w:rPr>
        <w:t>respiratorio(</w:t>
      </w:r>
      <w:proofErr w:type="gramEnd"/>
      <w:r>
        <w:rPr>
          <w:color w:val="3C4245"/>
          <w:sz w:val="24"/>
          <w:szCs w:val="24"/>
          <w:highlight w:val="white"/>
        </w:rPr>
        <w:t>4.6%), accidentes de transporte (3.5), otros accidentes , incluso los efectos tardíos (7.2%). De acuerdo a estas cifras, para el 2021 fallecieron en Chihuahua 16 infantes de desnutrición y otras deficiencias nutricionales, sin embargo,</w:t>
      </w:r>
      <w:r>
        <w:rPr>
          <w:color w:val="3C4245"/>
          <w:sz w:val="24"/>
          <w:szCs w:val="24"/>
          <w:highlight w:val="white"/>
        </w:rPr>
        <w:t xml:space="preserve"> </w:t>
      </w:r>
      <w:r>
        <w:rPr>
          <w:color w:val="3C4245"/>
          <w:sz w:val="24"/>
          <w:szCs w:val="24"/>
          <w:highlight w:val="white"/>
        </w:rPr>
        <w:lastRenderedPageBreak/>
        <w:t xml:space="preserve">de acuerdo a nota periodística, se reportaron en el 2023, 16 casos en la sierra tarahumara, de acuerdo a lo informado por el </w:t>
      </w:r>
      <w:proofErr w:type="gramStart"/>
      <w:r>
        <w:rPr>
          <w:color w:val="3C4245"/>
          <w:sz w:val="24"/>
          <w:szCs w:val="24"/>
          <w:highlight w:val="white"/>
        </w:rPr>
        <w:t>Secretario</w:t>
      </w:r>
      <w:proofErr w:type="gramEnd"/>
      <w:r>
        <w:rPr>
          <w:color w:val="3C4245"/>
          <w:sz w:val="24"/>
          <w:szCs w:val="24"/>
          <w:highlight w:val="white"/>
        </w:rPr>
        <w:t xml:space="preserve"> de Salud del Estado. </w:t>
      </w:r>
    </w:p>
    <w:p w14:paraId="00000010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En el mismo sentido, de acuerdo con las cifras obtenidas del Instituto Nacional de Estadística y </w:t>
      </w:r>
      <w:r>
        <w:rPr>
          <w:color w:val="3C4245"/>
          <w:sz w:val="24"/>
          <w:szCs w:val="24"/>
          <w:highlight w:val="white"/>
        </w:rPr>
        <w:t>Geografía, en 2022 se reportaron los fallecimientos de 870 niños de 0 a 5 años por diferentes causas, sin embargo, debemos conocer esto a profundidad, así como las acciones emprendidas desde el Gobierno para mejorar la calidad y la esperanza de vida de niñ</w:t>
      </w:r>
      <w:r>
        <w:rPr>
          <w:color w:val="3C4245"/>
          <w:sz w:val="24"/>
          <w:szCs w:val="24"/>
          <w:highlight w:val="white"/>
        </w:rPr>
        <w:t xml:space="preserve">as y niños en nuestro Estado. </w:t>
      </w:r>
    </w:p>
    <w:p w14:paraId="00000011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La Constitución Federal, la local </w:t>
      </w:r>
      <w:proofErr w:type="gramStart"/>
      <w:r>
        <w:rPr>
          <w:color w:val="3C4245"/>
          <w:sz w:val="24"/>
          <w:szCs w:val="24"/>
          <w:highlight w:val="white"/>
        </w:rPr>
        <w:t>y  Ley</w:t>
      </w:r>
      <w:proofErr w:type="gramEnd"/>
      <w:r>
        <w:rPr>
          <w:color w:val="3C4245"/>
          <w:sz w:val="24"/>
          <w:szCs w:val="24"/>
          <w:highlight w:val="white"/>
        </w:rPr>
        <w:t xml:space="preserve"> General de Salud así como la Ley Estatal en la materia establecen el derecho fundamental de la protección a la salud, así como las garantías para hacerlo efectivo, como es el caso del </w:t>
      </w:r>
      <w:r>
        <w:rPr>
          <w:color w:val="3C4245"/>
          <w:sz w:val="24"/>
          <w:szCs w:val="24"/>
          <w:highlight w:val="white"/>
        </w:rPr>
        <w:t>acceso a servicios de salud para las personas que no cuentan con seguridad social.</w:t>
      </w:r>
    </w:p>
    <w:p w14:paraId="00000012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De la misma manera, la Ley de los Derechos </w:t>
      </w:r>
      <w:proofErr w:type="gramStart"/>
      <w:r>
        <w:rPr>
          <w:color w:val="3C4245"/>
          <w:sz w:val="24"/>
          <w:szCs w:val="24"/>
          <w:highlight w:val="white"/>
        </w:rPr>
        <w:t>de  Niñas</w:t>
      </w:r>
      <w:proofErr w:type="gramEnd"/>
      <w:r>
        <w:rPr>
          <w:color w:val="3C4245"/>
          <w:sz w:val="24"/>
          <w:szCs w:val="24"/>
          <w:highlight w:val="white"/>
        </w:rPr>
        <w:t>, Niños y Adolescentes del Estado, enuncia, entre otros, los derechos de vivir en condiciones de bienestar y a un sano de</w:t>
      </w:r>
      <w:r>
        <w:rPr>
          <w:color w:val="3C4245"/>
          <w:sz w:val="24"/>
          <w:szCs w:val="24"/>
          <w:highlight w:val="white"/>
        </w:rPr>
        <w:t>sarrollo integral y el derecho a la salud y el bienestar social, entre cuyas finalidades se encuentran el reducir la morbilidad y mortalidad, combatir la desnutrición crónica y aguda  y asegurar una alimentación nutritiva, suficiente y de calidad que permi</w:t>
      </w:r>
      <w:r>
        <w:rPr>
          <w:color w:val="3C4245"/>
          <w:sz w:val="24"/>
          <w:szCs w:val="24"/>
          <w:highlight w:val="white"/>
        </w:rPr>
        <w:t xml:space="preserve">ta lograr su normal crecimiento y óptimo desarrollo físico y mental. </w:t>
      </w:r>
    </w:p>
    <w:p w14:paraId="00000013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Con la finalidad de incidir en la esperanza de vida y la protección a la salud de las niñas, niños y adolescentes, con fundamento en lo dispuesto por las fracciones I y II del Artículo 6</w:t>
      </w:r>
      <w:r>
        <w:rPr>
          <w:color w:val="3C4245"/>
          <w:sz w:val="24"/>
          <w:szCs w:val="24"/>
          <w:highlight w:val="white"/>
        </w:rPr>
        <w:t xml:space="preserve">6 de la Constitución Política del Estado de Chihuahua, me permito, dirigir las siguientes preguntas </w:t>
      </w:r>
      <w:r>
        <w:rPr>
          <w:b/>
          <w:color w:val="3C4245"/>
          <w:sz w:val="24"/>
          <w:szCs w:val="24"/>
          <w:highlight w:val="white"/>
        </w:rPr>
        <w:t>A LA SECRETARÍA DE SALUD DEL ESTADO DE CHIHUAHUA,</w:t>
      </w:r>
      <w:r>
        <w:rPr>
          <w:color w:val="3C4245"/>
          <w:sz w:val="24"/>
          <w:szCs w:val="24"/>
          <w:highlight w:val="white"/>
        </w:rPr>
        <w:t xml:space="preserve"> así como a las autoridades competentes en la materia:</w:t>
      </w:r>
    </w:p>
    <w:p w14:paraId="00000014" w14:textId="77777777" w:rsidR="003E0FAF" w:rsidRDefault="00524F6F">
      <w:pPr>
        <w:numPr>
          <w:ilvl w:val="0"/>
          <w:numId w:val="1"/>
        </w:numPr>
        <w:spacing w:before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¿Cuántas muertes infantiles y juveniles ocurrieron e</w:t>
      </w:r>
      <w:r>
        <w:rPr>
          <w:color w:val="3C4245"/>
          <w:sz w:val="24"/>
          <w:szCs w:val="24"/>
          <w:highlight w:val="white"/>
        </w:rPr>
        <w:t>n 2018, 2019, 2020, 2021, 2022 y 2023? Lo anterior desglosado por edad desde 1 semana hasta 18 años de edad (por semanas desde 1 semana hasta 4 semanas, por meses desde 1 mes hasta 11 meses y por años desde 1 hasta 18 años) señalando causa de muerte y muni</w:t>
      </w:r>
      <w:r>
        <w:rPr>
          <w:color w:val="3C4245"/>
          <w:sz w:val="24"/>
          <w:szCs w:val="24"/>
          <w:highlight w:val="white"/>
        </w:rPr>
        <w:t xml:space="preserve">cipio de ocurrencia. </w:t>
      </w:r>
    </w:p>
    <w:p w14:paraId="00000015" w14:textId="77777777" w:rsidR="003E0FAF" w:rsidRDefault="00524F6F">
      <w:pPr>
        <w:numPr>
          <w:ilvl w:val="0"/>
          <w:numId w:val="1"/>
        </w:numPr>
        <w:spacing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¿Cuántas muertes reportadas tienen relación con efectos de la desnutrición? </w:t>
      </w:r>
    </w:p>
    <w:p w14:paraId="00000016" w14:textId="77777777" w:rsidR="003E0FAF" w:rsidRDefault="00524F6F">
      <w:pPr>
        <w:numPr>
          <w:ilvl w:val="0"/>
          <w:numId w:val="1"/>
        </w:numPr>
        <w:spacing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¿Qué políticas públicas y programas se están implementando para disminuir la mortalidad infantil y los riesgos de salud de las niñas y niños? </w:t>
      </w:r>
    </w:p>
    <w:p w14:paraId="00000017" w14:textId="77777777" w:rsidR="003E0FAF" w:rsidRDefault="00524F6F">
      <w:pPr>
        <w:numPr>
          <w:ilvl w:val="0"/>
          <w:numId w:val="1"/>
        </w:numPr>
        <w:spacing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lastRenderedPageBreak/>
        <w:t>¿Cuáles accion</w:t>
      </w:r>
      <w:r>
        <w:rPr>
          <w:color w:val="3C4245"/>
          <w:sz w:val="24"/>
          <w:szCs w:val="24"/>
          <w:highlight w:val="white"/>
        </w:rPr>
        <w:t>es por parte de la Secretaría de Salud se realizan para incidir en las fracciones I, III y VIII del artículo 56 de la Ley de los Derechos de Niñas, Niños y Adolescentes del Estado de Chihuahua? ¿Qué presupuesto se destinó en 2023 a la atención infantil? De</w:t>
      </w:r>
      <w:r>
        <w:rPr>
          <w:color w:val="3C4245"/>
          <w:sz w:val="24"/>
          <w:szCs w:val="24"/>
          <w:highlight w:val="white"/>
        </w:rPr>
        <w:t>sglosado por programa e institución.</w:t>
      </w:r>
    </w:p>
    <w:p w14:paraId="00000018" w14:textId="77777777" w:rsidR="003E0FAF" w:rsidRDefault="00524F6F">
      <w:pPr>
        <w:numPr>
          <w:ilvl w:val="0"/>
          <w:numId w:val="1"/>
        </w:numPr>
        <w:spacing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¿Cuáles han sido las aportaciones de la Secretaría de Salud al Sistema Estatal de Protección Integral?</w:t>
      </w:r>
    </w:p>
    <w:p w14:paraId="00000019" w14:textId="77777777" w:rsidR="003E0FAF" w:rsidRDefault="00524F6F">
      <w:pPr>
        <w:numPr>
          <w:ilvl w:val="0"/>
          <w:numId w:val="1"/>
        </w:numPr>
        <w:spacing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¿Cómo se desarrolla la coordinación con otras secretarías y entidades de gobierno para el diagnóstico de riesgos en la población infantil y </w:t>
      </w:r>
      <w:proofErr w:type="spellStart"/>
      <w:r>
        <w:rPr>
          <w:color w:val="3C4245"/>
          <w:sz w:val="24"/>
          <w:szCs w:val="24"/>
          <w:highlight w:val="white"/>
        </w:rPr>
        <w:t>cúal</w:t>
      </w:r>
      <w:proofErr w:type="spellEnd"/>
      <w:r>
        <w:rPr>
          <w:color w:val="3C4245"/>
          <w:sz w:val="24"/>
          <w:szCs w:val="24"/>
          <w:highlight w:val="white"/>
        </w:rPr>
        <w:t xml:space="preserve"> es el proceso a partir del cual se atiende a las personas una vez identificadas? </w:t>
      </w:r>
    </w:p>
    <w:p w14:paraId="0000001A" w14:textId="77777777" w:rsidR="003E0FAF" w:rsidRDefault="00524F6F">
      <w:pPr>
        <w:spacing w:before="240" w:after="240" w:line="360" w:lineRule="auto"/>
        <w:jc w:val="both"/>
        <w:rPr>
          <w:b/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>En virtud de lo dispuesto por</w:t>
      </w:r>
      <w:r>
        <w:rPr>
          <w:b/>
          <w:color w:val="3C4245"/>
          <w:sz w:val="24"/>
          <w:szCs w:val="24"/>
          <w:highlight w:val="white"/>
        </w:rPr>
        <w:t xml:space="preserve"> las fracciones III, IV y V del artículo 66 de la Constitución Política del Estado de Chihuahua, solicito:</w:t>
      </w:r>
    </w:p>
    <w:p w14:paraId="0000001B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 xml:space="preserve"> PRIMERO.</w:t>
      </w:r>
      <w:r>
        <w:rPr>
          <w:color w:val="3C4245"/>
          <w:sz w:val="24"/>
          <w:szCs w:val="24"/>
          <w:highlight w:val="white"/>
        </w:rPr>
        <w:t xml:space="preserve"> A esta Presidencia, turnar las preguntas anteriormente formuladas a las autoridades mencionadas a más tardar en la segunda sesión ordinaria</w:t>
      </w:r>
      <w:r>
        <w:rPr>
          <w:color w:val="3C4245"/>
          <w:sz w:val="24"/>
          <w:szCs w:val="24"/>
          <w:highlight w:val="white"/>
        </w:rPr>
        <w:t xml:space="preserve"> posterior a esta fecha, de conformidad con la fracción III del artículo 66 de la Constitución, dando aviso a la C. Gobernadora Constitucional del Estado.</w:t>
      </w:r>
    </w:p>
    <w:p w14:paraId="0000001C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>SEGUNDO.</w:t>
      </w:r>
      <w:r>
        <w:rPr>
          <w:color w:val="3C4245"/>
          <w:sz w:val="24"/>
          <w:szCs w:val="24"/>
          <w:highlight w:val="white"/>
        </w:rPr>
        <w:t xml:space="preserve"> De igual manera y una vez agotados los plazos contemplados para que las autoridades emitan su respuesta, me permito solicitar a la Mesa Directiva del H. Congreso del Estado para que, a través de su presidencia, se sirva a dar vista al suscrito de la respu</w:t>
      </w:r>
      <w:r>
        <w:rPr>
          <w:color w:val="3C4245"/>
          <w:sz w:val="24"/>
          <w:szCs w:val="24"/>
          <w:highlight w:val="white"/>
        </w:rPr>
        <w:t>esta, en los términos de la fracción V del artículo 66 de la Constitución Política.</w:t>
      </w:r>
    </w:p>
    <w:p w14:paraId="0000001D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>Dado en el Salón de Sesiones del H. Congreso del Estado, a los 21 días del mes de febrero de 2024.</w:t>
      </w:r>
    </w:p>
    <w:p w14:paraId="0000001E" w14:textId="77777777" w:rsidR="003E0FAF" w:rsidRDefault="00524F6F">
      <w:pPr>
        <w:spacing w:before="240" w:after="240" w:line="360" w:lineRule="auto"/>
        <w:jc w:val="both"/>
        <w:rPr>
          <w:color w:val="3C4245"/>
          <w:sz w:val="24"/>
          <w:szCs w:val="24"/>
          <w:highlight w:val="white"/>
        </w:rPr>
      </w:pPr>
      <w:r>
        <w:rPr>
          <w:color w:val="3C4245"/>
          <w:sz w:val="24"/>
          <w:szCs w:val="24"/>
          <w:highlight w:val="white"/>
        </w:rPr>
        <w:t xml:space="preserve"> </w:t>
      </w:r>
    </w:p>
    <w:p w14:paraId="0000001F" w14:textId="77777777" w:rsidR="003E0FAF" w:rsidRDefault="00524F6F">
      <w:pPr>
        <w:spacing w:before="240" w:after="240" w:line="360" w:lineRule="auto"/>
        <w:jc w:val="center"/>
        <w:rPr>
          <w:b/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>Atentamente,</w:t>
      </w:r>
    </w:p>
    <w:p w14:paraId="00000020" w14:textId="77777777" w:rsidR="003E0FAF" w:rsidRDefault="00524F6F">
      <w:pPr>
        <w:spacing w:before="240" w:after="240" w:line="360" w:lineRule="auto"/>
        <w:jc w:val="center"/>
        <w:rPr>
          <w:b/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 xml:space="preserve"> </w:t>
      </w:r>
    </w:p>
    <w:p w14:paraId="00000021" w14:textId="77777777" w:rsidR="003E0FAF" w:rsidRDefault="00524F6F">
      <w:pPr>
        <w:spacing w:before="240" w:after="240" w:line="360" w:lineRule="auto"/>
        <w:jc w:val="center"/>
        <w:rPr>
          <w:b/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>DIP. JAEL ARGÜELLES DÍAZ.</w:t>
      </w:r>
    </w:p>
    <w:p w14:paraId="00000022" w14:textId="77777777" w:rsidR="003E0FAF" w:rsidRDefault="00524F6F">
      <w:pPr>
        <w:spacing w:before="240" w:after="240" w:line="360" w:lineRule="auto"/>
        <w:jc w:val="center"/>
        <w:rPr>
          <w:b/>
          <w:color w:val="3C4245"/>
          <w:sz w:val="24"/>
          <w:szCs w:val="24"/>
          <w:highlight w:val="white"/>
        </w:rPr>
      </w:pPr>
      <w:r>
        <w:rPr>
          <w:b/>
          <w:color w:val="3C4245"/>
          <w:sz w:val="24"/>
          <w:szCs w:val="24"/>
          <w:highlight w:val="white"/>
        </w:rPr>
        <w:t>GRUPO PARLAMENTARIO DE MORENA</w:t>
      </w:r>
    </w:p>
    <w:p w14:paraId="00000023" w14:textId="77777777" w:rsidR="003E0FAF" w:rsidRDefault="003E0FAF">
      <w:pPr>
        <w:spacing w:before="240" w:after="240" w:line="360" w:lineRule="auto"/>
        <w:jc w:val="center"/>
        <w:rPr>
          <w:b/>
          <w:color w:val="3C4245"/>
          <w:sz w:val="24"/>
          <w:szCs w:val="24"/>
          <w:highlight w:val="white"/>
        </w:rPr>
      </w:pPr>
    </w:p>
    <w:sectPr w:rsidR="003E0F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D95"/>
    <w:multiLevelType w:val="multilevel"/>
    <w:tmpl w:val="2CDA3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F"/>
    <w:rsid w:val="003E0FAF"/>
    <w:rsid w:val="005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F4A10-996C-418D-BD12-949A68A0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2024-02-21T15:02:00Z</dcterms:created>
  <dcterms:modified xsi:type="dcterms:W3CDTF">2024-02-21T15:02:00Z</dcterms:modified>
</cp:coreProperties>
</file>