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834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CHIHUAHUA.</w:t>
      </w:r>
    </w:p>
    <w:p w14:paraId="091FA3A0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DD4F7B6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PRESENTE:</w:t>
      </w:r>
    </w:p>
    <w:p w14:paraId="0E2FB8A4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7CB35E8" w14:textId="263A71E9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Los que suscriben, en nuestro carácter de Diputados de la Sexagésima Séptima Legislatura del Honorable Congreso del Estado de Chihuahua e integrantes del Grupo Parlamentario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MORENA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con fundamento en lo que disponen los artículos 167, fracción I y 169, todos de la Ley Orgánica del Poder Legislativo; artículo 2, fracción IX del Reglamento Interior y de Prácticas Parlamentarias del Poder Legislativo, comparezco ante esta Honorable Soberanía a fin de presentar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Proposición con carácter de Punto de acuerdo, a fin de exhortar, 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al Instituto Chihuahuense de las Mujeres, para que implemente con urgencia el programa de puntos naranja para las mujeres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la zona noroeste del Es</w:t>
      </w:r>
      <w:r w:rsidR="001B4C31">
        <w:rPr>
          <w:rFonts w:ascii="Century Gothic" w:eastAsia="Century Gothic" w:hAnsi="Century Gothic" w:cs="Century Gothic"/>
          <w:b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sz w:val="24"/>
          <w:szCs w:val="24"/>
        </w:rPr>
        <w:t>ado,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lo anterior con sustentado en la siguiente:</w:t>
      </w:r>
    </w:p>
    <w:p w14:paraId="29DFE651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D936D86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MOTIVOS:</w:t>
      </w:r>
    </w:p>
    <w:p w14:paraId="6BDD54B7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CA69839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 analizar el informe presentado por Gobierno del Estado, se puede observar una gran ausencia: En todos los municipios de la Zona Noroeste del Estado de Chihuahua, que se está caracterizando por un aumento en las denuncias por violencia familiar y de género, no existe ningún centro público o privado que esté inscrito en el programa denominado Puntos Naranjas.</w:t>
      </w:r>
    </w:p>
    <w:p w14:paraId="10FB989B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507E2AC" w14:textId="56499FF0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Como todos sabemos, los </w:t>
      </w:r>
      <w:r w:rsidR="003410B4">
        <w:rPr>
          <w:rFonts w:ascii="Century Gothic" w:eastAsia="Century Gothic" w:hAnsi="Century Gothic" w:cs="Century Gothic"/>
          <w:sz w:val="24"/>
          <w:szCs w:val="24"/>
        </w:rPr>
        <w:t>puntos naranjas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son espacios seguros, </w:t>
      </w:r>
      <w:r>
        <w:rPr>
          <w:rFonts w:ascii="Century Gothic" w:eastAsia="Century Gothic" w:hAnsi="Century Gothic" w:cs="Century Gothic"/>
          <w:color w:val="666666"/>
          <w:sz w:val="24"/>
          <w:szCs w:val="24"/>
          <w:highlight w:val="white"/>
        </w:rPr>
        <w:t>los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cuales, reciben a aquellas mujeres que hayan sido víctimas de violencia y acoso sexual comunitario. Dichas áreas varían desde negocios, bibliotecas, escuelas, gasolineras, supermercados, entre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otros ,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los cuales se encuentran dotados con una guía informativa que seguirán para brindar apoyo a quien lo solicite, así como los números de emergencias correspondientes para que puedan canalizar con las autoridades responsables, mismas que brindarán el auxilio y asesoría para el caso en particular.</w:t>
      </w:r>
    </w:p>
    <w:p w14:paraId="3A8FB36E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3D196233" w14:textId="25F72CD8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Pues bien, como pueden consultar en la página oficial del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ICHMujeres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los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puntos naranja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se concentran tan solo en: Chihuahua, Parral, Cuauhtémoc, Delicias, Guachohi, Camargo, Aldama, Meoqui y Aquiles Serdán. Dejando en desatención a las mujeres del resto del Estado, especialmente de mi región Noroeste.</w:t>
      </w:r>
    </w:p>
    <w:p w14:paraId="0AD26BAF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6FE2FA5F" w14:textId="17965D3A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 w:rsidRPr="00FE2D9E"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7E833AF4" wp14:editId="58FCD2EF">
            <wp:extent cx="5733415" cy="2916555"/>
            <wp:effectExtent l="0" t="0" r="635" b="0"/>
            <wp:docPr id="1366916607" name="Imagen 1" descr="Map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916607" name="Imagen 1" descr="Mapa&#10;&#10;Descripción generada automáticamente con confianza me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7FE6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79FB2316" w14:textId="77777777" w:rsidR="00C5317D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Tan solo en Nuevo Casas Grandes se han registrado 216 denuncias de violencia familiar y 21 violaciones. Teniendo un incremento exponencial en temas de violencia de género.</w:t>
      </w:r>
    </w:p>
    <w:p w14:paraId="24D22392" w14:textId="77777777" w:rsidR="00C5317D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73E11AEB" w14:textId="6F376D96" w:rsidR="00C5317D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Y aún así, aún existe el área de oportunidad para generar esquemas, especialmente preventivas,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mas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que punitivas.</w:t>
      </w:r>
    </w:p>
    <w:p w14:paraId="4BC589C1" w14:textId="77777777" w:rsidR="00C5317D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37412B2B" w14:textId="4ADBFE9A" w:rsidR="00C5317D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En este sentido, en una propuesta simple y de sentido común, presento a esta soberanía</w:t>
      </w:r>
    </w:p>
    <w:p w14:paraId="4EA5AA86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39A99E03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3B1FB58D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4A84C19B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ACUERDO.</w:t>
      </w:r>
    </w:p>
    <w:p w14:paraId="620439EA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572EA158" w14:textId="3452A319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PRIMERO.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La 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Sexagésima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séptima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Legislatura del H. El Congreso del Estado de Chihuahua exhorta respetuosamente 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al instituto Chihuahuenses de las Mujeres, para que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realice las gestiones necesarias para 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implemente al menos un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punto naranja para las mujeres de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cada uno de los municipios y localidades del Estado de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Chihuahua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con especial enfoque en la zona noroeste del </w:t>
      </w:r>
      <w:proofErr w:type="gramStart"/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Estado.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.</w:t>
      </w:r>
      <w:proofErr w:type="gramEnd"/>
    </w:p>
    <w:p w14:paraId="32F096EB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52DA8911" w14:textId="77777777" w:rsidR="00FE2D9E" w:rsidRDefault="00FE2D9E" w:rsidP="00FE2D9E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SEGUNDO.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Envíese copia del presente acuerdo, así como de la iniciativa que le dio origen, a las autoridades mencionadas en los artículos primero y segundo para su conocimiento y los efectos a los que haya lugar.</w:t>
      </w:r>
    </w:p>
    <w:p w14:paraId="24C926E5" w14:textId="77777777" w:rsidR="00FE2D9E" w:rsidRDefault="00FE2D9E" w:rsidP="00FE2D9E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3E5F13D" w14:textId="266339B9" w:rsidR="00FE2D9E" w:rsidRDefault="00FE2D9E" w:rsidP="00FE2D9E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 A D O en el recinto oficial del Congreso del Estado de Chihuahua, a los </w:t>
      </w:r>
      <w:r w:rsidR="00C5317D">
        <w:rPr>
          <w:rFonts w:ascii="Century Gothic" w:eastAsia="Century Gothic" w:hAnsi="Century Gothic" w:cs="Century Gothic"/>
          <w:b/>
          <w:sz w:val="24"/>
          <w:szCs w:val="24"/>
        </w:rPr>
        <w:t xml:space="preserve">07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días del mes de </w:t>
      </w:r>
      <w:r w:rsidR="00C5317D">
        <w:rPr>
          <w:rFonts w:ascii="Century Gothic" w:eastAsia="Century Gothic" w:hAnsi="Century Gothic" w:cs="Century Gothic"/>
          <w:b/>
          <w:sz w:val="24"/>
          <w:szCs w:val="24"/>
        </w:rPr>
        <w:t>febrero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de 202</w:t>
      </w:r>
      <w:r w:rsidR="00C5317D">
        <w:rPr>
          <w:rFonts w:ascii="Century Gothic" w:eastAsia="Century Gothic" w:hAnsi="Century Gothic" w:cs="Century Gothic"/>
          <w:b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37648707" w14:textId="77777777" w:rsidR="00FE2D9E" w:rsidRDefault="00FE2D9E" w:rsidP="00FE2D9E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269CF787" w14:textId="77777777" w:rsidR="00FE2D9E" w:rsidRDefault="00FE2D9E" w:rsidP="00FE2D9E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Atentamente</w:t>
      </w:r>
    </w:p>
    <w:p w14:paraId="6ED0C3AB" w14:textId="77777777" w:rsidR="00FE2D9E" w:rsidRDefault="00FE2D9E" w:rsidP="00FE2D9E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0F2C8F3" w14:textId="77777777" w:rsidR="00C5317D" w:rsidRPr="00FF4188" w:rsidRDefault="00C5317D" w:rsidP="00C5317D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FF4188">
        <w:rPr>
          <w:rFonts w:ascii="Century Gothic" w:hAnsi="Century Gothic" w:cs="Times New Roman"/>
          <w:b/>
          <w:bCs/>
          <w:color w:val="000000"/>
          <w:sz w:val="24"/>
          <w:szCs w:val="24"/>
        </w:rPr>
        <w:t>ATENTAMENTE,</w:t>
      </w:r>
    </w:p>
    <w:p w14:paraId="1D13CF1F" w14:textId="77777777" w:rsidR="00C5317D" w:rsidRPr="00FF4188" w:rsidRDefault="00C5317D" w:rsidP="00C5317D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FF4188">
        <w:rPr>
          <w:rFonts w:ascii="Century Gothic" w:hAnsi="Century Gothic"/>
          <w:b/>
          <w:bCs/>
          <w:sz w:val="24"/>
          <w:szCs w:val="24"/>
          <w:lang w:val="es-ES"/>
        </w:rPr>
        <w:t>DIPUTADAS Y DIPUTADOS DE MORENA</w:t>
      </w:r>
    </w:p>
    <w:p w14:paraId="1BFD9E9F" w14:textId="77777777" w:rsidR="00C5317D" w:rsidRPr="00FF4188" w:rsidRDefault="00C5317D" w:rsidP="00C5317D">
      <w:pPr>
        <w:rPr>
          <w:rFonts w:ascii="Century Gothic" w:hAnsi="Century Gothic"/>
          <w:sz w:val="24"/>
          <w:szCs w:val="24"/>
        </w:rPr>
      </w:pPr>
    </w:p>
    <w:p w14:paraId="44295E7D" w14:textId="77777777" w:rsidR="0026565B" w:rsidRDefault="0026565B" w:rsidP="00C5317D">
      <w:pPr>
        <w:spacing w:before="240" w:after="240" w:line="360" w:lineRule="auto"/>
        <w:jc w:val="center"/>
      </w:pPr>
    </w:p>
    <w:sectPr w:rsidR="0026565B" w:rsidSect="00FE2D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E"/>
    <w:rsid w:val="000C1772"/>
    <w:rsid w:val="001B4C31"/>
    <w:rsid w:val="0026565B"/>
    <w:rsid w:val="003410B4"/>
    <w:rsid w:val="00B012CF"/>
    <w:rsid w:val="00C5317D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EE1D"/>
  <w15:chartTrackingRefBased/>
  <w15:docId w15:val="{26CCB841-77DC-426A-AC7E-485CE384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2D9E"/>
    <w:pPr>
      <w:spacing w:after="0" w:line="276" w:lineRule="auto"/>
    </w:pPr>
    <w:rPr>
      <w:rFonts w:ascii="Arial" w:eastAsia="Arial" w:hAnsi="Arial" w:cs="Arial"/>
      <w:kern w:val="0"/>
      <w:lang w:val="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Ordonez Villegas</dc:creator>
  <cp:keywords/>
  <dc:description/>
  <cp:lastModifiedBy>Brenda Sarahi Gonzalez Dominguez</cp:lastModifiedBy>
  <cp:revision>2</cp:revision>
  <dcterms:created xsi:type="dcterms:W3CDTF">2024-02-07T14:54:00Z</dcterms:created>
  <dcterms:modified xsi:type="dcterms:W3CDTF">2024-02-07T14:54:00Z</dcterms:modified>
</cp:coreProperties>
</file>