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CEDE" w14:textId="77777777" w:rsidR="00B25793" w:rsidRDefault="00B25793">
      <w:pPr>
        <w:spacing w:line="360" w:lineRule="auto"/>
        <w:jc w:val="both"/>
        <w:rPr>
          <w:rFonts w:ascii="Century Gothic" w:eastAsia="Century Gothic" w:hAnsi="Century Gothic" w:cs="Century Gothic"/>
          <w:b/>
        </w:rPr>
      </w:pPr>
    </w:p>
    <w:p w14:paraId="21AD03C6" w14:textId="77777777" w:rsidR="00B25793" w:rsidRDefault="00606E58">
      <w:pPr>
        <w:spacing w:line="360" w:lineRule="auto"/>
        <w:jc w:val="both"/>
        <w:rPr>
          <w:rFonts w:ascii="Century Gothic" w:eastAsia="Century Gothic" w:hAnsi="Century Gothic" w:cs="Century Gothic"/>
        </w:rPr>
      </w:pPr>
      <w:r>
        <w:rPr>
          <w:rFonts w:ascii="Century Gothic" w:eastAsia="Century Gothic" w:hAnsi="Century Gothic" w:cs="Century Gothic"/>
          <w:b/>
        </w:rPr>
        <w:t>H. CONGRESO DEL ESTADO DE CHIHUAHUA</w:t>
      </w:r>
    </w:p>
    <w:p w14:paraId="057696B4" w14:textId="77777777" w:rsidR="00B25793" w:rsidRDefault="00606E58">
      <w:pPr>
        <w:spacing w:line="360" w:lineRule="auto"/>
        <w:jc w:val="both"/>
        <w:rPr>
          <w:rFonts w:ascii="Century Gothic" w:eastAsia="Century Gothic" w:hAnsi="Century Gothic" w:cs="Century Gothic"/>
        </w:rPr>
      </w:pPr>
      <w:r>
        <w:rPr>
          <w:rFonts w:ascii="Century Gothic" w:eastAsia="Century Gothic" w:hAnsi="Century Gothic" w:cs="Century Gothic"/>
          <w:b/>
        </w:rPr>
        <w:t>P R E S E N T E.-</w:t>
      </w:r>
    </w:p>
    <w:p w14:paraId="31802DB7" w14:textId="77777777" w:rsidR="00B25793" w:rsidRDefault="00606E58">
      <w:pPr>
        <w:spacing w:line="360" w:lineRule="auto"/>
        <w:jc w:val="both"/>
        <w:rPr>
          <w:rFonts w:ascii="Century Gothic" w:eastAsia="Century Gothic" w:hAnsi="Century Gothic" w:cs="Century Gothic"/>
        </w:rPr>
      </w:pPr>
      <w:r>
        <w:rPr>
          <w:rFonts w:ascii="Century Gothic" w:eastAsia="Century Gothic" w:hAnsi="Century Gothic" w:cs="Century Gothic"/>
          <w:i/>
        </w:rPr>
        <w:t> </w:t>
      </w:r>
    </w:p>
    <w:p w14:paraId="1D669369" w14:textId="77777777" w:rsidR="00B25793" w:rsidRDefault="00606E58">
      <w:pPr>
        <w:spacing w:line="360" w:lineRule="auto"/>
        <w:jc w:val="both"/>
        <w:rPr>
          <w:rFonts w:ascii="Century Gothic" w:eastAsia="Century Gothic" w:hAnsi="Century Gothic" w:cs="Century Gothic"/>
        </w:rPr>
      </w:pPr>
      <w:r>
        <w:rPr>
          <w:rFonts w:ascii="Century Gothic" w:eastAsia="Century Gothic" w:hAnsi="Century Gothic" w:cs="Century Gothic"/>
        </w:rPr>
        <w:t>La suscrita</w:t>
      </w:r>
      <w:r>
        <w:rPr>
          <w:rFonts w:ascii="Century Gothic" w:eastAsia="Century Gothic" w:hAnsi="Century Gothic" w:cs="Century Gothic"/>
          <w:b/>
        </w:rPr>
        <w:t xml:space="preserve"> Isela Martínez Díaz</w:t>
      </w:r>
      <w:r>
        <w:rPr>
          <w:rFonts w:ascii="Century Gothic" w:eastAsia="Century Gothic" w:hAnsi="Century Gothic" w:cs="Century Gothic"/>
        </w:rPr>
        <w:t xml:space="preserve"> Diputada de la Sexagésima Séptima Legislatura del Honorable Congreso del Estado, integrante del Grupo Parlamentario Acción Nacional, y en su representación, con fundamento en lo que dispone los Artículos 167, fracción I, y 169, todos de la Ley Orgánica de</w:t>
      </w:r>
      <w:r>
        <w:rPr>
          <w:rFonts w:ascii="Century Gothic" w:eastAsia="Century Gothic" w:hAnsi="Century Gothic" w:cs="Century Gothic"/>
        </w:rPr>
        <w:t xml:space="preserve">l Poder Legislativo del Estado de Chihuahua; artículo 2, fracción IX, del Reglamento Interior y de Prácticas Parlamentarias del Poder Legislativo; comparezco  ante esta Honorable Soberanía, a fin de presentar </w:t>
      </w:r>
      <w:r>
        <w:rPr>
          <w:rFonts w:ascii="Century Gothic" w:eastAsia="Century Gothic" w:hAnsi="Century Gothic" w:cs="Century Gothic"/>
          <w:b/>
        </w:rPr>
        <w:t xml:space="preserve">PROPOSICIÓN CON CARÁCTER DE PUNTO DE ACUERDO A </w:t>
      </w:r>
      <w:r>
        <w:rPr>
          <w:rFonts w:ascii="Century Gothic" w:eastAsia="Century Gothic" w:hAnsi="Century Gothic" w:cs="Century Gothic"/>
          <w:b/>
        </w:rPr>
        <w:t>EFECTO DE EXHORTAR RESPETUOSAMENTE AL TITULAR DEL PODER EJECUTIVO FEDERAL, ASÍ COMO AL TITULAR DE LA SECRETARÍA DE SALUD FEDERAL, A FIN DE QUE SE IMPLEMENTEN PROTOCOLOS Y PROGRAMAS EFICIENTES DE ATENCIÓN PARA ADULTOS MAYORES EN EL HOSPITAL GENERAL REGIONAL</w:t>
      </w:r>
      <w:r>
        <w:rPr>
          <w:rFonts w:ascii="Century Gothic" w:eastAsia="Century Gothic" w:hAnsi="Century Gothic" w:cs="Century Gothic"/>
          <w:b/>
        </w:rPr>
        <w:t xml:space="preserve"> NO. 1 DEL IMS</w:t>
      </w:r>
      <w:r>
        <w:rPr>
          <w:rFonts w:ascii="Century Gothic" w:eastAsia="Century Gothic" w:hAnsi="Century Gothic" w:cs="Century Gothic"/>
          <w:b/>
          <w:i/>
        </w:rPr>
        <w:t xml:space="preserve">S; </w:t>
      </w:r>
      <w:r>
        <w:rPr>
          <w:rFonts w:ascii="Century Gothic" w:eastAsia="Century Gothic" w:hAnsi="Century Gothic" w:cs="Century Gothic"/>
        </w:rPr>
        <w:t>lo anterior conforme a la siguiente:</w:t>
      </w:r>
    </w:p>
    <w:p w14:paraId="0331D307" w14:textId="77777777" w:rsidR="00B25793" w:rsidRDefault="00B25793">
      <w:pPr>
        <w:spacing w:line="360" w:lineRule="auto"/>
        <w:jc w:val="both"/>
        <w:rPr>
          <w:rFonts w:ascii="Century Gothic" w:eastAsia="Century Gothic" w:hAnsi="Century Gothic" w:cs="Century Gothic"/>
          <w:b/>
          <w:i/>
        </w:rPr>
      </w:pPr>
    </w:p>
    <w:p w14:paraId="297969A5" w14:textId="77777777" w:rsidR="00B25793" w:rsidRDefault="00606E58">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EXPOSICIÓN DE MOTIVOS </w:t>
      </w:r>
    </w:p>
    <w:p w14:paraId="31D697F7"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Durante el sexenio del actual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de la República, hemos presenciado el abandono en el que se ha dejado a Chihuahua. Abandonado en tema de migración, en tema de conservaci</w:t>
      </w:r>
      <w:r>
        <w:rPr>
          <w:rFonts w:ascii="Century Gothic" w:eastAsia="Century Gothic" w:hAnsi="Century Gothic" w:cs="Century Gothic"/>
        </w:rPr>
        <w:t xml:space="preserve">ón de carreteras, en tema de seguridad, </w:t>
      </w:r>
      <w:proofErr w:type="gramStart"/>
      <w:r>
        <w:rPr>
          <w:rFonts w:ascii="Century Gothic" w:eastAsia="Century Gothic" w:hAnsi="Century Gothic" w:cs="Century Gothic"/>
        </w:rPr>
        <w:t>y</w:t>
      </w:r>
      <w:proofErr w:type="gramEnd"/>
      <w:r>
        <w:rPr>
          <w:rFonts w:ascii="Century Gothic" w:eastAsia="Century Gothic" w:hAnsi="Century Gothic" w:cs="Century Gothic"/>
        </w:rPr>
        <w:t xml:space="preserve"> sobre todo, un abandono total en el tema de salud. </w:t>
      </w:r>
    </w:p>
    <w:p w14:paraId="1090B1FB"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Después de casi seis años de administración del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López Obrador, el Instituto Mexicano del Seguro Social ha enfrentado diversas problemáticas en cuanto a</w:t>
      </w:r>
      <w:r>
        <w:rPr>
          <w:rFonts w:ascii="Century Gothic" w:eastAsia="Century Gothic" w:hAnsi="Century Gothic" w:cs="Century Gothic"/>
        </w:rPr>
        <w:t xml:space="preserve"> la atención prestada a los derechohabientes. La </w:t>
      </w:r>
      <w:r>
        <w:rPr>
          <w:rFonts w:ascii="Century Gothic" w:eastAsia="Century Gothic" w:hAnsi="Century Gothic" w:cs="Century Gothic"/>
        </w:rPr>
        <w:lastRenderedPageBreak/>
        <w:t>demanda es tal que supera la capacidad técnica y humana de la institución; los tiempos prolongados de espera, la infraestructura insuficiente, la falta de espacios adecuados, y de camillas disponibles, provo</w:t>
      </w:r>
      <w:r>
        <w:rPr>
          <w:rFonts w:ascii="Century Gothic" w:eastAsia="Century Gothic" w:hAnsi="Century Gothic" w:cs="Century Gothic"/>
        </w:rPr>
        <w:t>can que los pacientes sean “internados” en los pasillos de urgencias hasta que exista un lugar libre. La burocracia y problemas administrativos no están ausentes en la institución dedicada al cuidado de la salud de las y los mexicanos, lo que se traduce en</w:t>
      </w:r>
      <w:r>
        <w:rPr>
          <w:rFonts w:ascii="Century Gothic" w:eastAsia="Century Gothic" w:hAnsi="Century Gothic" w:cs="Century Gothic"/>
        </w:rPr>
        <w:t xml:space="preserve"> procesos administrativos lentos y complicados para los derechohabientes, </w:t>
      </w:r>
      <w:proofErr w:type="gramStart"/>
      <w:r>
        <w:rPr>
          <w:rFonts w:ascii="Century Gothic" w:eastAsia="Century Gothic" w:hAnsi="Century Gothic" w:cs="Century Gothic"/>
        </w:rPr>
        <w:t>pero</w:t>
      </w:r>
      <w:proofErr w:type="gramEnd"/>
      <w:r>
        <w:rPr>
          <w:rFonts w:ascii="Century Gothic" w:eastAsia="Century Gothic" w:hAnsi="Century Gothic" w:cs="Century Gothic"/>
        </w:rPr>
        <w:t xml:space="preserve"> sobre todo, ineficientes para la atención oportuna. </w:t>
      </w:r>
    </w:p>
    <w:p w14:paraId="1A089618"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Hablando a nivel local, el Hospital </w:t>
      </w:r>
      <w:proofErr w:type="gramStart"/>
      <w:r>
        <w:rPr>
          <w:rFonts w:ascii="Century Gothic" w:eastAsia="Century Gothic" w:hAnsi="Century Gothic" w:cs="Century Gothic"/>
        </w:rPr>
        <w:t>General  Regional</w:t>
      </w:r>
      <w:proofErr w:type="gramEnd"/>
      <w:r>
        <w:rPr>
          <w:rFonts w:ascii="Century Gothic" w:eastAsia="Century Gothic" w:hAnsi="Century Gothic" w:cs="Century Gothic"/>
        </w:rPr>
        <w:t xml:space="preserve"> No. 1, Unidad Morelos del Instituto Mexicano del Seguro Social, está c</w:t>
      </w:r>
      <w:r>
        <w:rPr>
          <w:rFonts w:ascii="Century Gothic" w:eastAsia="Century Gothic" w:hAnsi="Century Gothic" w:cs="Century Gothic"/>
        </w:rPr>
        <w:t xml:space="preserve">olapsado. En el año 2023 se recibieron diversas denuncias anónimas sobre fallas en la infraestructura que comprometen la integridad no solamente de quienes acuden para recibir atención médica, sino también de quienes la prestan. </w:t>
      </w:r>
    </w:p>
    <w:p w14:paraId="5672DB21"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Aunado a las problemáticas</w:t>
      </w:r>
      <w:r>
        <w:rPr>
          <w:rFonts w:ascii="Century Gothic" w:eastAsia="Century Gothic" w:hAnsi="Century Gothic" w:cs="Century Gothic"/>
        </w:rPr>
        <w:t xml:space="preserve"> antes planteadas, resulta realmente preocupante la gran deficiencia en la atención prestada a adultos mayores en el IMSS Morelos de esta ciudad. </w:t>
      </w:r>
    </w:p>
    <w:p w14:paraId="0F4D549D"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Los adultos mayores sufren diariamente la ineficacia en su diagnóstico, en el tratamiento médico otorgado, as</w:t>
      </w:r>
      <w:r>
        <w:rPr>
          <w:rFonts w:ascii="Century Gothic" w:eastAsia="Century Gothic" w:hAnsi="Century Gothic" w:cs="Century Gothic"/>
        </w:rPr>
        <w:t xml:space="preserve">í como, en la mala implementación de programas y códigos necesarios acorde a su grupo etario, trayendo consigo efectos irreversibles, tales como mayor mortalidad, el aumento de días de hospitalización, lo que lleva consigo una mayor ocupación hospitalaria </w:t>
      </w:r>
      <w:r>
        <w:rPr>
          <w:rFonts w:ascii="Century Gothic" w:eastAsia="Century Gothic" w:hAnsi="Century Gothic" w:cs="Century Gothic"/>
        </w:rPr>
        <w:t xml:space="preserve">y menos disponibilidad, así como el aumento en gastos operacionales; pero no solamente los pacientes resienten la poca efectividad del sistema de salud </w:t>
      </w:r>
      <w:proofErr w:type="gramStart"/>
      <w:r>
        <w:rPr>
          <w:rFonts w:ascii="Century Gothic" w:eastAsia="Century Gothic" w:hAnsi="Century Gothic" w:cs="Century Gothic"/>
        </w:rPr>
        <w:lastRenderedPageBreak/>
        <w:t>federal,  sino</w:t>
      </w:r>
      <w:proofErr w:type="gramEnd"/>
      <w:r>
        <w:rPr>
          <w:rFonts w:ascii="Century Gothic" w:eastAsia="Century Gothic" w:hAnsi="Century Gothic" w:cs="Century Gothic"/>
        </w:rPr>
        <w:t xml:space="preserve"> también cientos de familias chihuahuenses, con un aumento significativo en gastos, fragme</w:t>
      </w:r>
      <w:r>
        <w:rPr>
          <w:rFonts w:ascii="Century Gothic" w:eastAsia="Century Gothic" w:hAnsi="Century Gothic" w:cs="Century Gothic"/>
        </w:rPr>
        <w:t xml:space="preserve">ntación familiar, y sobre todo, duelos llenos de agonía e incertidumbre. </w:t>
      </w:r>
    </w:p>
    <w:p w14:paraId="24B3B36C" w14:textId="77777777" w:rsidR="00B25793" w:rsidRDefault="00606E58">
      <w:pPr>
        <w:spacing w:before="240" w:after="240" w:line="392" w:lineRule="auto"/>
        <w:ind w:firstLine="720"/>
        <w:jc w:val="both"/>
        <w:rPr>
          <w:rFonts w:ascii="Century Gothic" w:eastAsia="Century Gothic" w:hAnsi="Century Gothic" w:cs="Century Gothic"/>
        </w:rPr>
      </w:pPr>
      <w:proofErr w:type="spellStart"/>
      <w:r>
        <w:rPr>
          <w:rFonts w:ascii="Century Gothic" w:eastAsia="Century Gothic" w:hAnsi="Century Gothic" w:cs="Century Gothic"/>
        </w:rPr>
        <w:t>GeriatrIMSS</w:t>
      </w:r>
      <w:proofErr w:type="spellEnd"/>
      <w:r>
        <w:rPr>
          <w:rFonts w:ascii="Century Gothic" w:eastAsia="Century Gothic" w:hAnsi="Century Gothic" w:cs="Century Gothic"/>
        </w:rPr>
        <w:t xml:space="preserve"> es un programa de Atención Integral del Adulto Mayor, que tiene el objetivo de responder a la demanda que el aumento de esperanza de vida ha traído en México. El incremen</w:t>
      </w:r>
      <w:r>
        <w:rPr>
          <w:rFonts w:ascii="Century Gothic" w:eastAsia="Century Gothic" w:hAnsi="Century Gothic" w:cs="Century Gothic"/>
        </w:rPr>
        <w:t xml:space="preserve">to de población de adultos mayores dio lugar al desarrollo del Plan Geriátrico Institucional </w:t>
      </w:r>
      <w:proofErr w:type="spellStart"/>
      <w:r>
        <w:rPr>
          <w:rFonts w:ascii="Century Gothic" w:eastAsia="Century Gothic" w:hAnsi="Century Gothic" w:cs="Century Gothic"/>
        </w:rPr>
        <w:t>GeriatrIMSS</w:t>
      </w:r>
      <w:proofErr w:type="spellEnd"/>
      <w:r>
        <w:rPr>
          <w:rFonts w:ascii="Century Gothic" w:eastAsia="Century Gothic" w:hAnsi="Century Gothic" w:cs="Century Gothic"/>
        </w:rPr>
        <w:t xml:space="preserve"> para prestar una atención especializada al adulto mayor. Además, busca favorecer el envejecimiento saludable, implementar la atención integral del adul</w:t>
      </w:r>
      <w:r>
        <w:rPr>
          <w:rFonts w:ascii="Century Gothic" w:eastAsia="Century Gothic" w:hAnsi="Century Gothic" w:cs="Century Gothic"/>
        </w:rPr>
        <w:t xml:space="preserve">to mayor en unidades médicas, así como tener profesionales aptos y capacitados para la atención a este sector, disminuir las complicaciones, y así garantizar una mejor calidad de vida. </w:t>
      </w:r>
    </w:p>
    <w:p w14:paraId="1CF70C68"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Asimismo, complementando la atención integral que el estado mexicano d</w:t>
      </w:r>
      <w:r>
        <w:rPr>
          <w:rFonts w:ascii="Century Gothic" w:eastAsia="Century Gothic" w:hAnsi="Century Gothic" w:cs="Century Gothic"/>
        </w:rPr>
        <w:t>ebe garantizar, se estableció la Estrategia Nacional de “</w:t>
      </w:r>
      <w:proofErr w:type="spellStart"/>
      <w:r>
        <w:rPr>
          <w:rFonts w:ascii="Century Gothic" w:eastAsia="Century Gothic" w:hAnsi="Century Gothic" w:cs="Century Gothic"/>
        </w:rPr>
        <w:t>OrtoGeriatrIMSS</w:t>
      </w:r>
      <w:proofErr w:type="spellEnd"/>
      <w:r>
        <w:rPr>
          <w:rFonts w:ascii="Century Gothic" w:eastAsia="Century Gothic" w:hAnsi="Century Gothic" w:cs="Century Gothic"/>
        </w:rPr>
        <w:t xml:space="preserve">”, con el propósito de implementar capacitaciones al personal para un manejo integral en pacientes con fractura de cadera, instruyendo a médicos geriatras y ortopedistas para llevar a </w:t>
      </w:r>
      <w:r>
        <w:rPr>
          <w:rFonts w:ascii="Century Gothic" w:eastAsia="Century Gothic" w:hAnsi="Century Gothic" w:cs="Century Gothic"/>
        </w:rPr>
        <w:t xml:space="preserve">cabo una estrategia de trabajo colaborativo en la hospitalización. </w:t>
      </w:r>
    </w:p>
    <w:p w14:paraId="4CA3A0E9"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A pesar de que estos programas existen en papel, es una realidad que los derechohabientes chihuahuenses no son acreedores de ellos. La atención en el Hospital Regional IMSS Morelos, se enc</w:t>
      </w:r>
      <w:r>
        <w:rPr>
          <w:rFonts w:ascii="Century Gothic" w:eastAsia="Century Gothic" w:hAnsi="Century Gothic" w:cs="Century Gothic"/>
        </w:rPr>
        <w:t xml:space="preserve">uentra fragmentada, segmentada, resultando totalmente perjudicial para los pacientes de todas las edades, </w:t>
      </w:r>
      <w:proofErr w:type="gramStart"/>
      <w:r>
        <w:rPr>
          <w:rFonts w:ascii="Century Gothic" w:eastAsia="Century Gothic" w:hAnsi="Century Gothic" w:cs="Century Gothic"/>
        </w:rPr>
        <w:t>pero</w:t>
      </w:r>
      <w:proofErr w:type="gramEnd"/>
      <w:r>
        <w:rPr>
          <w:rFonts w:ascii="Century Gothic" w:eastAsia="Century Gothic" w:hAnsi="Century Gothic" w:cs="Century Gothic"/>
        </w:rPr>
        <w:t xml:space="preserve"> sobre todo, de nuestros adultos mayores. </w:t>
      </w:r>
    </w:p>
    <w:p w14:paraId="3C60EE26"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Existen graves deficiencias en la aplicación de los programas dirigidos a personas de edad avanzada. Ac</w:t>
      </w:r>
      <w:r>
        <w:rPr>
          <w:rFonts w:ascii="Century Gothic" w:eastAsia="Century Gothic" w:hAnsi="Century Gothic" w:cs="Century Gothic"/>
        </w:rPr>
        <w:t>tualmente no hay una sala de hemodinamia, lo que resulta fundamental para la atención cardiovascular de los pacientes; tampoco existe una correcta aplicación de protocolos y planes de prevención en pacientes con algún padecimiento como diabetes o hipertens</w:t>
      </w:r>
      <w:r>
        <w:rPr>
          <w:rFonts w:ascii="Century Gothic" w:eastAsia="Century Gothic" w:hAnsi="Century Gothic" w:cs="Century Gothic"/>
        </w:rPr>
        <w:t>ión. Estas deficiencias se presentan principalmente por la escasez de personal médico y de recursos, pues tristemente deben hacer lo que pueden con lo poco que tienen.</w:t>
      </w:r>
    </w:p>
    <w:p w14:paraId="6D9D0A09"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El día 19 de enero, Jesús Ramírez Cuevas, el Coordinador General de Comunicación Social </w:t>
      </w:r>
      <w:r>
        <w:rPr>
          <w:rFonts w:ascii="Century Gothic" w:eastAsia="Century Gothic" w:hAnsi="Century Gothic" w:cs="Century Gothic"/>
        </w:rPr>
        <w:t xml:space="preserve">y Vocero del Gobierno de la República, informó con orgullo a través de sus redes sociales que la </w:t>
      </w:r>
      <w:proofErr w:type="spellStart"/>
      <w:r>
        <w:rPr>
          <w:rFonts w:ascii="Century Gothic" w:eastAsia="Century Gothic" w:hAnsi="Century Gothic" w:cs="Century Gothic"/>
        </w:rPr>
        <w:t>megafarmacia</w:t>
      </w:r>
      <w:proofErr w:type="spellEnd"/>
      <w:r>
        <w:rPr>
          <w:rFonts w:ascii="Century Gothic" w:eastAsia="Century Gothic" w:hAnsi="Century Gothic" w:cs="Century Gothic"/>
        </w:rPr>
        <w:t xml:space="preserve">, la cual comenzó a operar desde el 29 de diciembre, ha surtido la penosa cifra de 67 recetas en todo el país. </w:t>
      </w:r>
    </w:p>
    <w:p w14:paraId="3C96DA21"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Uno de los proyectos estrella del G</w:t>
      </w:r>
      <w:r>
        <w:rPr>
          <w:rFonts w:ascii="Century Gothic" w:eastAsia="Century Gothic" w:hAnsi="Century Gothic" w:cs="Century Gothic"/>
        </w:rPr>
        <w:t>obierno Federal, al cual se le han invertido más de 200 millones de pesos, y que prometía acabar de una vez por todas con el desabasto de medicamento que se ha presentado desde el año 2019, recibió 12 mil 541 llamadas, de las que solo pudo atender 67 de el</w:t>
      </w:r>
      <w:r>
        <w:rPr>
          <w:rFonts w:ascii="Century Gothic" w:eastAsia="Century Gothic" w:hAnsi="Century Gothic" w:cs="Century Gothic"/>
        </w:rPr>
        <w:t xml:space="preserve">las, una verdadera pena. </w:t>
      </w:r>
    </w:p>
    <w:p w14:paraId="023AFC55"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Más de 200 millones de pesos gastados en un proyecto que no funciona, como muchos de los realizados por 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López Obrador, el cual pudo significar un verdadero impacto en el sistema de salud si este hubiese sido contempl</w:t>
      </w:r>
      <w:r>
        <w:rPr>
          <w:rFonts w:ascii="Century Gothic" w:eastAsia="Century Gothic" w:hAnsi="Century Gothic" w:cs="Century Gothic"/>
        </w:rPr>
        <w:t xml:space="preserve">ado para aplicarse en infraestructura y personal de las clínicas del Instituto Mexicano del Seguro Social, y no para satisfacer intereses particulares. </w:t>
      </w:r>
    </w:p>
    <w:p w14:paraId="2BEF0247"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lastRenderedPageBreak/>
        <w:t>Aunado al gasto desmedido en proyectos que no cumplen con sus finalidades, la Secretaría de Salud repor</w:t>
      </w:r>
      <w:r>
        <w:rPr>
          <w:rFonts w:ascii="Century Gothic" w:eastAsia="Century Gothic" w:hAnsi="Century Gothic" w:cs="Century Gothic"/>
        </w:rPr>
        <w:t xml:space="preserve">tó un subejercicio en el 2023 por más de 100 mil millones de pesos, lo que se vio reflejado en recortes a programas tan importantes como el de vacunación, y también una reducción significativa a programas de Atención a la Salud y Medicamentos Gratuitos.  </w:t>
      </w:r>
    </w:p>
    <w:p w14:paraId="0B371685"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La nula atención del gobierno del </w:t>
      </w:r>
      <w:proofErr w:type="gramStart"/>
      <w:r>
        <w:rPr>
          <w:rFonts w:ascii="Century Gothic" w:eastAsia="Century Gothic" w:hAnsi="Century Gothic" w:cs="Century Gothic"/>
        </w:rPr>
        <w:t>Presidente</w:t>
      </w:r>
      <w:proofErr w:type="gramEnd"/>
      <w:r>
        <w:rPr>
          <w:rFonts w:ascii="Century Gothic" w:eastAsia="Century Gothic" w:hAnsi="Century Gothic" w:cs="Century Gothic"/>
        </w:rPr>
        <w:t xml:space="preserve"> López Obrador en el tema de salud pública, implica una grave repercusión en la calidad de vida de todos los mexicanos, en especial, de los chihuahuenses. </w:t>
      </w:r>
    </w:p>
    <w:p w14:paraId="5B67A3B0"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La falta de implementación de programas enfocados a la a</w:t>
      </w:r>
      <w:r>
        <w:rPr>
          <w:rFonts w:ascii="Century Gothic" w:eastAsia="Century Gothic" w:hAnsi="Century Gothic" w:cs="Century Gothic"/>
        </w:rPr>
        <w:t>sistencia geriátrica, en donde se tomen en cuenta las necesidades tanto médicas como sociales de los adultos mayores, así como la poca capacitación al personal médico, provoca que se les otorgue una atención deficiente e inadecuada a los derechohabientes d</w:t>
      </w:r>
      <w:r>
        <w:rPr>
          <w:rFonts w:ascii="Century Gothic" w:eastAsia="Century Gothic" w:hAnsi="Century Gothic" w:cs="Century Gothic"/>
        </w:rPr>
        <w:t xml:space="preserve">e edad avanzada en las instituciones de salud pública a cargo del gobierno federal. </w:t>
      </w:r>
    </w:p>
    <w:p w14:paraId="31FF79B2" w14:textId="77777777" w:rsidR="00B25793" w:rsidRDefault="00606E58">
      <w:pP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 xml:space="preserve">Los adultos mayores merecen un trato digno, así como una atención médica eficiente y de calidad. </w:t>
      </w:r>
    </w:p>
    <w:p w14:paraId="30EC6494" w14:textId="77777777" w:rsidR="00B25793" w:rsidRDefault="00606E58">
      <w:pPr>
        <w:pBdr>
          <w:top w:val="nil"/>
          <w:left w:val="nil"/>
          <w:bottom w:val="nil"/>
          <w:right w:val="nil"/>
          <w:between w:val="nil"/>
        </w:pBdr>
        <w:spacing w:before="240" w:after="240" w:line="392" w:lineRule="auto"/>
        <w:ind w:firstLine="720"/>
        <w:jc w:val="both"/>
        <w:rPr>
          <w:rFonts w:ascii="Century Gothic" w:eastAsia="Century Gothic" w:hAnsi="Century Gothic" w:cs="Century Gothic"/>
        </w:rPr>
      </w:pPr>
      <w:r>
        <w:rPr>
          <w:rFonts w:ascii="Century Gothic" w:eastAsia="Century Gothic" w:hAnsi="Century Gothic" w:cs="Century Gothic"/>
        </w:rPr>
        <w:t>En virtud de todo lo previamente mencionado es que pongo a consideración de esta Soberanía, la siguiente proposición con carácter de punto de acuerdo:</w:t>
      </w:r>
    </w:p>
    <w:p w14:paraId="77DB3D1B" w14:textId="77777777" w:rsidR="00B25793" w:rsidRDefault="00B25793">
      <w:pPr>
        <w:spacing w:line="392" w:lineRule="auto"/>
        <w:ind w:firstLine="720"/>
        <w:jc w:val="both"/>
        <w:rPr>
          <w:rFonts w:ascii="Century Gothic" w:eastAsia="Century Gothic" w:hAnsi="Century Gothic" w:cs="Century Gothic"/>
        </w:rPr>
      </w:pPr>
    </w:p>
    <w:p w14:paraId="30C42F9E" w14:textId="77777777" w:rsidR="00B25793" w:rsidRDefault="00606E58">
      <w:pPr>
        <w:spacing w:line="360" w:lineRule="auto"/>
        <w:jc w:val="center"/>
        <w:rPr>
          <w:rFonts w:ascii="Century Gothic" w:eastAsia="Century Gothic" w:hAnsi="Century Gothic" w:cs="Century Gothic"/>
          <w:b/>
        </w:rPr>
      </w:pPr>
      <w:r>
        <w:rPr>
          <w:rFonts w:ascii="Century Gothic" w:eastAsia="Century Gothic" w:hAnsi="Century Gothic" w:cs="Century Gothic"/>
          <w:b/>
        </w:rPr>
        <w:t xml:space="preserve">ACUERDO: </w:t>
      </w:r>
    </w:p>
    <w:p w14:paraId="71638F25" w14:textId="77777777" w:rsidR="00B25793" w:rsidRDefault="00606E58">
      <w:pPr>
        <w:spacing w:line="360" w:lineRule="auto"/>
        <w:jc w:val="both"/>
        <w:rPr>
          <w:rFonts w:ascii="Century Gothic" w:eastAsia="Century Gothic" w:hAnsi="Century Gothic" w:cs="Century Gothic"/>
          <w:b/>
          <w:i/>
        </w:rPr>
      </w:pPr>
      <w:proofErr w:type="gramStart"/>
      <w:r>
        <w:rPr>
          <w:rFonts w:ascii="Century Gothic" w:eastAsia="Century Gothic" w:hAnsi="Century Gothic" w:cs="Century Gothic"/>
          <w:b/>
          <w:i/>
        </w:rPr>
        <w:lastRenderedPageBreak/>
        <w:t>ÚNICO.-</w:t>
      </w:r>
      <w:proofErr w:type="gramEnd"/>
      <w:r>
        <w:rPr>
          <w:rFonts w:ascii="Century Gothic" w:eastAsia="Century Gothic" w:hAnsi="Century Gothic" w:cs="Century Gothic"/>
          <w:b/>
          <w:i/>
        </w:rPr>
        <w:t xml:space="preserve"> LA SEXAGÉSIMA SÉPTIMA LEGISLATURA DEL H. CONGRESO DEL ESTADO DE CHIHUAHUA, EXHORTA RES</w:t>
      </w:r>
      <w:r>
        <w:rPr>
          <w:rFonts w:ascii="Century Gothic" w:eastAsia="Century Gothic" w:hAnsi="Century Gothic" w:cs="Century Gothic"/>
          <w:b/>
          <w:i/>
        </w:rPr>
        <w:t>PETUOSAMENTE AL TITULAR DEL PODER EJECUTIVO FEDERAL, ASÍ COMO AL TITULAR DE LA SECRETARÍA DE SALUD FEDERAL, A FIN DE QUE SE IMPLEMENTEN PROTOCOLOS Y PROGRAMAS EFICIENTES DE ATENCIÓN PARA ADULTOS MAYORES EN EL HOSPITAL GENERAL REGIONAL NO. 1 DEL INSTITUTO M</w:t>
      </w:r>
      <w:r>
        <w:rPr>
          <w:rFonts w:ascii="Century Gothic" w:eastAsia="Century Gothic" w:hAnsi="Century Gothic" w:cs="Century Gothic"/>
          <w:b/>
          <w:i/>
        </w:rPr>
        <w:t xml:space="preserve">EXICANO DEL SEGURO SOCIAL. </w:t>
      </w:r>
    </w:p>
    <w:p w14:paraId="13777AFA" w14:textId="77777777" w:rsidR="00B25793" w:rsidRDefault="00B25793">
      <w:pPr>
        <w:spacing w:line="360" w:lineRule="auto"/>
        <w:jc w:val="both"/>
        <w:rPr>
          <w:rFonts w:ascii="Century Gothic" w:eastAsia="Century Gothic" w:hAnsi="Century Gothic" w:cs="Century Gothic"/>
          <w:b/>
          <w:i/>
        </w:rPr>
      </w:pPr>
    </w:p>
    <w:p w14:paraId="69B57819" w14:textId="77777777" w:rsidR="00B25793" w:rsidRDefault="00606E58">
      <w:pPr>
        <w:pBdr>
          <w:top w:val="none" w:sz="0" w:space="0" w:color="000000"/>
          <w:left w:val="none" w:sz="0" w:space="0" w:color="000000"/>
          <w:bottom w:val="none" w:sz="0" w:space="0" w:color="000000"/>
          <w:right w:val="none" w:sz="0" w:space="0" w:color="000000"/>
          <w:between w:val="none" w:sz="0" w:space="0" w:color="000000"/>
        </w:pBdr>
        <w:spacing w:after="160" w:line="360" w:lineRule="auto"/>
        <w:jc w:val="both"/>
        <w:rPr>
          <w:rFonts w:ascii="Century Gothic" w:eastAsia="Century Gothic" w:hAnsi="Century Gothic" w:cs="Century Gothic"/>
        </w:rPr>
      </w:pPr>
      <w:r>
        <w:rPr>
          <w:rFonts w:ascii="Century Gothic" w:eastAsia="Century Gothic" w:hAnsi="Century Gothic" w:cs="Century Gothic"/>
          <w:b/>
        </w:rPr>
        <w:t>ECONÓMICO</w:t>
      </w:r>
      <w:r>
        <w:rPr>
          <w:rFonts w:ascii="Century Gothic" w:eastAsia="Century Gothic" w:hAnsi="Century Gothic" w:cs="Century Gothic"/>
        </w:rPr>
        <w:t>. - Aprobado que sea túrnese a la secretaría para que elabore la minuta correspondiente.</w:t>
      </w:r>
      <w:r>
        <w:rPr>
          <w:rFonts w:ascii="Century Gothic" w:eastAsia="Century Gothic" w:hAnsi="Century Gothic" w:cs="Century Gothic"/>
          <w:b/>
        </w:rPr>
        <w:t xml:space="preserve"> </w:t>
      </w:r>
    </w:p>
    <w:p w14:paraId="71CD4885" w14:textId="77777777" w:rsidR="00B25793" w:rsidRDefault="00B25793">
      <w:pPr>
        <w:spacing w:line="360" w:lineRule="auto"/>
        <w:jc w:val="both"/>
        <w:rPr>
          <w:rFonts w:ascii="Century Gothic" w:eastAsia="Century Gothic" w:hAnsi="Century Gothic" w:cs="Century Gothic"/>
        </w:rPr>
      </w:pPr>
    </w:p>
    <w:p w14:paraId="6B6416AB" w14:textId="77777777" w:rsidR="00B25793" w:rsidRDefault="00606E58">
      <w:pPr>
        <w:spacing w:line="360" w:lineRule="auto"/>
        <w:jc w:val="both"/>
        <w:rPr>
          <w:rFonts w:ascii="Century Gothic" w:eastAsia="Century Gothic" w:hAnsi="Century Gothic" w:cs="Century Gothic"/>
        </w:rPr>
      </w:pPr>
      <w:r>
        <w:rPr>
          <w:rFonts w:ascii="Century Gothic" w:eastAsia="Century Gothic" w:hAnsi="Century Gothic" w:cs="Century Gothic"/>
        </w:rPr>
        <w:t xml:space="preserve">Dado en el Salón de Sesiones a los 07 días del mes de febrero del año dos mil veinticuatro.  </w:t>
      </w:r>
    </w:p>
    <w:p w14:paraId="79C67DCD" w14:textId="77777777" w:rsidR="00B25793" w:rsidRDefault="00B25793">
      <w:pPr>
        <w:widowControl w:val="0"/>
        <w:spacing w:after="160"/>
        <w:rPr>
          <w:rFonts w:ascii="Century Gothic" w:eastAsia="Century Gothic" w:hAnsi="Century Gothic" w:cs="Century Gothic"/>
          <w:b/>
        </w:rPr>
      </w:pPr>
    </w:p>
    <w:p w14:paraId="4ED52007" w14:textId="77777777" w:rsidR="00B25793" w:rsidRDefault="00B25793">
      <w:pPr>
        <w:widowControl w:val="0"/>
        <w:spacing w:after="160"/>
        <w:rPr>
          <w:rFonts w:ascii="Century Gothic" w:eastAsia="Century Gothic" w:hAnsi="Century Gothic" w:cs="Century Gothic"/>
          <w:b/>
        </w:rPr>
      </w:pPr>
    </w:p>
    <w:p w14:paraId="613A7E70" w14:textId="77777777" w:rsidR="00B25793" w:rsidRDefault="00606E58">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ATENTAMENTE</w:t>
      </w:r>
    </w:p>
    <w:p w14:paraId="1C117CFC" w14:textId="77777777" w:rsidR="00B25793" w:rsidRDefault="00606E58">
      <w:pPr>
        <w:widowControl w:val="0"/>
        <w:spacing w:after="160" w:line="392" w:lineRule="auto"/>
        <w:rPr>
          <w:rFonts w:ascii="Century Gothic" w:eastAsia="Century Gothic" w:hAnsi="Century Gothic" w:cs="Century Gothic"/>
          <w:b/>
        </w:rPr>
      </w:pPr>
      <w:r>
        <w:rPr>
          <w:rFonts w:ascii="Century Gothic" w:eastAsia="Century Gothic" w:hAnsi="Century Gothic" w:cs="Century Gothic"/>
          <w:b/>
        </w:rPr>
        <w:t xml:space="preserve"> </w:t>
      </w:r>
    </w:p>
    <w:p w14:paraId="65F49168" w14:textId="77777777" w:rsidR="00B25793" w:rsidRDefault="00606E58">
      <w:pPr>
        <w:widowControl w:val="0"/>
        <w:spacing w:after="160" w:line="392" w:lineRule="auto"/>
        <w:jc w:val="center"/>
        <w:rPr>
          <w:rFonts w:ascii="Century Gothic" w:eastAsia="Century Gothic" w:hAnsi="Century Gothic" w:cs="Century Gothic"/>
          <w:b/>
        </w:rPr>
      </w:pPr>
      <w:r>
        <w:rPr>
          <w:rFonts w:ascii="Century Gothic" w:eastAsia="Century Gothic" w:hAnsi="Century Gothic" w:cs="Century Gothic"/>
          <w:b/>
        </w:rPr>
        <w:t>DIP. ISELA MARTÍNEZ DÍAZ</w:t>
      </w:r>
    </w:p>
    <w:p w14:paraId="727B3605" w14:textId="77777777" w:rsidR="00B25793" w:rsidRDefault="00B25793">
      <w:pPr>
        <w:widowControl w:val="0"/>
        <w:spacing w:after="160" w:line="392" w:lineRule="auto"/>
        <w:jc w:val="center"/>
        <w:rPr>
          <w:rFonts w:ascii="Century Gothic" w:eastAsia="Century Gothic" w:hAnsi="Century Gothic" w:cs="Century Gothic"/>
          <w:b/>
        </w:rPr>
      </w:pPr>
    </w:p>
    <w:tbl>
      <w:tblPr>
        <w:tblStyle w:val="a0"/>
        <w:tblpPr w:leftFromText="180" w:rightFromText="180" w:topFromText="180" w:bottomFromText="180" w:vertAnchor="text" w:tblpX="-39"/>
        <w:tblW w:w="9555" w:type="dxa"/>
        <w:tblInd w:w="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600" w:firstRow="0" w:lastRow="0" w:firstColumn="0" w:lastColumn="0" w:noHBand="1" w:noVBand="1"/>
      </w:tblPr>
      <w:tblGrid>
        <w:gridCol w:w="4530"/>
        <w:gridCol w:w="5025"/>
      </w:tblGrid>
      <w:tr w:rsidR="00B25793" w14:paraId="66698B94" w14:textId="77777777">
        <w:trPr>
          <w:trHeight w:val="160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BD44597"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197EA1BA"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MARISELA TERRAZAS MUÑOZ</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A0F1764"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001215C"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ROCÍO GUADALUPE SARMIENTO RUFINO </w:t>
            </w:r>
          </w:p>
        </w:tc>
      </w:tr>
      <w:tr w:rsidR="00B25793" w14:paraId="17BCE439" w14:textId="77777777">
        <w:trPr>
          <w:trHeight w:val="30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7A1C9FB4"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727AEA8"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8643D06"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GEORGINA ALEJANDRA BUJANDA RÍOS</w:t>
            </w:r>
          </w:p>
          <w:p w14:paraId="0885C86E"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F66CEC0"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616445C"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YESENIA GUADALUPE REYES CALZADÍAS</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F49687E"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E3A9957"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9198A34"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DIP. ANDREA DANIELA FLORES CHACÓN </w:t>
            </w:r>
          </w:p>
          <w:p w14:paraId="23D7C070"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6FE5078"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0561E5E3"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DIANA IVETTE PEREDA GUTIÉRREZ </w:t>
            </w:r>
          </w:p>
        </w:tc>
      </w:tr>
      <w:tr w:rsidR="00B25793" w14:paraId="30F61A05" w14:textId="77777777">
        <w:trPr>
          <w:trHeight w:val="19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48C1F5F"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E9C4FFC"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DB55388"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DIP. ISMAEL PÉREZ PAVÍA </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10527235"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5F42103"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1A34E0D"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JOSÉ ALFREDO CHÁVEZ MADRID</w:t>
            </w:r>
          </w:p>
        </w:tc>
      </w:tr>
      <w:tr w:rsidR="00B25793" w14:paraId="47BD998E" w14:textId="77777777">
        <w:trPr>
          <w:trHeight w:val="163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6C510EBA"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CAED866"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AB0B15F"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CARLOS ALFREDO OLSON SAN VICENTE</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7916E24"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13B32BF"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471690CB"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SAÚL MIRELES CORRAL</w:t>
            </w:r>
          </w:p>
        </w:tc>
      </w:tr>
      <w:tr w:rsidR="00B25793" w14:paraId="7F5B0705" w14:textId="77777777">
        <w:trPr>
          <w:trHeight w:val="262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FB8C64F"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lastRenderedPageBreak/>
              <w:t xml:space="preserve"> </w:t>
            </w:r>
          </w:p>
          <w:p w14:paraId="7E9CA9D9"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B2CF246"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6575ECA"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ROBERTO MARCELINO CARREÓN HUITRÓN</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40DC52C9"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F60B5F8"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C31D9D7"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3F7ED26A"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LUIS ALBERTO AGUILAR LOZOYA</w:t>
            </w:r>
          </w:p>
        </w:tc>
      </w:tr>
      <w:tr w:rsidR="00B25793" w14:paraId="2B16EAD0" w14:textId="77777777">
        <w:trPr>
          <w:trHeight w:val="2112"/>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622934D7"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1DCF6D8"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74F69508"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ISMAEL MARIO RODRÍGUEZ SALDAÑA</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2C04892"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5ACDBD6"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37A6F92"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DIP. GABRIEL ÁNGEL GARCÍA CANTÚ</w:t>
            </w:r>
          </w:p>
        </w:tc>
      </w:tr>
      <w:tr w:rsidR="00B25793" w14:paraId="40F49FDA" w14:textId="77777777">
        <w:trPr>
          <w:trHeight w:val="2145"/>
        </w:trPr>
        <w:tc>
          <w:tcPr>
            <w:tcW w:w="4530"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293AFEF0"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5752FAB4"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2568AA1A" w14:textId="77777777" w:rsidR="00B25793" w:rsidRDefault="00606E58">
            <w:pPr>
              <w:widowControl w:val="0"/>
              <w:spacing w:after="160" w:line="256" w:lineRule="auto"/>
              <w:jc w:val="center"/>
              <w:rPr>
                <w:rFonts w:ascii="Arial" w:eastAsia="Arial" w:hAnsi="Arial" w:cs="Arial"/>
                <w:b/>
                <w:sz w:val="22"/>
                <w:szCs w:val="22"/>
              </w:rPr>
            </w:pPr>
            <w:r>
              <w:rPr>
                <w:rFonts w:ascii="Arial" w:eastAsia="Arial" w:hAnsi="Arial" w:cs="Arial"/>
                <w:b/>
                <w:sz w:val="22"/>
                <w:szCs w:val="22"/>
              </w:rPr>
              <w:t xml:space="preserve"> </w:t>
            </w:r>
          </w:p>
        </w:tc>
        <w:tc>
          <w:tcPr>
            <w:tcW w:w="5025" w:type="dxa"/>
            <w:tcBorders>
              <w:top w:val="single" w:sz="6" w:space="0" w:color="FFFFFF"/>
              <w:left w:val="single" w:sz="6" w:space="0" w:color="FFFFFF"/>
              <w:bottom w:val="single" w:sz="6" w:space="0" w:color="FFFFFF"/>
              <w:right w:val="single" w:sz="6" w:space="0" w:color="FFFFFF"/>
            </w:tcBorders>
            <w:tcMar>
              <w:top w:w="80" w:type="dxa"/>
              <w:left w:w="80" w:type="dxa"/>
              <w:bottom w:w="80" w:type="dxa"/>
              <w:right w:w="80" w:type="dxa"/>
            </w:tcMar>
          </w:tcPr>
          <w:p w14:paraId="3B5271B3"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64E0BA17" w14:textId="77777777" w:rsidR="00B25793" w:rsidRDefault="00606E58">
            <w:pPr>
              <w:widowControl w:val="0"/>
              <w:spacing w:after="160" w:line="256" w:lineRule="auto"/>
              <w:jc w:val="center"/>
              <w:rPr>
                <w:rFonts w:ascii="Century Gothic" w:eastAsia="Century Gothic" w:hAnsi="Century Gothic" w:cs="Century Gothic"/>
                <w:b/>
              </w:rPr>
            </w:pPr>
            <w:r>
              <w:rPr>
                <w:rFonts w:ascii="Century Gothic" w:eastAsia="Century Gothic" w:hAnsi="Century Gothic" w:cs="Century Gothic"/>
                <w:b/>
              </w:rPr>
              <w:t xml:space="preserve"> </w:t>
            </w:r>
          </w:p>
          <w:p w14:paraId="1C4FEAEF" w14:textId="77777777" w:rsidR="00B25793" w:rsidRDefault="00606E58">
            <w:pPr>
              <w:widowControl w:val="0"/>
              <w:spacing w:after="160" w:line="256" w:lineRule="auto"/>
              <w:jc w:val="center"/>
              <w:rPr>
                <w:rFonts w:ascii="Arial" w:eastAsia="Arial" w:hAnsi="Arial" w:cs="Arial"/>
                <w:b/>
                <w:sz w:val="22"/>
                <w:szCs w:val="22"/>
              </w:rPr>
            </w:pPr>
            <w:r>
              <w:rPr>
                <w:rFonts w:ascii="Arial" w:eastAsia="Arial" w:hAnsi="Arial" w:cs="Arial"/>
                <w:b/>
                <w:sz w:val="22"/>
                <w:szCs w:val="22"/>
              </w:rPr>
              <w:t xml:space="preserve"> </w:t>
            </w:r>
          </w:p>
        </w:tc>
      </w:tr>
    </w:tbl>
    <w:p w14:paraId="03A53D8C" w14:textId="77777777" w:rsidR="00B25793" w:rsidRDefault="00B25793">
      <w:pPr>
        <w:widowControl w:val="0"/>
        <w:spacing w:after="160" w:line="392" w:lineRule="auto"/>
        <w:jc w:val="center"/>
        <w:rPr>
          <w:rFonts w:ascii="Century Gothic" w:eastAsia="Century Gothic" w:hAnsi="Century Gothic" w:cs="Century Gothic"/>
          <w:b/>
        </w:rPr>
      </w:pPr>
    </w:p>
    <w:p w14:paraId="7536E50B" w14:textId="77777777" w:rsidR="00B25793" w:rsidRDefault="00B25793">
      <w:pPr>
        <w:widowControl w:val="0"/>
        <w:spacing w:after="160" w:line="392" w:lineRule="auto"/>
        <w:jc w:val="center"/>
        <w:rPr>
          <w:rFonts w:ascii="Century Gothic" w:eastAsia="Century Gothic" w:hAnsi="Century Gothic" w:cs="Century Gothic"/>
          <w:b/>
        </w:rPr>
      </w:pPr>
    </w:p>
    <w:sectPr w:rsidR="00B25793">
      <w:headerReference w:type="default" r:id="rId7"/>
      <w:footerReference w:type="default" r:id="rId8"/>
      <w:pgSz w:w="12240" w:h="15840"/>
      <w:pgMar w:top="1100" w:right="1580" w:bottom="280" w:left="1600" w:header="728" w:footer="100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9BB5" w14:textId="77777777" w:rsidR="00000000" w:rsidRDefault="00606E58">
      <w:r>
        <w:separator/>
      </w:r>
    </w:p>
  </w:endnote>
  <w:endnote w:type="continuationSeparator" w:id="0">
    <w:p w14:paraId="457E414B" w14:textId="77777777" w:rsidR="00000000" w:rsidRDefault="0060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6953" w14:textId="77777777" w:rsidR="00B25793" w:rsidRDefault="00B25793">
    <w:pPr>
      <w:spacing w:line="360" w:lineRule="auto"/>
      <w:jc w:val="both"/>
      <w:rPr>
        <w:rFonts w:ascii="Century Gothic" w:eastAsia="Century Gothic" w:hAnsi="Century Gothic" w:cs="Century Gothic"/>
      </w:rPr>
    </w:pPr>
  </w:p>
  <w:p w14:paraId="783F4361" w14:textId="77777777" w:rsidR="00B25793" w:rsidRDefault="00606E58">
    <w:pPr>
      <w:spacing w:line="360" w:lineRule="auto"/>
      <w:ind w:firstLine="720"/>
      <w:jc w:val="right"/>
      <w:rPr>
        <w:rFonts w:ascii="Century Gothic" w:eastAsia="Century Gothic" w:hAnsi="Century Gothic" w:cs="Century Gothic"/>
      </w:rPr>
    </w:pPr>
    <w:r>
      <w:rPr>
        <w:rFonts w:ascii="Century Gothic" w:eastAsia="Century Gothic" w:hAnsi="Century Gothic" w:cs="Century Gothic"/>
      </w:rPr>
      <w:fldChar w:fldCharType="begin"/>
    </w:r>
    <w:r>
      <w:rPr>
        <w:rFonts w:ascii="Century Gothic" w:eastAsia="Century Gothic" w:hAnsi="Century Gothic" w:cs="Century Gothic"/>
      </w:rPr>
      <w:instrText>PAGE</w:instrText>
    </w:r>
    <w:r>
      <w:rPr>
        <w:rFonts w:ascii="Century Gothic" w:eastAsia="Century Gothic" w:hAnsi="Century Gothic" w:cs="Century Gothic"/>
      </w:rPr>
      <w:fldChar w:fldCharType="separate"/>
    </w:r>
    <w:r>
      <w:rPr>
        <w:rFonts w:ascii="Century Gothic" w:eastAsia="Century Gothic" w:hAnsi="Century Gothic" w:cs="Century Gothic"/>
        <w:noProof/>
      </w:rPr>
      <w:t>1</w:t>
    </w:r>
    <w:r>
      <w:rPr>
        <w:rFonts w:ascii="Century Gothic" w:eastAsia="Century Gothic" w:hAnsi="Century Gothic" w:cs="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D83F" w14:textId="77777777" w:rsidR="00000000" w:rsidRDefault="00606E58">
      <w:r>
        <w:separator/>
      </w:r>
    </w:p>
  </w:footnote>
  <w:footnote w:type="continuationSeparator" w:id="0">
    <w:p w14:paraId="57ECD541" w14:textId="77777777" w:rsidR="00000000" w:rsidRDefault="00606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6197" w14:textId="77777777" w:rsidR="00B25793" w:rsidRDefault="00606E58">
    <w:pPr>
      <w:widowControl w:val="0"/>
      <w:pBdr>
        <w:top w:val="nil"/>
        <w:left w:val="nil"/>
        <w:bottom w:val="nil"/>
        <w:right w:val="nil"/>
        <w:between w:val="nil"/>
      </w:pBdr>
      <w:tabs>
        <w:tab w:val="left" w:pos="5544"/>
      </w:tabs>
      <w:spacing w:line="200" w:lineRule="auto"/>
      <w:rPr>
        <w:color w:val="000000"/>
        <w:sz w:val="20"/>
        <w:szCs w:val="20"/>
      </w:rPr>
    </w:pPr>
    <w:r>
      <w:rPr>
        <w:noProof/>
        <w:sz w:val="20"/>
        <w:szCs w:val="20"/>
      </w:rPr>
      <w:drawing>
        <wp:anchor distT="0" distB="0" distL="0" distR="0" simplePos="0" relativeHeight="251658240" behindDoc="1" locked="0" layoutInCell="1" hidden="0" allowOverlap="1" wp14:anchorId="21FC808E" wp14:editId="6EDC7D4F">
          <wp:simplePos x="0" y="0"/>
          <wp:positionH relativeFrom="page">
            <wp:posOffset>344805</wp:posOffset>
          </wp:positionH>
          <wp:positionV relativeFrom="page">
            <wp:posOffset>251459</wp:posOffset>
          </wp:positionV>
          <wp:extent cx="1061085" cy="1017905"/>
          <wp:effectExtent l="0" t="0" r="0" b="0"/>
          <wp:wrapNone/>
          <wp:docPr id="5"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noProof/>
        <w:color w:val="000000"/>
        <w:sz w:val="20"/>
        <w:szCs w:val="20"/>
      </w:rPr>
      <w:drawing>
        <wp:anchor distT="0" distB="0" distL="0" distR="0" simplePos="0" relativeHeight="251659264" behindDoc="1" locked="0" layoutInCell="1" hidden="0" allowOverlap="1" wp14:anchorId="1BC0229B" wp14:editId="34FC6528">
          <wp:simplePos x="0" y="0"/>
          <wp:positionH relativeFrom="page">
            <wp:posOffset>6630035</wp:posOffset>
          </wp:positionH>
          <wp:positionV relativeFrom="page">
            <wp:posOffset>246380</wp:posOffset>
          </wp:positionV>
          <wp:extent cx="857250" cy="857250"/>
          <wp:effectExtent l="0" t="0" r="0" b="0"/>
          <wp:wrapNone/>
          <wp:docPr id="6"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noProof/>
        <w:color w:val="000000"/>
        <w:sz w:val="20"/>
        <w:szCs w:val="20"/>
      </w:rPr>
      <mc:AlternateContent>
        <mc:Choice Requires="wpg">
          <w:drawing>
            <wp:anchor distT="0" distB="0" distL="0" distR="0" simplePos="0" relativeHeight="251660288" behindDoc="1" locked="0" layoutInCell="1" hidden="0" allowOverlap="1" wp14:anchorId="51C188FF" wp14:editId="08B173D5">
              <wp:simplePos x="0" y="0"/>
              <wp:positionH relativeFrom="page">
                <wp:posOffset>6410331</wp:posOffset>
              </wp:positionH>
              <wp:positionV relativeFrom="page">
                <wp:posOffset>18397226</wp:posOffset>
              </wp:positionV>
              <wp:extent cx="372109" cy="349622"/>
              <wp:effectExtent l="0" t="0" r="0" b="0"/>
              <wp:wrapNone/>
              <wp:docPr id="4" name="" descr="Rectángulo 7"/>
              <wp:cNvGraphicFramePr/>
              <a:graphic xmlns:a="http://schemas.openxmlformats.org/drawingml/2006/main">
                <a:graphicData uri="http://schemas.microsoft.com/office/word/2010/wordprocessingShape">
                  <wps:wsp>
                    <wps:cNvSpPr/>
                    <wps:spPr>
                      <a:xfrm>
                        <a:off x="5226621" y="3671864"/>
                        <a:ext cx="238759" cy="216272"/>
                      </a:xfrm>
                      <a:prstGeom prst="rect">
                        <a:avLst/>
                      </a:prstGeom>
                      <a:noFill/>
                      <a:ln>
                        <a:noFill/>
                      </a:ln>
                    </wps:spPr>
                    <wps:txbx>
                      <w:txbxContent>
                        <w:p w14:paraId="1AB57A03" w14:textId="77777777" w:rsidR="00B25793" w:rsidRDefault="00606E58">
                          <w:pPr>
                            <w:spacing w:line="245" w:lineRule="auto"/>
                            <w:ind w:left="40" w:firstLine="60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6410331</wp:posOffset>
              </wp:positionH>
              <wp:positionV relativeFrom="page">
                <wp:posOffset>18397226</wp:posOffset>
              </wp:positionV>
              <wp:extent cx="372109" cy="349622"/>
              <wp:effectExtent b="0" l="0" r="0" t="0"/>
              <wp:wrapNone/>
              <wp:docPr descr="Rectángulo 7" id="4"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372109" cy="349622"/>
                      </a:xfrm>
                      <a:prstGeom prst="rect"/>
                      <a:ln/>
                    </pic:spPr>
                  </pic:pic>
                </a:graphicData>
              </a:graphic>
            </wp:anchor>
          </w:drawing>
        </mc:Fallback>
      </mc:AlternateContent>
    </w:r>
    <w:r>
      <w:rPr>
        <w:color w:val="000000"/>
        <w:sz w:val="20"/>
        <w:szCs w:val="20"/>
      </w:rPr>
      <w:tab/>
    </w:r>
  </w:p>
  <w:p w14:paraId="71A9C507" w14:textId="77777777" w:rsidR="00B25793" w:rsidRDefault="00606E58">
    <w:pPr>
      <w:widowControl w:val="0"/>
      <w:pBdr>
        <w:top w:val="nil"/>
        <w:left w:val="nil"/>
        <w:bottom w:val="nil"/>
        <w:right w:val="nil"/>
        <w:between w:val="nil"/>
      </w:pBdr>
      <w:spacing w:line="200" w:lineRule="auto"/>
      <w:jc w:val="center"/>
      <w:rPr>
        <w:rFonts w:ascii="Century Gothic" w:eastAsia="Century Gothic" w:hAnsi="Century Gothic" w:cs="Century Gothic"/>
        <w:b/>
        <w:sz w:val="20"/>
        <w:szCs w:val="20"/>
      </w:rPr>
    </w:pPr>
    <w:r>
      <w:rPr>
        <w:sz w:val="20"/>
        <w:szCs w:val="20"/>
      </w:rPr>
      <w:t xml:space="preserve">                      </w:t>
    </w:r>
  </w:p>
  <w:p w14:paraId="18F8A252" w14:textId="77777777" w:rsidR="00B25793" w:rsidRDefault="00B25793">
    <w:pPr>
      <w:widowControl w:val="0"/>
      <w:pBdr>
        <w:top w:val="nil"/>
        <w:left w:val="nil"/>
        <w:bottom w:val="nil"/>
        <w:right w:val="nil"/>
        <w:between w:val="nil"/>
      </w:pBdr>
      <w:spacing w:line="200" w:lineRule="auto"/>
      <w:rPr>
        <w:color w:val="000000"/>
        <w:sz w:val="20"/>
        <w:szCs w:val="20"/>
      </w:rPr>
    </w:pPr>
  </w:p>
  <w:p w14:paraId="1577D22C" w14:textId="77777777" w:rsidR="00B25793" w:rsidRDefault="00B25793">
    <w:pPr>
      <w:widowControl w:val="0"/>
      <w:pBdr>
        <w:top w:val="nil"/>
        <w:left w:val="nil"/>
        <w:bottom w:val="nil"/>
        <w:right w:val="nil"/>
        <w:between w:val="nil"/>
      </w:pBdr>
      <w:spacing w:line="200" w:lineRule="auto"/>
      <w:rPr>
        <w:color w:val="000000"/>
        <w:sz w:val="20"/>
        <w:szCs w:val="20"/>
      </w:rPr>
    </w:pPr>
  </w:p>
  <w:p w14:paraId="30C6A62C" w14:textId="77777777" w:rsidR="00B25793" w:rsidRDefault="00B25793">
    <w:pPr>
      <w:widowControl w:val="0"/>
      <w:pBdr>
        <w:top w:val="nil"/>
        <w:left w:val="nil"/>
        <w:bottom w:val="nil"/>
        <w:right w:val="nil"/>
        <w:between w:val="nil"/>
      </w:pBdr>
      <w:spacing w:line="200" w:lineRule="auto"/>
      <w:rPr>
        <w:color w:val="000000"/>
        <w:sz w:val="20"/>
        <w:szCs w:val="20"/>
      </w:rPr>
    </w:pPr>
  </w:p>
  <w:p w14:paraId="4FE1A4B3" w14:textId="77777777" w:rsidR="00B25793" w:rsidRDefault="00B25793">
    <w:pPr>
      <w:widowControl w:val="0"/>
      <w:pBdr>
        <w:top w:val="nil"/>
        <w:left w:val="nil"/>
        <w:bottom w:val="nil"/>
        <w:right w:val="nil"/>
        <w:between w:val="nil"/>
      </w:pBdr>
      <w:spacing w:line="200" w:lineRule="auto"/>
      <w:rPr>
        <w:color w:val="000000"/>
        <w:sz w:val="20"/>
        <w:szCs w:val="20"/>
      </w:rPr>
    </w:pPr>
  </w:p>
  <w:p w14:paraId="1E784224" w14:textId="77777777" w:rsidR="00B25793" w:rsidRDefault="00B25793">
    <w:pPr>
      <w:widowControl w:val="0"/>
      <w:pBdr>
        <w:top w:val="nil"/>
        <w:left w:val="nil"/>
        <w:bottom w:val="nil"/>
        <w:right w:val="nil"/>
        <w:between w:val="nil"/>
      </w:pBdr>
      <w:spacing w:line="20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93"/>
    <w:rsid w:val="00606E58"/>
    <w:rsid w:val="00B25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E1C1"/>
  <w15:docId w15:val="{5FF332EA-29D7-4847-9322-684F7D6A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fvK7M9KY+zT9QLB5GVTN5eic7w==">CgMxLjA4AHIhMVloN2RQLUFPWHd1bzJBemJSOUota0w2ODk3bGtEQ3Jf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1312</Words>
  <Characters>7217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Sarahi Gonzalez Dominguez</dc:creator>
  <cp:lastModifiedBy>Brenda Sarahi Gonzalez Dominguez</cp:lastModifiedBy>
  <cp:revision>2</cp:revision>
  <dcterms:created xsi:type="dcterms:W3CDTF">2024-02-06T19:59:00Z</dcterms:created>
  <dcterms:modified xsi:type="dcterms:W3CDTF">2024-02-06T19:59:00Z</dcterms:modified>
</cp:coreProperties>
</file>