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CD5A" w14:textId="77777777" w:rsidR="00F66441" w:rsidRDefault="00F66441">
      <w:pPr>
        <w:spacing w:after="0" w:line="360" w:lineRule="auto"/>
        <w:jc w:val="both"/>
        <w:rPr>
          <w:rFonts w:ascii="Arial" w:eastAsia="Arial" w:hAnsi="Arial" w:cs="Arial"/>
          <w:b/>
          <w:color w:val="000000"/>
          <w:sz w:val="24"/>
          <w:szCs w:val="24"/>
        </w:rPr>
      </w:pPr>
    </w:p>
    <w:p w14:paraId="5A0CD7A0" w14:textId="77777777" w:rsidR="00F66441" w:rsidRDefault="00AF7FCE">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39B8FE7A" w14:textId="77777777" w:rsidR="00F66441" w:rsidRDefault="00AF7FCE">
      <w:pPr>
        <w:spacing w:after="0" w:line="360" w:lineRule="auto"/>
        <w:jc w:val="both"/>
        <w:rPr>
          <w:rFonts w:ascii="Arial" w:eastAsia="Arial" w:hAnsi="Arial" w:cs="Arial"/>
          <w:b/>
          <w:color w:val="000000"/>
          <w:sz w:val="24"/>
          <w:szCs w:val="24"/>
        </w:rPr>
      </w:pPr>
      <w:proofErr w:type="gramStart"/>
      <w:r>
        <w:rPr>
          <w:rFonts w:ascii="Arial" w:eastAsia="Arial" w:hAnsi="Arial" w:cs="Arial"/>
          <w:b/>
          <w:color w:val="000000"/>
          <w:sz w:val="24"/>
          <w:szCs w:val="24"/>
        </w:rPr>
        <w:t>PRESENTE.-</w:t>
      </w:r>
      <w:proofErr w:type="gramEnd"/>
    </w:p>
    <w:p w14:paraId="090750A3" w14:textId="77777777" w:rsidR="00F66441" w:rsidRDefault="00AF7FCE">
      <w:pPr>
        <w:spacing w:line="360" w:lineRule="auto"/>
        <w:jc w:val="both"/>
        <w:rPr>
          <w:rFonts w:ascii="Arial" w:eastAsia="Arial" w:hAnsi="Arial" w:cs="Arial"/>
          <w:sz w:val="24"/>
          <w:szCs w:val="24"/>
        </w:rPr>
      </w:pPr>
      <w:r>
        <w:rPr>
          <w:rFonts w:ascii="Arial" w:eastAsia="Arial" w:hAnsi="Arial" w:cs="Arial"/>
          <w:sz w:val="24"/>
          <w:szCs w:val="24"/>
        </w:rPr>
        <w:br/>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Iniciativa de Proposición con carácter de Punto de Acuerdo, </w:t>
      </w:r>
      <w:r>
        <w:rPr>
          <w:rFonts w:ascii="Arial" w:eastAsia="Arial" w:hAnsi="Arial" w:cs="Arial"/>
          <w:sz w:val="24"/>
          <w:szCs w:val="24"/>
        </w:rPr>
        <w:t>a efecto de exhortar respetuosamente a los responsables del daño causado al Parque el Chamizal por construcción de casa de cambio; a fin de que respondan legalmente, respeten los convenios existentes para la protección del parque, así como a la Auditoría Superior del Estado para que sancione los actos de corrupción existentes en torno al caso</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78AD272C" w14:textId="77777777" w:rsidR="00F66441" w:rsidRDefault="00F66441">
      <w:pPr>
        <w:spacing w:line="360" w:lineRule="auto"/>
        <w:jc w:val="both"/>
        <w:rPr>
          <w:rFonts w:ascii="Arial" w:eastAsia="Arial" w:hAnsi="Arial" w:cs="Arial"/>
          <w:color w:val="000000"/>
          <w:sz w:val="24"/>
          <w:szCs w:val="24"/>
        </w:rPr>
      </w:pPr>
    </w:p>
    <w:p w14:paraId="25C4B866" w14:textId="77777777" w:rsidR="00F66441" w:rsidRDefault="00AF7FCE">
      <w:pPr>
        <w:spacing w:line="360" w:lineRule="auto"/>
        <w:jc w:val="center"/>
        <w:rPr>
          <w:rFonts w:ascii="Arial" w:eastAsia="Arial" w:hAnsi="Arial" w:cs="Arial"/>
          <w:sz w:val="24"/>
          <w:szCs w:val="24"/>
        </w:rPr>
      </w:pPr>
      <w:r>
        <w:rPr>
          <w:rFonts w:ascii="Arial" w:eastAsia="Arial" w:hAnsi="Arial" w:cs="Arial"/>
          <w:b/>
          <w:color w:val="000000"/>
          <w:sz w:val="24"/>
          <w:szCs w:val="24"/>
        </w:rPr>
        <w:t xml:space="preserve">EXPOSICIÓN DE MOTIVOS </w:t>
      </w:r>
    </w:p>
    <w:p w14:paraId="06E2ECD0"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Cuando las palabras no coinciden con los hechos…eso ha sido el caso de la casa de cambio en el Chamizal.</w:t>
      </w:r>
    </w:p>
    <w:p w14:paraId="4AA38D2D"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El Parque El Chamizal en Ciudad Juárez es un símbolo de la defensa del territorio mexicano y un pulmón verde para la comunidad. Por ello, el reciente caso </w:t>
      </w:r>
      <w:r>
        <w:rPr>
          <w:rFonts w:ascii="Arial" w:eastAsia="Arial" w:hAnsi="Arial" w:cs="Arial"/>
          <w:sz w:val="24"/>
          <w:szCs w:val="24"/>
        </w:rPr>
        <w:lastRenderedPageBreak/>
        <w:t>de corrupción relacionado con la construcción ilegal de una casa de cambio en este espacio protegido resulta especialmente grave y decepcionante.</w:t>
      </w:r>
    </w:p>
    <w:p w14:paraId="7F6BD83A"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Los hechos son claros: la empresa Centro Cambiario Fronteras Unidas S.A. de C.V., operadora de la cadena </w:t>
      </w:r>
      <w:proofErr w:type="spellStart"/>
      <w:r>
        <w:rPr>
          <w:rFonts w:ascii="Arial" w:eastAsia="Arial" w:hAnsi="Arial" w:cs="Arial"/>
          <w:sz w:val="24"/>
          <w:szCs w:val="24"/>
        </w:rPr>
        <w:t>Dollar</w:t>
      </w:r>
      <w:proofErr w:type="spellEnd"/>
      <w:r>
        <w:rPr>
          <w:rFonts w:ascii="Arial" w:eastAsia="Arial" w:hAnsi="Arial" w:cs="Arial"/>
          <w:sz w:val="24"/>
          <w:szCs w:val="24"/>
        </w:rPr>
        <w:t xml:space="preserve"> 2 </w:t>
      </w:r>
      <w:proofErr w:type="spellStart"/>
      <w:r>
        <w:rPr>
          <w:rFonts w:ascii="Arial" w:eastAsia="Arial" w:hAnsi="Arial" w:cs="Arial"/>
          <w:sz w:val="24"/>
          <w:szCs w:val="24"/>
        </w:rPr>
        <w:t>Go</w:t>
      </w:r>
      <w:proofErr w:type="spellEnd"/>
      <w:r>
        <w:rPr>
          <w:rFonts w:ascii="Arial" w:eastAsia="Arial" w:hAnsi="Arial" w:cs="Arial"/>
          <w:sz w:val="24"/>
          <w:szCs w:val="24"/>
        </w:rPr>
        <w:t xml:space="preserve"> y vinculada a proveedores del Municipio, edificó una sucursal en el estacionamiento de El Chamizal que administra la OMEJ. Lo hizo sin licencias, sin autorización de la Comisión Nacional Bancaria y de Valores (CNBV) y sin el dictamen de Protección Civil correspondiente, dañando áreas verdes y violando el convenio entre el Municipio y SEMARNAT para proteger el parque.</w:t>
      </w:r>
    </w:p>
    <w:p w14:paraId="675323F3"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Inicialmente, el alcalde Cruz Pérez Cuéllar y otros funcionarios declararon no saber nada. Pero si es el mismo alcalde quien preside el Consejo de la Operadora Municipal de Estacionamientos. Pretende vernos la cara a los Juarenses, pero sus engaños siguen saliendo a la luz. Todo apunta a un encubrimiento del caso por parte de la autoridad municipal. </w:t>
      </w:r>
    </w:p>
    <w:p w14:paraId="7B971D48"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El alcalde se ha tomado con tanta ligereza este asunto, pues todo parece indicar que estaba enterado de lo sucedido. Como siempre, intenta minimizar el caso llamándolo "circo político" y culpabilizar a otros de sacarlo a la luz, en lugar de asumir su responsabilidad. Así como lo ha hecho con las denuncias de presupuesto participativo y de su casita de 30 millones de pesos. Esto contradice su discurso de "no mentir, no robar, no traicionar". Claramente no le molestan las acciones ilegales, sino que se destapen. Basta ya, los juarenses no queremos a un alcalde que ante los problemas que afectan a nuestra ciudad, se haga de la vista gorda y minimice los daños. </w:t>
      </w:r>
    </w:p>
    <w:p w14:paraId="6F4B4498"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lastRenderedPageBreak/>
        <w:t>Este caso debe llevar a exigir cuentas al gobierno municipal, empezando por la investigación y probable remoción del director de la OMEJ. También es necesario auditar a ese organismo para detectar otras posibles irregularidades. Y por supuesto, debe aplicarse la ley para impedir nuevos atropellos al Parque Chamizal.</w:t>
      </w:r>
    </w:p>
    <w:p w14:paraId="35937BB9"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Asimismo, este episodio nos obliga a reflexionar sobre la brecha entre el discurso político y los hechos. Un buen gobernante no solo promete cumplir la ley y gobernar honestamente, sino que predica con el ejemplo. Desafortunadamente, aquí vemos todo lo contrario: la ley se rompe para beneficio de unos cuantos y la corrupción se encubre desde las altas esferas.</w:t>
      </w:r>
    </w:p>
    <w:p w14:paraId="75FE2F76"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Si no se atiende el fondo del problema y se deja sin castigo, estos actos se repetirán. Se requieren investigaciones a fondo, sanciones ejemplares y mayor vigilancia ciudadana. La sociedad civil debe actuar para que "no mentir, no robar y no traicionar" dejen de ser simples consignas políticas y se conviertan en realidad. El Chamizal lo merece.</w:t>
      </w:r>
    </w:p>
    <w:p w14:paraId="336FB81B"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Vale la pena recordar que una de las principales labores que el alcalde tiene es realizar una buena administración del patrimonio municipal. Por este motivo no es cosa menor el hecho ante el cual nos encontramos el día de hoy. Es trabajo del alcalde el correcto manejo de los recursos y bienes públicos. Por lo que el cinismo con el que responde ante los hechos planteados son una falta de respeto para la ciudadanía juarense. </w:t>
      </w:r>
    </w:p>
    <w:p w14:paraId="5FF6AF8F" w14:textId="77777777" w:rsidR="00F66441" w:rsidRDefault="00AF7FCE">
      <w:pPr>
        <w:spacing w:before="240" w:after="240" w:line="360" w:lineRule="auto"/>
        <w:jc w:val="both"/>
        <w:rPr>
          <w:rFonts w:ascii="Arial" w:eastAsia="Arial" w:hAnsi="Arial" w:cs="Arial"/>
          <w:sz w:val="24"/>
          <w:szCs w:val="24"/>
        </w:rPr>
      </w:pPr>
      <w:r>
        <w:rPr>
          <w:rFonts w:ascii="Arial" w:eastAsia="Arial" w:hAnsi="Arial" w:cs="Arial"/>
          <w:sz w:val="24"/>
          <w:szCs w:val="24"/>
        </w:rPr>
        <w:t>Sobre este asunto hay algunos puntos que quiero destacar:</w:t>
      </w:r>
    </w:p>
    <w:p w14:paraId="15B9F34B" w14:textId="77777777" w:rsidR="00F66441" w:rsidRDefault="00AF7FCE">
      <w:pP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1.</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El presidente municipal podría estar encubriendo al director de la OMEJ en el caso de la construcción ilegal de una casa de cambio en el parque El Chamizal. El presidente inicialmente afirmó no tener conocimiento del asunto, pero es él quien preside el consejo de la OMEJ.</w:t>
      </w:r>
    </w:p>
    <w:p w14:paraId="19B73EC5" w14:textId="77777777" w:rsidR="00F66441" w:rsidRDefault="00AF7FCE">
      <w:pPr>
        <w:spacing w:before="240" w:after="240" w:line="36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El alcalde ha minimizado el asunto llamándolo "circo político" y culpando a otros de sacarlo a la luz, en lugar de rendir cuentas. Esto sugiere que lo único que le molesta es ser descubierto en acciones cuestionables, no las acciones en sí.</w:t>
      </w:r>
    </w:p>
    <w:p w14:paraId="25EFB9B9" w14:textId="77777777" w:rsidR="00F66441" w:rsidRDefault="00AF7FCE">
      <w:pPr>
        <w:spacing w:before="240" w:after="240" w:line="36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Debe exigirse el cumplimiento del convenio firmado entre el municipio y SEMARNAT para proteger El Chamizal, el cual prohíbe autorizar construcciones que impacten el uso y características del parque. La construcción de la casa de cambio viola claramente este acuerdo.</w:t>
      </w:r>
    </w:p>
    <w:p w14:paraId="78B4C3D9" w14:textId="77777777" w:rsidR="00F66441" w:rsidRDefault="00AF7FCE">
      <w:pPr>
        <w:spacing w:before="240" w:after="240" w:line="360" w:lineRule="auto"/>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Es necesario auditar a fondo las finanzas y operaciones de la OMEJ para determinar si ha habido otros abusos o irregularidades en el manejo de este organismo municipal.</w:t>
      </w:r>
    </w:p>
    <w:p w14:paraId="49CA4D46" w14:textId="77777777" w:rsidR="00F66441" w:rsidRDefault="00AF7FCE">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Resumiendo, la evidencia apunta a encubrimiento y posible corrupción por parte de las autoridades municipales en este caso, por lo que se requiere una investigación a fondo, rendición de cuentas y correctivos para evitar que se repitan este tipo de situaciones.</w:t>
      </w:r>
    </w:p>
    <w:p w14:paraId="71035091" w14:textId="77777777" w:rsidR="00F66441" w:rsidRDefault="00AF7FCE">
      <w:pPr>
        <w:spacing w:before="240" w:after="240" w:line="360" w:lineRule="auto"/>
        <w:jc w:val="both"/>
        <w:rPr>
          <w:rFonts w:ascii="Arial" w:eastAsia="Arial" w:hAnsi="Arial" w:cs="Arial"/>
          <w:sz w:val="24"/>
          <w:szCs w:val="24"/>
        </w:rPr>
      </w:pPr>
      <w:r>
        <w:rPr>
          <w:rFonts w:ascii="Arial" w:eastAsia="Arial" w:hAnsi="Arial" w:cs="Arial"/>
          <w:sz w:val="24"/>
          <w:szCs w:val="24"/>
        </w:rPr>
        <w:tab/>
        <w:t xml:space="preserve">El Parque El Chamizal nos pertenece a todos los juarenses, NO a figuras políticas en puestos de poder que se aprovechan de la autoridad y confianza que la ciudadanía les concedió, que violan la ley y ponen en peligro la conservación de un lugar histórico y ecológicamente protegido. </w:t>
      </w:r>
    </w:p>
    <w:p w14:paraId="2736B839" w14:textId="77777777" w:rsidR="00F66441" w:rsidRDefault="00AF7FCE">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Por lo anteriormente expuesto y fundado me permito someter a la consideración de este Alto Cuerpo Colegiado la presente Iniciativa con carácter de:</w:t>
      </w:r>
    </w:p>
    <w:p w14:paraId="79462BC2" w14:textId="77777777" w:rsidR="00F66441" w:rsidRDefault="00F66441">
      <w:pPr>
        <w:spacing w:after="0" w:line="360" w:lineRule="auto"/>
        <w:ind w:firstLine="708"/>
        <w:jc w:val="both"/>
        <w:rPr>
          <w:rFonts w:ascii="Times New Roman" w:eastAsia="Times New Roman" w:hAnsi="Times New Roman" w:cs="Times New Roman"/>
          <w:sz w:val="24"/>
          <w:szCs w:val="24"/>
        </w:rPr>
      </w:pPr>
    </w:p>
    <w:p w14:paraId="1409B581" w14:textId="77777777" w:rsidR="00F66441" w:rsidRDefault="00AF7FC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5384CB70" w14:textId="3A389582" w:rsidR="00F66441" w:rsidRDefault="00AF7FCE">
      <w:pPr>
        <w:spacing w:line="360" w:lineRule="auto"/>
        <w:ind w:firstLine="720"/>
        <w:jc w:val="both"/>
        <w:rPr>
          <w:rFonts w:ascii="Arial" w:eastAsia="Arial" w:hAnsi="Arial" w:cs="Arial"/>
          <w:sz w:val="24"/>
          <w:szCs w:val="24"/>
        </w:rPr>
      </w:pPr>
      <w:proofErr w:type="gramStart"/>
      <w:r>
        <w:rPr>
          <w:rFonts w:ascii="Arial" w:eastAsia="Arial" w:hAnsi="Arial" w:cs="Arial"/>
          <w:b/>
          <w:sz w:val="24"/>
          <w:szCs w:val="24"/>
        </w:rPr>
        <w:t>PRIMERO.-</w:t>
      </w:r>
      <w:proofErr w:type="gramEnd"/>
      <w:r>
        <w:rPr>
          <w:rFonts w:ascii="Arial" w:eastAsia="Arial" w:hAnsi="Arial" w:cs="Arial"/>
          <w:b/>
          <w:sz w:val="24"/>
          <w:szCs w:val="24"/>
        </w:rPr>
        <w:t xml:space="preserve"> </w:t>
      </w:r>
      <w:r>
        <w:rPr>
          <w:rFonts w:ascii="Arial" w:eastAsia="Arial" w:hAnsi="Arial" w:cs="Arial"/>
          <w:sz w:val="24"/>
          <w:szCs w:val="24"/>
        </w:rPr>
        <w:t xml:space="preserve">La Sexagésima Séptima Legislatura del Estado de Chihuahua, exhorta respetuosamente al Alcalde de Ciudad Juárez Cruz </w:t>
      </w:r>
      <w:r w:rsidR="00141DD5">
        <w:rPr>
          <w:rFonts w:ascii="Arial" w:eastAsia="Arial" w:hAnsi="Arial" w:cs="Arial"/>
          <w:sz w:val="24"/>
          <w:szCs w:val="24"/>
        </w:rPr>
        <w:t>Pérez</w:t>
      </w:r>
      <w:r>
        <w:rPr>
          <w:rFonts w:ascii="Arial" w:eastAsia="Arial" w:hAnsi="Arial" w:cs="Arial"/>
          <w:sz w:val="24"/>
          <w:szCs w:val="24"/>
        </w:rPr>
        <w:t xml:space="preserve"> Cuellar, a fin de que rinda cuentas por el encubrimiento al director de la Operadora Municipal de Esta</w:t>
      </w:r>
      <w:r w:rsidR="00141DD5">
        <w:rPr>
          <w:rFonts w:ascii="Arial" w:eastAsia="Arial" w:hAnsi="Arial" w:cs="Arial"/>
          <w:sz w:val="24"/>
          <w:szCs w:val="24"/>
        </w:rPr>
        <w:t>cionamientos</w:t>
      </w:r>
      <w:r>
        <w:rPr>
          <w:rFonts w:ascii="Arial" w:eastAsia="Arial" w:hAnsi="Arial" w:cs="Arial"/>
          <w:sz w:val="24"/>
          <w:szCs w:val="24"/>
        </w:rPr>
        <w:t xml:space="preserve"> de Juárez (OMEJ) en lo relativo a el cambio de uso de suelo y permisos autorizados a la casa de cambio con nombre comercial “</w:t>
      </w:r>
      <w:proofErr w:type="spellStart"/>
      <w:r>
        <w:rPr>
          <w:rFonts w:ascii="Arial" w:eastAsia="Arial" w:hAnsi="Arial" w:cs="Arial"/>
          <w:sz w:val="24"/>
          <w:szCs w:val="24"/>
        </w:rPr>
        <w:t>Dollar</w:t>
      </w:r>
      <w:proofErr w:type="spellEnd"/>
      <w:r>
        <w:rPr>
          <w:rFonts w:ascii="Arial" w:eastAsia="Arial" w:hAnsi="Arial" w:cs="Arial"/>
          <w:sz w:val="24"/>
          <w:szCs w:val="24"/>
        </w:rPr>
        <w:t xml:space="preserve"> 2 </w:t>
      </w:r>
      <w:proofErr w:type="spellStart"/>
      <w:r>
        <w:rPr>
          <w:rFonts w:ascii="Arial" w:eastAsia="Arial" w:hAnsi="Arial" w:cs="Arial"/>
          <w:sz w:val="24"/>
          <w:szCs w:val="24"/>
        </w:rPr>
        <w:t>Go</w:t>
      </w:r>
      <w:proofErr w:type="spellEnd"/>
      <w:r>
        <w:rPr>
          <w:rFonts w:ascii="Arial" w:eastAsia="Arial" w:hAnsi="Arial" w:cs="Arial"/>
          <w:sz w:val="24"/>
          <w:szCs w:val="24"/>
        </w:rPr>
        <w:t xml:space="preserve">” lo cual les permitió ilegalmente establecerse en al área natural protegida Parque El Chamizal. </w:t>
      </w:r>
    </w:p>
    <w:p w14:paraId="287D5CA8" w14:textId="42B17A42" w:rsidR="00F66441" w:rsidRDefault="00AF7FCE">
      <w:pPr>
        <w:spacing w:before="240" w:after="240" w:line="360" w:lineRule="auto"/>
        <w:ind w:firstLine="720"/>
        <w:jc w:val="both"/>
        <w:rPr>
          <w:rFonts w:ascii="Arial" w:eastAsia="Arial" w:hAnsi="Arial" w:cs="Arial"/>
          <w:sz w:val="24"/>
          <w:szCs w:val="24"/>
        </w:rPr>
      </w:pPr>
      <w:proofErr w:type="gramStart"/>
      <w:r>
        <w:rPr>
          <w:rFonts w:ascii="Arial" w:eastAsia="Arial" w:hAnsi="Arial" w:cs="Arial"/>
          <w:b/>
          <w:sz w:val="24"/>
          <w:szCs w:val="24"/>
        </w:rPr>
        <w:t>SEGUNDO.-</w:t>
      </w:r>
      <w:proofErr w:type="gramEnd"/>
      <w:r>
        <w:rPr>
          <w:rFonts w:ascii="Arial" w:eastAsia="Arial" w:hAnsi="Arial" w:cs="Arial"/>
          <w:sz w:val="24"/>
          <w:szCs w:val="24"/>
        </w:rPr>
        <w:t xml:space="preserve"> La Sexagésima Séptima Legislatura del Estado de Chihuahua, respetuosamente exhorta al municipio de Ciudad Juárez así como el organismo público descentralizado Operadora Municipal de Esta</w:t>
      </w:r>
      <w:r w:rsidR="00141DD5">
        <w:rPr>
          <w:rFonts w:ascii="Arial" w:eastAsia="Arial" w:hAnsi="Arial" w:cs="Arial"/>
          <w:sz w:val="24"/>
          <w:szCs w:val="24"/>
        </w:rPr>
        <w:t>cionamientos</w:t>
      </w:r>
      <w:r>
        <w:rPr>
          <w:rFonts w:ascii="Arial" w:eastAsia="Arial" w:hAnsi="Arial" w:cs="Arial"/>
          <w:sz w:val="24"/>
          <w:szCs w:val="24"/>
        </w:rPr>
        <w:t xml:space="preserve"> de Juárez, a fin de que cumplan con los convenios establecidos con la SEMARNAT para garantizar la protección ecológica del Parque El Chamizal. </w:t>
      </w:r>
    </w:p>
    <w:p w14:paraId="6C58721E" w14:textId="77777777" w:rsidR="00F66441" w:rsidRDefault="00AF7FCE">
      <w:pPr>
        <w:spacing w:before="240" w:after="240" w:line="360" w:lineRule="auto"/>
        <w:ind w:firstLine="720"/>
        <w:jc w:val="both"/>
        <w:rPr>
          <w:rFonts w:ascii="Arial" w:eastAsia="Arial" w:hAnsi="Arial" w:cs="Arial"/>
          <w:b/>
          <w:sz w:val="24"/>
          <w:szCs w:val="24"/>
        </w:rPr>
      </w:pPr>
      <w:proofErr w:type="gramStart"/>
      <w:r>
        <w:rPr>
          <w:rFonts w:ascii="Arial" w:eastAsia="Arial" w:hAnsi="Arial" w:cs="Arial"/>
          <w:b/>
          <w:sz w:val="24"/>
          <w:szCs w:val="24"/>
        </w:rPr>
        <w:t>TERCERO.-</w:t>
      </w:r>
      <w:proofErr w:type="gramEnd"/>
      <w:r>
        <w:rPr>
          <w:rFonts w:ascii="Arial" w:eastAsia="Arial" w:hAnsi="Arial" w:cs="Arial"/>
          <w:sz w:val="24"/>
          <w:szCs w:val="24"/>
        </w:rPr>
        <w:t xml:space="preserve"> La Sexagésima Séptima Legislatura del Estado de Chihuahua, exhorta respetuosamente a la Auditoría Superior del Estado a fin de que se abra una investigación para investigar a fondo los actos de corrupción en torno a los permisos otorgados a la empresa Centro Cambiario Fronteras Unidas S.A. de C.V. “</w:t>
      </w:r>
      <w:proofErr w:type="spellStart"/>
      <w:r>
        <w:rPr>
          <w:rFonts w:ascii="Arial" w:eastAsia="Arial" w:hAnsi="Arial" w:cs="Arial"/>
          <w:sz w:val="24"/>
          <w:szCs w:val="24"/>
        </w:rPr>
        <w:t>Dollar</w:t>
      </w:r>
      <w:proofErr w:type="spellEnd"/>
      <w:r>
        <w:rPr>
          <w:rFonts w:ascii="Arial" w:eastAsia="Arial" w:hAnsi="Arial" w:cs="Arial"/>
          <w:sz w:val="24"/>
          <w:szCs w:val="24"/>
        </w:rPr>
        <w:t xml:space="preserve"> 2 </w:t>
      </w:r>
      <w:proofErr w:type="spellStart"/>
      <w:r>
        <w:rPr>
          <w:rFonts w:ascii="Arial" w:eastAsia="Arial" w:hAnsi="Arial" w:cs="Arial"/>
          <w:sz w:val="24"/>
          <w:szCs w:val="24"/>
        </w:rPr>
        <w:t>Go</w:t>
      </w:r>
      <w:proofErr w:type="spellEnd"/>
      <w:r>
        <w:rPr>
          <w:rFonts w:ascii="Arial" w:eastAsia="Arial" w:hAnsi="Arial" w:cs="Arial"/>
          <w:sz w:val="24"/>
          <w:szCs w:val="24"/>
        </w:rPr>
        <w:t xml:space="preserve">” para establecerse en el Parque El Chamizal y se sancione a los responsables. </w:t>
      </w:r>
    </w:p>
    <w:p w14:paraId="181EE7FB" w14:textId="77777777" w:rsidR="00F66441" w:rsidRDefault="00AF7FCE">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ECONÓMICO</w:t>
      </w:r>
      <w:r>
        <w:rPr>
          <w:rFonts w:ascii="Arial" w:eastAsia="Arial" w:hAnsi="Arial" w:cs="Arial"/>
          <w:color w:val="000000"/>
          <w:sz w:val="24"/>
          <w:szCs w:val="24"/>
        </w:rPr>
        <w:t>. Aprobado que sea túrnese a la secretaría para que elabore la minuta de Acuerdo correspondiente.</w:t>
      </w:r>
    </w:p>
    <w:p w14:paraId="74B63E0E" w14:textId="77777777" w:rsidR="00F66441" w:rsidRDefault="00AF7FCE">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15 días del mes de enero del dos mil veinticuatro. </w:t>
      </w:r>
    </w:p>
    <w:p w14:paraId="0E778FEE" w14:textId="77777777" w:rsidR="00F66441" w:rsidRDefault="00F66441">
      <w:pPr>
        <w:spacing w:after="0" w:line="360" w:lineRule="auto"/>
        <w:jc w:val="both"/>
        <w:rPr>
          <w:rFonts w:ascii="Arial" w:eastAsia="Arial" w:hAnsi="Arial" w:cs="Arial"/>
          <w:sz w:val="24"/>
          <w:szCs w:val="24"/>
        </w:rPr>
      </w:pPr>
    </w:p>
    <w:p w14:paraId="1BD96638" w14:textId="77777777" w:rsidR="00F66441" w:rsidRDefault="00AF7FCE">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7E333421" w14:textId="77777777" w:rsidR="00F66441" w:rsidRDefault="00AF7FCE">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0D63C243" w14:textId="77777777" w:rsidR="00F66441" w:rsidRDefault="00F66441">
      <w:pPr>
        <w:spacing w:after="0" w:line="360" w:lineRule="auto"/>
        <w:jc w:val="both"/>
        <w:rPr>
          <w:rFonts w:ascii="Arial" w:eastAsia="Arial" w:hAnsi="Arial" w:cs="Arial"/>
          <w:b/>
          <w:sz w:val="24"/>
          <w:szCs w:val="24"/>
        </w:rPr>
      </w:pPr>
    </w:p>
    <w:p w14:paraId="472049F3" w14:textId="77777777" w:rsidR="00F66441" w:rsidRDefault="00F66441">
      <w:pPr>
        <w:spacing w:after="0" w:line="276" w:lineRule="auto"/>
        <w:jc w:val="both"/>
        <w:rPr>
          <w:rFonts w:ascii="Arial" w:eastAsia="Arial" w:hAnsi="Arial" w:cs="Arial"/>
          <w:b/>
          <w:sz w:val="24"/>
          <w:szCs w:val="24"/>
        </w:rPr>
      </w:pPr>
    </w:p>
    <w:p w14:paraId="3CC1BF4D" w14:textId="77777777" w:rsidR="00F66441" w:rsidRDefault="00AF7FCE">
      <w:pPr>
        <w:shd w:val="clear" w:color="auto" w:fill="FFFFFF"/>
        <w:spacing w:line="360" w:lineRule="auto"/>
        <w:ind w:firstLine="709"/>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6FD4C682" w14:textId="77777777" w:rsidR="00F66441" w:rsidRDefault="00F66441">
      <w:pPr>
        <w:shd w:val="clear" w:color="auto" w:fill="FFFFFF"/>
        <w:spacing w:line="360" w:lineRule="auto"/>
        <w:ind w:firstLine="709"/>
        <w:jc w:val="center"/>
        <w:rPr>
          <w:rFonts w:ascii="Arial" w:eastAsia="Arial" w:hAnsi="Arial" w:cs="Arial"/>
          <w:b/>
          <w:sz w:val="24"/>
          <w:szCs w:val="24"/>
          <w:u w:val="single"/>
        </w:rPr>
      </w:pPr>
    </w:p>
    <w:p w14:paraId="50D06BC0" w14:textId="77777777" w:rsidR="00F66441" w:rsidRDefault="00F66441">
      <w:pPr>
        <w:shd w:val="clear" w:color="auto" w:fill="FFFFFF"/>
        <w:spacing w:line="360" w:lineRule="auto"/>
        <w:ind w:firstLine="709"/>
        <w:jc w:val="center"/>
        <w:rPr>
          <w:rFonts w:ascii="Arial" w:eastAsia="Arial" w:hAnsi="Arial" w:cs="Arial"/>
          <w:b/>
          <w:sz w:val="24"/>
          <w:szCs w:val="24"/>
          <w:u w:val="single"/>
        </w:rPr>
      </w:pPr>
    </w:p>
    <w:tbl>
      <w:tblPr>
        <w:tblStyle w:val="a"/>
        <w:tblW w:w="9889" w:type="dxa"/>
        <w:tblInd w:w="0" w:type="dxa"/>
        <w:tblLayout w:type="fixed"/>
        <w:tblLook w:val="0400" w:firstRow="0" w:lastRow="0" w:firstColumn="0" w:lastColumn="0" w:noHBand="0" w:noVBand="1"/>
      </w:tblPr>
      <w:tblGrid>
        <w:gridCol w:w="4489"/>
        <w:gridCol w:w="5400"/>
      </w:tblGrid>
      <w:tr w:rsidR="00F66441" w14:paraId="0D11C4D2" w14:textId="77777777">
        <w:trPr>
          <w:trHeight w:val="1108"/>
        </w:trPr>
        <w:tc>
          <w:tcPr>
            <w:tcW w:w="4489" w:type="dxa"/>
          </w:tcPr>
          <w:p w14:paraId="66C28EC6"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Ismael Pérez Pavía</w:t>
            </w:r>
          </w:p>
        </w:tc>
        <w:tc>
          <w:tcPr>
            <w:tcW w:w="5400" w:type="dxa"/>
          </w:tcPr>
          <w:p w14:paraId="50EC1C98"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xml:space="preserve">. Georgina Alejandra Bujanda Ríos </w:t>
            </w:r>
          </w:p>
        </w:tc>
      </w:tr>
      <w:tr w:rsidR="00F66441" w14:paraId="1F122A77" w14:textId="77777777">
        <w:trPr>
          <w:trHeight w:val="1136"/>
        </w:trPr>
        <w:tc>
          <w:tcPr>
            <w:tcW w:w="4489" w:type="dxa"/>
          </w:tcPr>
          <w:p w14:paraId="7DB85858" w14:textId="77777777" w:rsidR="00F66441" w:rsidRDefault="00F66441">
            <w:pPr>
              <w:spacing w:line="360" w:lineRule="auto"/>
              <w:ind w:left="-284"/>
              <w:jc w:val="center"/>
              <w:rPr>
                <w:rFonts w:ascii="Arial" w:eastAsia="Arial" w:hAnsi="Arial" w:cs="Arial"/>
                <w:b/>
                <w:sz w:val="22"/>
                <w:szCs w:val="22"/>
                <w:u w:val="single"/>
              </w:rPr>
            </w:pPr>
          </w:p>
          <w:p w14:paraId="242220AE" w14:textId="77777777" w:rsidR="00F66441" w:rsidRDefault="00AF7FCE">
            <w:pPr>
              <w:spacing w:line="360" w:lineRule="auto"/>
              <w:ind w:left="-1276"/>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Rocío Guadalupe Sarmiento Rufino</w:t>
            </w:r>
          </w:p>
          <w:p w14:paraId="4C4C7EAA" w14:textId="77777777" w:rsidR="00F66441" w:rsidRDefault="00F66441">
            <w:pPr>
              <w:spacing w:line="360" w:lineRule="auto"/>
              <w:jc w:val="center"/>
              <w:rPr>
                <w:rFonts w:ascii="Arial" w:eastAsia="Arial" w:hAnsi="Arial" w:cs="Arial"/>
                <w:b/>
                <w:sz w:val="22"/>
                <w:szCs w:val="22"/>
                <w:u w:val="single"/>
              </w:rPr>
            </w:pPr>
          </w:p>
        </w:tc>
        <w:tc>
          <w:tcPr>
            <w:tcW w:w="5400" w:type="dxa"/>
          </w:tcPr>
          <w:p w14:paraId="2DA4163A" w14:textId="77777777" w:rsidR="00F66441" w:rsidRDefault="00F66441">
            <w:pPr>
              <w:spacing w:line="360" w:lineRule="auto"/>
              <w:jc w:val="center"/>
              <w:rPr>
                <w:rFonts w:ascii="Arial" w:eastAsia="Arial" w:hAnsi="Arial" w:cs="Arial"/>
                <w:b/>
                <w:sz w:val="22"/>
                <w:szCs w:val="22"/>
                <w:u w:val="single"/>
              </w:rPr>
            </w:pPr>
          </w:p>
          <w:p w14:paraId="0AF57A14"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Saúl Mireles Corral</w:t>
            </w:r>
          </w:p>
          <w:p w14:paraId="0658FDED" w14:textId="77777777" w:rsidR="00F66441" w:rsidRDefault="00F66441">
            <w:pPr>
              <w:spacing w:line="360" w:lineRule="auto"/>
              <w:jc w:val="center"/>
              <w:rPr>
                <w:rFonts w:ascii="Arial" w:eastAsia="Arial" w:hAnsi="Arial" w:cs="Arial"/>
                <w:b/>
                <w:sz w:val="22"/>
                <w:szCs w:val="22"/>
                <w:u w:val="single"/>
              </w:rPr>
            </w:pPr>
          </w:p>
        </w:tc>
      </w:tr>
      <w:tr w:rsidR="00F66441" w14:paraId="3CB490BF" w14:textId="77777777">
        <w:trPr>
          <w:trHeight w:val="1112"/>
        </w:trPr>
        <w:tc>
          <w:tcPr>
            <w:tcW w:w="4489" w:type="dxa"/>
          </w:tcPr>
          <w:p w14:paraId="16F3E802" w14:textId="77777777" w:rsidR="00F66441" w:rsidRDefault="00F66441">
            <w:pPr>
              <w:spacing w:line="360" w:lineRule="auto"/>
              <w:jc w:val="center"/>
              <w:rPr>
                <w:rFonts w:ascii="Arial" w:eastAsia="Arial" w:hAnsi="Arial" w:cs="Arial"/>
                <w:b/>
                <w:sz w:val="22"/>
                <w:szCs w:val="22"/>
                <w:u w:val="single"/>
              </w:rPr>
            </w:pPr>
          </w:p>
          <w:p w14:paraId="261840DC"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José Alfredo Chávez Madrid</w:t>
            </w:r>
          </w:p>
        </w:tc>
        <w:tc>
          <w:tcPr>
            <w:tcW w:w="5400" w:type="dxa"/>
          </w:tcPr>
          <w:p w14:paraId="0B7D113D" w14:textId="77777777" w:rsidR="00F66441" w:rsidRDefault="00F66441">
            <w:pPr>
              <w:spacing w:line="360" w:lineRule="auto"/>
              <w:jc w:val="center"/>
              <w:rPr>
                <w:rFonts w:ascii="Arial" w:eastAsia="Arial" w:hAnsi="Arial" w:cs="Arial"/>
                <w:b/>
                <w:sz w:val="22"/>
                <w:szCs w:val="22"/>
                <w:u w:val="single"/>
              </w:rPr>
            </w:pPr>
          </w:p>
          <w:p w14:paraId="580B186A"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Ismael Mario Rodríguez Saldaña</w:t>
            </w:r>
          </w:p>
        </w:tc>
      </w:tr>
      <w:tr w:rsidR="00F66441" w14:paraId="6EE7057E" w14:textId="77777777">
        <w:trPr>
          <w:trHeight w:val="1115"/>
        </w:trPr>
        <w:tc>
          <w:tcPr>
            <w:tcW w:w="4489" w:type="dxa"/>
          </w:tcPr>
          <w:p w14:paraId="7621BAFD" w14:textId="77777777" w:rsidR="00F66441" w:rsidRDefault="00F66441">
            <w:pPr>
              <w:spacing w:line="360" w:lineRule="auto"/>
              <w:jc w:val="center"/>
              <w:rPr>
                <w:rFonts w:ascii="Arial" w:eastAsia="Arial" w:hAnsi="Arial" w:cs="Arial"/>
                <w:b/>
                <w:sz w:val="22"/>
                <w:szCs w:val="22"/>
                <w:u w:val="single"/>
              </w:rPr>
            </w:pPr>
          </w:p>
          <w:p w14:paraId="070F6051" w14:textId="77777777" w:rsidR="00F66441" w:rsidRDefault="00F66441">
            <w:pPr>
              <w:spacing w:line="360" w:lineRule="auto"/>
              <w:jc w:val="center"/>
              <w:rPr>
                <w:rFonts w:ascii="Arial" w:eastAsia="Arial" w:hAnsi="Arial" w:cs="Arial"/>
                <w:b/>
                <w:sz w:val="22"/>
                <w:szCs w:val="22"/>
                <w:u w:val="single"/>
              </w:rPr>
            </w:pPr>
          </w:p>
          <w:p w14:paraId="73EEC62F"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Carlos Alfredo Olson San Vicente</w:t>
            </w:r>
          </w:p>
        </w:tc>
        <w:tc>
          <w:tcPr>
            <w:tcW w:w="5400" w:type="dxa"/>
          </w:tcPr>
          <w:p w14:paraId="2A35F336" w14:textId="77777777" w:rsidR="00F66441" w:rsidRDefault="00F66441">
            <w:pPr>
              <w:spacing w:line="360" w:lineRule="auto"/>
              <w:jc w:val="center"/>
              <w:rPr>
                <w:rFonts w:ascii="Arial" w:eastAsia="Arial" w:hAnsi="Arial" w:cs="Arial"/>
                <w:b/>
                <w:sz w:val="22"/>
                <w:szCs w:val="22"/>
                <w:u w:val="single"/>
              </w:rPr>
            </w:pPr>
          </w:p>
          <w:p w14:paraId="72C01516" w14:textId="77777777" w:rsidR="00F66441" w:rsidRDefault="00F66441">
            <w:pPr>
              <w:spacing w:line="360" w:lineRule="auto"/>
              <w:jc w:val="center"/>
              <w:rPr>
                <w:rFonts w:ascii="Arial" w:eastAsia="Arial" w:hAnsi="Arial" w:cs="Arial"/>
                <w:b/>
                <w:sz w:val="22"/>
                <w:szCs w:val="22"/>
                <w:u w:val="single"/>
              </w:rPr>
            </w:pPr>
          </w:p>
          <w:p w14:paraId="4DF5EF38"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Andrea Daniela Flores Chacón</w:t>
            </w:r>
          </w:p>
        </w:tc>
      </w:tr>
      <w:tr w:rsidR="00F66441" w14:paraId="32F13D12" w14:textId="77777777">
        <w:trPr>
          <w:trHeight w:val="1272"/>
        </w:trPr>
        <w:tc>
          <w:tcPr>
            <w:tcW w:w="4489" w:type="dxa"/>
          </w:tcPr>
          <w:p w14:paraId="2FCA9DEC" w14:textId="77777777" w:rsidR="00F66441" w:rsidRDefault="00F66441">
            <w:pPr>
              <w:spacing w:line="360" w:lineRule="auto"/>
              <w:jc w:val="center"/>
              <w:rPr>
                <w:rFonts w:ascii="Arial" w:eastAsia="Arial" w:hAnsi="Arial" w:cs="Arial"/>
                <w:b/>
                <w:sz w:val="22"/>
                <w:szCs w:val="22"/>
                <w:u w:val="single"/>
              </w:rPr>
            </w:pPr>
          </w:p>
          <w:p w14:paraId="0B1936FC" w14:textId="77777777" w:rsidR="00F66441" w:rsidRDefault="00F66441">
            <w:pPr>
              <w:spacing w:line="360" w:lineRule="auto"/>
              <w:jc w:val="center"/>
              <w:rPr>
                <w:rFonts w:ascii="Arial" w:eastAsia="Arial" w:hAnsi="Arial" w:cs="Arial"/>
                <w:b/>
                <w:sz w:val="22"/>
                <w:szCs w:val="22"/>
                <w:u w:val="single"/>
              </w:rPr>
            </w:pPr>
          </w:p>
          <w:p w14:paraId="615F29A0"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Roberto Marcelino Carreón Huitrón</w:t>
            </w:r>
          </w:p>
        </w:tc>
        <w:tc>
          <w:tcPr>
            <w:tcW w:w="5400" w:type="dxa"/>
          </w:tcPr>
          <w:p w14:paraId="1ACCD54A" w14:textId="77777777" w:rsidR="00F66441" w:rsidRDefault="00F66441">
            <w:pPr>
              <w:spacing w:line="360" w:lineRule="auto"/>
              <w:rPr>
                <w:rFonts w:ascii="Arial" w:eastAsia="Arial" w:hAnsi="Arial" w:cs="Arial"/>
                <w:b/>
                <w:sz w:val="22"/>
                <w:szCs w:val="22"/>
                <w:u w:val="single"/>
              </w:rPr>
            </w:pPr>
          </w:p>
          <w:p w14:paraId="3F1F3C84" w14:textId="77777777" w:rsidR="00F66441" w:rsidRDefault="00F66441">
            <w:pPr>
              <w:spacing w:line="360" w:lineRule="auto"/>
              <w:rPr>
                <w:rFonts w:ascii="Arial" w:eastAsia="Arial" w:hAnsi="Arial" w:cs="Arial"/>
                <w:b/>
                <w:sz w:val="22"/>
                <w:szCs w:val="22"/>
                <w:u w:val="single"/>
              </w:rPr>
            </w:pPr>
          </w:p>
          <w:p w14:paraId="2C617C7B"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Luis Alberto Aguilar Lozoya</w:t>
            </w:r>
          </w:p>
        </w:tc>
      </w:tr>
      <w:tr w:rsidR="00F66441" w14:paraId="73A70977" w14:textId="77777777">
        <w:trPr>
          <w:trHeight w:val="1272"/>
        </w:trPr>
        <w:tc>
          <w:tcPr>
            <w:tcW w:w="4489" w:type="dxa"/>
          </w:tcPr>
          <w:p w14:paraId="6BC0B2D4" w14:textId="77777777" w:rsidR="00F66441" w:rsidRDefault="00F66441">
            <w:pPr>
              <w:spacing w:line="360" w:lineRule="auto"/>
              <w:jc w:val="center"/>
              <w:rPr>
                <w:rFonts w:ascii="Arial" w:eastAsia="Arial" w:hAnsi="Arial" w:cs="Arial"/>
                <w:b/>
                <w:sz w:val="22"/>
                <w:szCs w:val="22"/>
                <w:u w:val="single"/>
              </w:rPr>
            </w:pPr>
          </w:p>
          <w:p w14:paraId="5A99604E" w14:textId="77777777" w:rsidR="00F66441" w:rsidRDefault="00F66441">
            <w:pPr>
              <w:spacing w:line="360" w:lineRule="auto"/>
              <w:jc w:val="center"/>
              <w:rPr>
                <w:rFonts w:ascii="Arial" w:eastAsia="Arial" w:hAnsi="Arial" w:cs="Arial"/>
                <w:b/>
                <w:sz w:val="22"/>
                <w:szCs w:val="22"/>
                <w:u w:val="single"/>
              </w:rPr>
            </w:pPr>
          </w:p>
          <w:p w14:paraId="491082C0"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Diana Ivette Pereda Gutiérrez</w:t>
            </w:r>
          </w:p>
        </w:tc>
        <w:tc>
          <w:tcPr>
            <w:tcW w:w="5400" w:type="dxa"/>
          </w:tcPr>
          <w:p w14:paraId="1974E79A" w14:textId="77777777" w:rsidR="00F66441" w:rsidRDefault="00F66441">
            <w:pPr>
              <w:spacing w:line="360" w:lineRule="auto"/>
              <w:jc w:val="center"/>
              <w:rPr>
                <w:rFonts w:ascii="Arial" w:eastAsia="Arial" w:hAnsi="Arial" w:cs="Arial"/>
                <w:b/>
                <w:sz w:val="22"/>
                <w:szCs w:val="22"/>
                <w:u w:val="single"/>
              </w:rPr>
            </w:pPr>
          </w:p>
          <w:p w14:paraId="34E5CF58" w14:textId="77777777" w:rsidR="00F66441" w:rsidRDefault="00F66441">
            <w:pPr>
              <w:spacing w:line="360" w:lineRule="auto"/>
              <w:jc w:val="center"/>
              <w:rPr>
                <w:rFonts w:ascii="Arial" w:eastAsia="Arial" w:hAnsi="Arial" w:cs="Arial"/>
                <w:b/>
                <w:sz w:val="22"/>
                <w:szCs w:val="22"/>
                <w:u w:val="single"/>
              </w:rPr>
            </w:pPr>
          </w:p>
          <w:p w14:paraId="6F5038FC"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Gabriel Ángel García Cantú</w:t>
            </w:r>
          </w:p>
        </w:tc>
      </w:tr>
      <w:tr w:rsidR="00F66441" w14:paraId="40BFE5FB" w14:textId="77777777">
        <w:trPr>
          <w:trHeight w:val="1272"/>
        </w:trPr>
        <w:tc>
          <w:tcPr>
            <w:tcW w:w="4489" w:type="dxa"/>
          </w:tcPr>
          <w:p w14:paraId="6A23060D" w14:textId="77777777" w:rsidR="00F66441" w:rsidRDefault="00F66441">
            <w:pPr>
              <w:spacing w:line="360" w:lineRule="auto"/>
              <w:jc w:val="center"/>
              <w:rPr>
                <w:rFonts w:ascii="Arial" w:eastAsia="Arial" w:hAnsi="Arial" w:cs="Arial"/>
                <w:b/>
                <w:sz w:val="22"/>
                <w:szCs w:val="22"/>
                <w:u w:val="single"/>
              </w:rPr>
            </w:pPr>
          </w:p>
          <w:p w14:paraId="5CAC093F" w14:textId="77777777" w:rsidR="00F66441" w:rsidRDefault="00F66441">
            <w:pPr>
              <w:spacing w:line="360" w:lineRule="auto"/>
              <w:jc w:val="center"/>
              <w:rPr>
                <w:rFonts w:ascii="Arial" w:eastAsia="Arial" w:hAnsi="Arial" w:cs="Arial"/>
                <w:b/>
                <w:sz w:val="22"/>
                <w:szCs w:val="22"/>
                <w:u w:val="single"/>
              </w:rPr>
            </w:pPr>
          </w:p>
          <w:p w14:paraId="4EEB9EA3"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Rosa Isela Martínez Díaz</w:t>
            </w:r>
          </w:p>
        </w:tc>
        <w:tc>
          <w:tcPr>
            <w:tcW w:w="5400" w:type="dxa"/>
          </w:tcPr>
          <w:p w14:paraId="4031AA82" w14:textId="77777777" w:rsidR="00F66441" w:rsidRDefault="00F66441">
            <w:pPr>
              <w:spacing w:line="360" w:lineRule="auto"/>
              <w:jc w:val="center"/>
              <w:rPr>
                <w:rFonts w:ascii="Arial" w:eastAsia="Arial" w:hAnsi="Arial" w:cs="Arial"/>
                <w:b/>
                <w:sz w:val="22"/>
                <w:szCs w:val="22"/>
                <w:u w:val="single"/>
              </w:rPr>
            </w:pPr>
          </w:p>
          <w:p w14:paraId="4C670828" w14:textId="77777777" w:rsidR="00F66441" w:rsidRDefault="00F66441">
            <w:pPr>
              <w:spacing w:line="360" w:lineRule="auto"/>
              <w:jc w:val="center"/>
              <w:rPr>
                <w:rFonts w:ascii="Arial" w:eastAsia="Arial" w:hAnsi="Arial" w:cs="Arial"/>
                <w:b/>
                <w:sz w:val="22"/>
                <w:szCs w:val="22"/>
                <w:u w:val="single"/>
              </w:rPr>
            </w:pPr>
          </w:p>
          <w:p w14:paraId="27B0B296" w14:textId="77777777" w:rsidR="00F66441" w:rsidRDefault="00AF7FCE">
            <w:pPr>
              <w:spacing w:line="360" w:lineRule="auto"/>
              <w:jc w:val="center"/>
              <w:rPr>
                <w:rFonts w:ascii="Arial" w:eastAsia="Arial" w:hAnsi="Arial" w:cs="Arial"/>
                <w:b/>
                <w:sz w:val="22"/>
                <w:szCs w:val="22"/>
                <w:u w:val="single"/>
              </w:rPr>
            </w:pPr>
            <w:proofErr w:type="spellStart"/>
            <w:r>
              <w:rPr>
                <w:rFonts w:ascii="Arial" w:eastAsia="Arial" w:hAnsi="Arial" w:cs="Arial"/>
                <w:b/>
                <w:sz w:val="22"/>
                <w:szCs w:val="22"/>
                <w:u w:val="single"/>
              </w:rPr>
              <w:t>Dip</w:t>
            </w:r>
            <w:proofErr w:type="spellEnd"/>
            <w:r>
              <w:rPr>
                <w:rFonts w:ascii="Arial" w:eastAsia="Arial" w:hAnsi="Arial" w:cs="Arial"/>
                <w:b/>
                <w:sz w:val="22"/>
                <w:szCs w:val="22"/>
                <w:u w:val="single"/>
              </w:rPr>
              <w:t xml:space="preserve">. Yesenia Guadalupe Reyes </w:t>
            </w:r>
            <w:proofErr w:type="spellStart"/>
            <w:r>
              <w:rPr>
                <w:rFonts w:ascii="Arial" w:eastAsia="Arial" w:hAnsi="Arial" w:cs="Arial"/>
                <w:b/>
                <w:sz w:val="22"/>
                <w:szCs w:val="22"/>
                <w:u w:val="single"/>
              </w:rPr>
              <w:t>Calzadías</w:t>
            </w:r>
            <w:proofErr w:type="spellEnd"/>
          </w:p>
        </w:tc>
      </w:tr>
    </w:tbl>
    <w:p w14:paraId="1CE69E96" w14:textId="77777777" w:rsidR="00F66441" w:rsidRDefault="00F66441">
      <w:pPr>
        <w:jc w:val="both"/>
        <w:rPr>
          <w:b/>
          <w:i/>
        </w:rPr>
      </w:pPr>
    </w:p>
    <w:p w14:paraId="565E9025" w14:textId="77777777" w:rsidR="00F66441" w:rsidRDefault="00AF7FCE">
      <w:pPr>
        <w:jc w:val="both"/>
        <w:rPr>
          <w:sz w:val="14"/>
          <w:szCs w:val="14"/>
        </w:rPr>
      </w:pPr>
      <w:bookmarkStart w:id="0" w:name="_heading=h.gjdgxs" w:colFirst="0" w:colLast="0"/>
      <w:bookmarkEnd w:id="0"/>
      <w:r>
        <w:rPr>
          <w:rFonts w:ascii="Arial" w:eastAsia="Arial" w:hAnsi="Arial" w:cs="Arial"/>
          <w:color w:val="000000"/>
          <w:sz w:val="14"/>
          <w:szCs w:val="14"/>
        </w:rPr>
        <w:t xml:space="preserve">La presente hoja forma parte de la iniciativa de Proposición con Carácter de Punto de Acuerdo, </w:t>
      </w:r>
      <w:r>
        <w:rPr>
          <w:rFonts w:ascii="Arial" w:eastAsia="Arial" w:hAnsi="Arial" w:cs="Arial"/>
          <w:sz w:val="14"/>
          <w:szCs w:val="14"/>
        </w:rPr>
        <w:t>que exhortar respetuosamente a los responsables del daño causado al Parque el Chamizal por construcción de casa de cambio; a fin de que respondan legalmente, respeten los convenios existentes para la protección del parque, así como a la Auditoría Superior del Estado para que sancione los actos de corrupción existentes en torno al caso</w:t>
      </w:r>
    </w:p>
    <w:sectPr w:rsidR="00F66441">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C51C" w14:textId="77777777" w:rsidR="00AF7FCE" w:rsidRDefault="00AF7FCE">
      <w:pPr>
        <w:spacing w:after="0" w:line="240" w:lineRule="auto"/>
      </w:pPr>
      <w:r>
        <w:separator/>
      </w:r>
    </w:p>
  </w:endnote>
  <w:endnote w:type="continuationSeparator" w:id="0">
    <w:p w14:paraId="69516A9E" w14:textId="77777777" w:rsidR="00AF7FCE" w:rsidRDefault="00A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45A9" w14:textId="77777777" w:rsidR="00F66441" w:rsidRDefault="00F6644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5146" w14:textId="77777777" w:rsidR="00F66441" w:rsidRDefault="00F6644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71AA" w14:textId="77777777" w:rsidR="00F66441" w:rsidRDefault="00F6644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EF13" w14:textId="77777777" w:rsidR="00AF7FCE" w:rsidRDefault="00AF7FCE">
      <w:pPr>
        <w:spacing w:after="0" w:line="240" w:lineRule="auto"/>
      </w:pPr>
      <w:r>
        <w:separator/>
      </w:r>
    </w:p>
  </w:footnote>
  <w:footnote w:type="continuationSeparator" w:id="0">
    <w:p w14:paraId="2404C955" w14:textId="77777777" w:rsidR="00AF7FCE" w:rsidRDefault="00AF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F864" w14:textId="77777777" w:rsidR="00F66441" w:rsidRDefault="00F6644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7B4A" w14:textId="77777777" w:rsidR="00F66441" w:rsidRDefault="00F66441">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F72D" w14:textId="77777777" w:rsidR="00F66441" w:rsidRDefault="00F6644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41"/>
    <w:rsid w:val="00141DD5"/>
    <w:rsid w:val="00823B56"/>
    <w:rsid w:val="00AF7FCE"/>
    <w:rsid w:val="00F66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7DB5"/>
  <w15:docId w15:val="{EF8D1DC7-773E-42DF-9AA2-DC21F471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UP1CahAC/DlXvzT4ndspJeV1A==">CgMxLjAyCGguZ2pkZ3hzOAByITFHZTljMGJ4WmttU3FTOWxPZ1FJbllIX0RzeEROM0c5NQ==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7293</Characters>
  <Application>Microsoft Office Word</Application>
  <DocSecurity>0</DocSecurity>
  <Lines>60</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2024-01-31T17:05:00Z</dcterms:created>
  <dcterms:modified xsi:type="dcterms:W3CDTF">2024-01-31T17:05:00Z</dcterms:modified>
</cp:coreProperties>
</file>