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5AA4" w14:textId="77777777" w:rsidR="007C6A72" w:rsidRDefault="007C6A72">
      <w:pPr>
        <w:pStyle w:val="CuerpoA"/>
        <w:widowControl w:val="0"/>
        <w:spacing w:line="240" w:lineRule="auto"/>
      </w:pPr>
    </w:p>
    <w:p w14:paraId="4700FC20" w14:textId="77777777" w:rsidR="007C6A72" w:rsidRDefault="007C6A72">
      <w:pPr>
        <w:pStyle w:val="CuerpoA"/>
        <w:spacing w:after="0" w:line="240" w:lineRule="auto"/>
        <w:jc w:val="both"/>
      </w:pPr>
    </w:p>
    <w:p w14:paraId="0BD53A75" w14:textId="77777777" w:rsidR="007C6A72" w:rsidRDefault="007C6A72">
      <w:pPr>
        <w:pStyle w:val="Ttulo1"/>
        <w:spacing w:line="360" w:lineRule="auto"/>
        <w:rPr>
          <w:rStyle w:val="Ninguno"/>
          <w:rFonts w:ascii="Century Gothic" w:eastAsia="Century Gothic" w:hAnsi="Century Gothic" w:cs="Century Gothic"/>
          <w:b/>
          <w:bCs/>
          <w:color w:val="000000"/>
          <w:sz w:val="26"/>
          <w:szCs w:val="26"/>
          <w:u w:color="000000"/>
        </w:rPr>
      </w:pPr>
    </w:p>
    <w:p w14:paraId="0E306463" w14:textId="77777777" w:rsidR="007C6A72" w:rsidRDefault="00BE592A">
      <w:pPr>
        <w:pStyle w:val="Ttulo1"/>
        <w:spacing w:line="360" w:lineRule="auto"/>
        <w:rPr>
          <w:rStyle w:val="Ninguno"/>
          <w:rFonts w:ascii="Century Gothic" w:eastAsia="Century Gothic" w:hAnsi="Century Gothic" w:cs="Century Gothic"/>
          <w:b/>
          <w:bCs/>
          <w:color w:val="000000"/>
          <w:sz w:val="26"/>
          <w:szCs w:val="26"/>
          <w:u w:color="000000"/>
        </w:rPr>
      </w:pPr>
      <w:r>
        <w:rPr>
          <w:rStyle w:val="Ninguno"/>
          <w:rFonts w:ascii="Century Gothic" w:hAnsi="Century Gothic"/>
          <w:b/>
          <w:bCs/>
          <w:color w:val="000000"/>
          <w:sz w:val="26"/>
          <w:szCs w:val="26"/>
          <w:u w:color="000000"/>
        </w:rPr>
        <w:t>H. CONGRESO DEL ESTADO DE CHIHUAHUA.</w:t>
      </w:r>
    </w:p>
    <w:p w14:paraId="7187E12F" w14:textId="77777777" w:rsidR="007C6A72" w:rsidRDefault="00BE592A">
      <w:pPr>
        <w:pStyle w:val="CuerpoAA"/>
        <w:spacing w:after="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b/>
          <w:bCs/>
          <w:sz w:val="26"/>
          <w:szCs w:val="26"/>
        </w:rPr>
        <w:t>P R E S E N T E.-</w:t>
      </w:r>
    </w:p>
    <w:p w14:paraId="04D6C343" w14:textId="77777777" w:rsidR="007C6A72" w:rsidRDefault="00BE592A">
      <w:pPr>
        <w:pStyle w:val="CuerpoAA"/>
        <w:spacing w:after="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sz w:val="26"/>
          <w:szCs w:val="26"/>
        </w:rPr>
        <w:t>Quienes suscriben,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b/>
          <w:bCs/>
          <w:sz w:val="26"/>
          <w:szCs w:val="26"/>
        </w:rPr>
        <w:t>Maria</w:t>
      </w:r>
      <w:proofErr w:type="spellEnd"/>
      <w:r>
        <w:rPr>
          <w:rFonts w:ascii="Century Gothic" w:hAnsi="Century Gothic"/>
          <w:b/>
          <w:bCs/>
          <w:sz w:val="26"/>
          <w:szCs w:val="26"/>
        </w:rPr>
        <w:t xml:space="preserve"> Antonieta Pérez Reyes, Edin Cuauhtémoc Estrada Sotelo, Leticia Ortega Máynez, Óscar Daniel Avitia Arellanes, Rosana Díaz Reyes, Gustavo de la Rosa </w:t>
      </w:r>
      <w:proofErr w:type="spellStart"/>
      <w:r>
        <w:rPr>
          <w:rFonts w:ascii="Century Gothic" w:hAnsi="Century Gothic"/>
          <w:b/>
          <w:bCs/>
          <w:sz w:val="26"/>
          <w:szCs w:val="26"/>
        </w:rPr>
        <w:t>Hickerson</w:t>
      </w:r>
      <w:proofErr w:type="spellEnd"/>
      <w:r>
        <w:rPr>
          <w:rFonts w:ascii="Century Gothic" w:hAnsi="Century Gothic"/>
          <w:b/>
          <w:bCs/>
          <w:sz w:val="26"/>
          <w:szCs w:val="26"/>
        </w:rPr>
        <w:t xml:space="preserve">, Magdalena Rentería Pérez, </w:t>
      </w:r>
      <w:proofErr w:type="spellStart"/>
      <w:r>
        <w:rPr>
          <w:rFonts w:ascii="Century Gothic" w:hAnsi="Century Gothic"/>
          <w:b/>
          <w:bCs/>
          <w:sz w:val="26"/>
          <w:szCs w:val="26"/>
        </w:rPr>
        <w:t>Benjamin</w:t>
      </w:r>
      <w:proofErr w:type="spellEnd"/>
      <w:r>
        <w:rPr>
          <w:rFonts w:ascii="Century Gothic" w:hAnsi="Century Gothic"/>
          <w:b/>
          <w:bCs/>
          <w:sz w:val="26"/>
          <w:szCs w:val="26"/>
        </w:rPr>
        <w:t xml:space="preserve"> Carrera </w:t>
      </w:r>
      <w:proofErr w:type="spellStart"/>
      <w:r>
        <w:rPr>
          <w:rFonts w:ascii="Century Gothic" w:hAnsi="Century Gothic"/>
          <w:b/>
          <w:bCs/>
          <w:sz w:val="26"/>
          <w:szCs w:val="26"/>
        </w:rPr>
        <w:t>Chavez</w:t>
      </w:r>
      <w:proofErr w:type="spellEnd"/>
      <w:r>
        <w:rPr>
          <w:rFonts w:ascii="Century Gothic" w:hAnsi="Century Gothic"/>
          <w:b/>
          <w:bCs/>
          <w:sz w:val="26"/>
          <w:szCs w:val="26"/>
        </w:rPr>
        <w:t>, David Óscar Castrejón Rivas, Ilse América García Soto y Jael Argüelles Díaz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,</w:t>
      </w:r>
      <w:r>
        <w:rPr>
          <w:rStyle w:val="Ninguno"/>
          <w:rFonts w:ascii="Century Gothic" w:hAnsi="Century Gothic"/>
          <w:sz w:val="26"/>
          <w:szCs w:val="26"/>
        </w:rPr>
        <w:t xml:space="preserve"> en nuestro carácter de Diputados de la Sexagésima Séptima Legislatura del Honorable Congreso del Estado de Chihuahua e integrantes del Grupo Parlamentario de Morena, con fundamento en lo dispuesto por los artículos 68 fracción I, de la Constitución Política; 167 fracción I, 168 de la Ley Orgánica del Poder Legislativo; así como los numerales 75 y 77 del Reglamento Interior de Prácticas Parlamentarias del Poder Legislativo; todos ordenamientos del Estado de Chihuahua, acudimos ante esta Honorable Asamblea Legislativa,</w:t>
      </w:r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6"/>
          <w:szCs w:val="26"/>
        </w:rPr>
        <w:t>a presentar</w:t>
      </w:r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>Proposición</w:t>
      </w:r>
      <w:r>
        <w:rPr>
          <w:rStyle w:val="Ninguno"/>
          <w:rFonts w:ascii="Century Gothic" w:hAnsi="Century Gothic"/>
          <w:b/>
          <w:bCs/>
          <w:sz w:val="26"/>
          <w:szCs w:val="26"/>
          <w:lang w:val="it-IT"/>
        </w:rPr>
        <w:t xml:space="preserve"> con car</w:t>
      </w:r>
      <w:proofErr w:type="spellStart"/>
      <w:r>
        <w:rPr>
          <w:rFonts w:ascii="Century Gothic" w:hAnsi="Century Gothic"/>
          <w:b/>
          <w:bCs/>
          <w:sz w:val="26"/>
          <w:szCs w:val="26"/>
        </w:rPr>
        <w:t>ácter</w:t>
      </w:r>
      <w:proofErr w:type="spellEnd"/>
      <w:r>
        <w:rPr>
          <w:rFonts w:ascii="Century Gothic" w:hAnsi="Century Gothic"/>
          <w:b/>
          <w:bCs/>
          <w:sz w:val="26"/>
          <w:szCs w:val="26"/>
        </w:rPr>
        <w:t xml:space="preserve"> de Punto de Acuerdo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, </w:t>
      </w:r>
      <w:r>
        <w:rPr>
          <w:rFonts w:ascii="Century Gothic" w:hAnsi="Century Gothic"/>
          <w:b/>
          <w:bCs/>
          <w:sz w:val="26"/>
          <w:szCs w:val="26"/>
        </w:rPr>
        <w:t>para exhortar atenta y respetuosamente al Fiscal General Del Estado de Chihuahua Cesar Jáuregui Moreno</w:t>
      </w:r>
      <w:r>
        <w:rPr>
          <w:rStyle w:val="Ninguno"/>
          <w:rFonts w:ascii="Century Gothic" w:hAnsi="Century Gothic"/>
          <w:sz w:val="26"/>
          <w:szCs w:val="26"/>
        </w:rPr>
        <w:t xml:space="preserve"> lo anterior con sustento en la siguiente: 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 </w:t>
      </w:r>
    </w:p>
    <w:p w14:paraId="3E0D8621" w14:textId="77777777" w:rsidR="007C6A72" w:rsidRDefault="007C6A72">
      <w:pPr>
        <w:pStyle w:val="CuerpoA"/>
        <w:spacing w:after="0" w:line="360" w:lineRule="auto"/>
        <w:rPr>
          <w:rStyle w:val="Ninguno"/>
          <w:rFonts w:ascii="Century Gothic" w:eastAsia="Century Gothic" w:hAnsi="Century Gothic" w:cs="Century Gothic"/>
          <w:sz w:val="26"/>
          <w:szCs w:val="26"/>
        </w:rPr>
      </w:pPr>
    </w:p>
    <w:p w14:paraId="27DF80F3" w14:textId="77777777" w:rsidR="007C6A72" w:rsidRDefault="00BE592A">
      <w:pPr>
        <w:pStyle w:val="CuerpoAA"/>
        <w:spacing w:after="0"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b/>
          <w:bCs/>
          <w:sz w:val="26"/>
          <w:szCs w:val="26"/>
          <w:lang w:val="pt-PT"/>
        </w:rPr>
        <w:t>EXPOSICI</w:t>
      </w:r>
      <w:r>
        <w:rPr>
          <w:rStyle w:val="Ninguno"/>
          <w:rFonts w:ascii="Century Gothic" w:hAnsi="Century Gothic"/>
          <w:b/>
          <w:bCs/>
          <w:sz w:val="26"/>
          <w:szCs w:val="26"/>
        </w:rPr>
        <w:t>ÓN DE MOTIVOS</w:t>
      </w:r>
    </w:p>
    <w:p w14:paraId="44629F67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60" w:lineRule="atLeast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</w:rPr>
        <w:t> 5 a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ñ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 xml:space="preserve">os le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bast</w:t>
      </w:r>
      <w:proofErr w:type="spellEnd"/>
      <w:r w:rsidR="00AA6C08"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o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a Armando Guti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rrez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Rosas y sus cómplices armar una estructura fraudulenta que bajo el esquema de estafa Ponzi despojo de miles de millones de pesos a miles de familias mexicanas. </w:t>
      </w:r>
    </w:p>
    <w:p w14:paraId="168A03F1" w14:textId="77777777" w:rsidR="007C6A72" w:rsidRDefault="007C6A72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60" w:lineRule="atLeast"/>
        <w:jc w:val="both"/>
        <w:rPr>
          <w:rFonts w:ascii="Century Gothic" w:eastAsia="Century Gothic" w:hAnsi="Century Gothic" w:cs="Century Gothic"/>
          <w:color w:val="5C5C5C"/>
          <w:sz w:val="26"/>
          <w:szCs w:val="26"/>
          <w:shd w:val="clear" w:color="auto" w:fill="FFFFFF"/>
        </w:rPr>
      </w:pPr>
    </w:p>
    <w:p w14:paraId="47C60001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60" w:lineRule="atLeast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Fue en nuestro estado en donde al cobijo de autoridades incompetentes y funcionarios corruptos e ineptos por 5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añ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os defraud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ó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sin pudor. Patrocinando campañas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pol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ticas, eventos deportivos intocable se paseó por Chihuahua. La historia es por dem</w:t>
      </w:r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 conocida.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1FAFCD5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Cuando se empezaron a dar vencimientos de contratos sin el pago correspondiente de Aras, los afectados fueron a las autoridades a buscar apoyo y protección. Desafortunadamente la Fiscal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de Fierro Duarte no solo no puso atención en el descomunal problema, sino que se dieron el lujo de no recibir denuncias por la v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a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penal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ya que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sosten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 era un caso a deber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 litigarse en lo civil.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64C24261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Tiempo de sobra tuvo el defraudador Armando Guti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rrez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Rosas para vender sus acciones y huir del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pa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 sin que nadie lo detuviera o lo molestara siquiera.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0B797CA0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Hubo que denunciarse p</w:t>
      </w:r>
      <w:r>
        <w:rPr>
          <w:rFonts w:ascii="Century Gothic" w:hAnsi="Century Gothic"/>
          <w:sz w:val="26"/>
          <w:szCs w:val="26"/>
          <w:shd w:val="clear" w:color="auto" w:fill="FFFFFF"/>
        </w:rPr>
        <w:t>ú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blicamente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desde esta tribuna el fraude para poder abrir las puertas de la Fiscal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a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las v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</w:rPr>
        <w:t>íctimas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. </w:t>
      </w:r>
    </w:p>
    <w:p w14:paraId="4EAEC37E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</w:rPr>
        <w:t>2 a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ños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han pasado desde entonces y si bien Carlos Mario Jim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nez, Francisco Mart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nez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y Aracely Ch</w:t>
      </w:r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vez entre otros colaboradores han logrado judicializar cientos de carpetas, as</w:t>
      </w:r>
      <w:r>
        <w:rPr>
          <w:rFonts w:ascii="Century Gothic" w:hAnsi="Century Gothic"/>
          <w:sz w:val="26"/>
          <w:szCs w:val="26"/>
          <w:shd w:val="clear" w:color="auto" w:fill="FFFFFF"/>
        </w:rPr>
        <w:t xml:space="preserve">í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como la vinculación a proceso de 3 de los responsables lo cierto es que no ha sido suficiente. El Poder Judicial del Estado ha sido lento y poco interesado en tratar la judicialización de este gran fraude como lo es, un delito masivo y at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pico por la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afectació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n econ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ómica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a los miles de familias. El tiempo corre en contra de los afectados.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218E898C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Las demandas en contra de Armando Guti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rrez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Rosas ante un 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Tribunal del Distrito Oeste en Texas, dio como resultado que la Comisión de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lastRenderedPageBreak/>
        <w:t>Bolsa y Valores de EU (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>SEC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por sus siglas en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ingl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s) lo acuse de fraude. En estas demandas el fraude asciende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seg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ú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n autoridades texanas a la cantidad de 6 Millones Dólares, cantidad infinitamente menor al daño que causaron a las familias mexicanas.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743F925A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Igual que las investigaciones de la Fiscal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a Zona Norte se determin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ó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que AGR no utilizo los fondos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de los inversores para los fines prometidos, por lo que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  <w:lang w:val="de-DE"/>
        </w:rPr>
        <w:t>Guti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</w:rPr>
        <w:t>rrez</w:t>
      </w:r>
      <w:proofErr w:type="spellEnd"/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operar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a un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esquema Ponzi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</w:rPr>
        <w:t>y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fraude de afinidad,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adem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s, utiliz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ó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los recursos recaudados para sus gastos personales, entre ellos, una </w:t>
      </w:r>
      <w:r w:rsidR="00AA6C08"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mansión</w:t>
      </w:r>
      <w:r>
        <w:rPr>
          <w:rFonts w:ascii="Century Gothic" w:hAnsi="Century Gothic"/>
          <w:sz w:val="26"/>
          <w:szCs w:val="26"/>
          <w:shd w:val="clear" w:color="auto" w:fill="FFFFFF"/>
          <w:lang w:val="de-DE"/>
        </w:rPr>
        <w:t xml:space="preserve"> de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</w:rPr>
        <w:t>2.5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millones de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dó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lares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</w:rPr>
        <w:t>en</w:t>
      </w:r>
      <w:r>
        <w:rPr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Texas.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45DE8660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La</w:t>
      </w:r>
      <w:r>
        <w:rPr>
          <w:rStyle w:val="Ninguno"/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demanda</w:t>
      </w:r>
      <w:r>
        <w:rPr>
          <w:rStyle w:val="Ninguno"/>
          <w:rFonts w:ascii="Century Gothic" w:hAnsi="Century Gothic"/>
          <w:b/>
          <w:bCs/>
          <w:sz w:val="26"/>
          <w:szCs w:val="26"/>
          <w:shd w:val="clear" w:color="auto" w:fill="FFFFFF"/>
        </w:rPr>
        <w:t xml:space="preserve"> 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fr-FR"/>
        </w:rPr>
        <w:t>de la SEC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</w:t>
      </w:r>
      <w:r>
        <w:rPr>
          <w:rStyle w:val="Ninguno"/>
          <w:rFonts w:ascii="Arial Unicode MS" w:hAnsi="Arial Unicode MS"/>
          <w:sz w:val="26"/>
          <w:szCs w:val="26"/>
          <w:shd w:val="clear" w:color="auto" w:fill="FFFFFF"/>
          <w:lang w:val="fr-FR"/>
        </w:rPr>
        <w:t> 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busca medidas cautelares permanentes, sanciones civiles y devolución con intereses previos al fallo.</w:t>
      </w:r>
      <w:r>
        <w:rPr>
          <w:rFonts w:ascii="Century Gothic" w:hAnsi="Century Gothic"/>
          <w:color w:val="5C5C5C"/>
          <w:sz w:val="26"/>
          <w:szCs w:val="26"/>
          <w:shd w:val="clear" w:color="auto" w:fill="FFFFFF"/>
        </w:rPr>
        <w:t> </w:t>
      </w:r>
    </w:p>
    <w:p w14:paraId="04D5D823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Para todos, mientras no lo detengan y presenten a las autoridades AGR no sabremos en dónde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est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n invertidas las cantidades millonarias que se utilizar</w:t>
      </w:r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n para reparar el daño de los defraudados.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1AD1603A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Lleva la Fiscal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</w:rPr>
        <w:t>ía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</w:rPr>
        <w:t>má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 de un año diciendo que lo tiene ubicado sin que a la fecha haya señales ni de urgencia en su b</w:t>
      </w:r>
      <w:r>
        <w:rPr>
          <w:rFonts w:ascii="Century Gothic" w:hAnsi="Century Gothic"/>
          <w:sz w:val="26"/>
          <w:szCs w:val="26"/>
          <w:shd w:val="clear" w:color="auto" w:fill="FFFFFF"/>
        </w:rPr>
        <w:t>ú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squeda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ni en su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detenció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n. </w:t>
      </w:r>
    </w:p>
    <w:p w14:paraId="6D655CAC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Aqu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 xml:space="preserve">í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surge un nuevo problema, las autoridades de Texas ya lo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est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n buscando y segura estoy que en ese estado se dar</w:t>
      </w:r>
      <w:r>
        <w:rPr>
          <w:rFonts w:ascii="Century Gothic" w:hAnsi="Century Gothic"/>
          <w:sz w:val="26"/>
          <w:szCs w:val="26"/>
          <w:shd w:val="clear" w:color="auto" w:fill="FFFFFF"/>
        </w:rPr>
        <w:t xml:space="preserve">á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la localización y detención de este defraudador mientras la Fiscal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de Chihuahua sigue esperando</w:t>
      </w:r>
      <w:r>
        <w:rPr>
          <w:rFonts w:ascii="Century Gothic" w:hAnsi="Century Gothic"/>
          <w:sz w:val="26"/>
          <w:szCs w:val="26"/>
          <w:shd w:val="clear" w:color="auto" w:fill="FFFFFF"/>
        </w:rPr>
        <w:t>…</w:t>
      </w:r>
      <w:r>
        <w:rPr>
          <w:rFonts w:ascii="Century Gothic" w:hAnsi="Century Gothic"/>
          <w:sz w:val="26"/>
          <w:szCs w:val="26"/>
          <w:shd w:val="clear" w:color="auto" w:fill="FFFFFF"/>
          <w:lang w:val="pt-PT"/>
        </w:rPr>
        <w:t>no sabemos que para actuar.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64A116E3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¿</w:t>
      </w:r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Qu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 xml:space="preserve">é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va a pasar cuando Texas detenga a Armando Guti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>é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rrez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Rosas y sus jueces si sepan cómo impartir justicia dando con el dinero escondido seguramente en cuentas personales en para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sos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fiscales?</w:t>
      </w:r>
      <w:r>
        <w:rPr>
          <w:rFonts w:ascii="Century Gothic" w:hAnsi="Century Gothic"/>
          <w:sz w:val="26"/>
          <w:szCs w:val="26"/>
          <w:shd w:val="clear" w:color="auto" w:fill="FFFFFF"/>
        </w:rPr>
        <w:t>  </w:t>
      </w:r>
    </w:p>
    <w:p w14:paraId="12F7EB98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¿</w:t>
      </w:r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Qu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 xml:space="preserve">é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va a hacer la Fiscal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a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de Chihuahua cuando Texas logre recuperar fondos para la indemnización a las v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ctimas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de ese 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pa</w:t>
      </w:r>
      <w:r>
        <w:rPr>
          <w:rFonts w:ascii="Century Gothic" w:hAnsi="Century Gothic"/>
          <w:sz w:val="26"/>
          <w:szCs w:val="26"/>
          <w:shd w:val="clear" w:color="auto" w:fill="FFFFFF"/>
        </w:rPr>
        <w:t>ís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</w:rPr>
        <w:t>? </w:t>
      </w:r>
    </w:p>
    <w:p w14:paraId="4C15D3A0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lastRenderedPageBreak/>
        <w:t>¿</w:t>
      </w:r>
      <w:r>
        <w:rPr>
          <w:rFonts w:ascii="Century Gothic" w:hAnsi="Century Gothic"/>
          <w:sz w:val="26"/>
          <w:szCs w:val="26"/>
          <w:shd w:val="clear" w:color="auto" w:fill="FFFFFF"/>
          <w:lang w:val="it-IT"/>
        </w:rPr>
        <w:t>Qu</w:t>
      </w:r>
      <w:r>
        <w:rPr>
          <w:rFonts w:ascii="Century Gothic" w:hAnsi="Century Gothic"/>
          <w:sz w:val="26"/>
          <w:szCs w:val="26"/>
          <w:shd w:val="clear" w:color="auto" w:fill="FFFFFF"/>
          <w:lang w:val="fr-FR"/>
        </w:rPr>
        <w:t xml:space="preserve">é </w:t>
      </w:r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les va a decir el Fiscal Cesar J</w:t>
      </w:r>
      <w:r>
        <w:rPr>
          <w:rFonts w:ascii="Century Gothic" w:hAnsi="Century Gothic"/>
          <w:sz w:val="26"/>
          <w:szCs w:val="26"/>
          <w:shd w:val="clear" w:color="auto" w:fill="FFFFFF"/>
        </w:rPr>
        <w:t>á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uregui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a las v</w:t>
      </w:r>
      <w:r>
        <w:rPr>
          <w:rFonts w:ascii="Century Gothic" w:hAnsi="Century Gothic"/>
          <w:sz w:val="26"/>
          <w:szCs w:val="26"/>
          <w:shd w:val="clear" w:color="auto" w:fill="FFFFFF"/>
        </w:rPr>
        <w:t>í</w:t>
      </w:r>
      <w:proofErr w:type="spellStart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>ctimas</w:t>
      </w:r>
      <w:proofErr w:type="spellEnd"/>
      <w:r>
        <w:rPr>
          <w:rFonts w:ascii="Century Gothic" w:hAnsi="Century Gothic"/>
          <w:sz w:val="26"/>
          <w:szCs w:val="26"/>
          <w:shd w:val="clear" w:color="auto" w:fill="FFFFFF"/>
          <w:lang w:val="es-ES_tradnl"/>
        </w:rPr>
        <w:t xml:space="preserve"> mexicanas cuando AGR sea encarcelado sin posibilidades de extraditarlo para que rinda cuenta ante las lentas y tortuosas autoridades chihuahuenses?</w:t>
      </w: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7C647DCF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89" w:lineRule="atLeast"/>
        <w:jc w:val="both"/>
        <w:rPr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Fonts w:ascii="Century Gothic" w:hAnsi="Century Gothic"/>
          <w:sz w:val="26"/>
          <w:szCs w:val="26"/>
          <w:shd w:val="clear" w:color="auto" w:fill="FFFFFF"/>
        </w:rPr>
        <w:t> </w:t>
      </w:r>
    </w:p>
    <w:p w14:paraId="363B627D" w14:textId="77777777" w:rsidR="007C6A72" w:rsidRDefault="00BE592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  <w:shd w:val="clear" w:color="auto" w:fill="FFFFFF"/>
        </w:rPr>
      </w:pPr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Por lo anteriormente expuesto, con fundamento en lo dispuesto por los artículos 68 fracción I, de la Constitución</w:t>
      </w:r>
      <w:r>
        <w:rPr>
          <w:rStyle w:val="Ninguno"/>
          <w:rFonts w:ascii="Century Gothic" w:hAnsi="Century Gothic"/>
          <w:sz w:val="26"/>
          <w:szCs w:val="26"/>
          <w:shd w:val="clear" w:color="auto" w:fill="FFFFFF"/>
          <w:lang w:val="de-DE"/>
        </w:rPr>
        <w:t xml:space="preserve"> Pol</w:t>
      </w:r>
      <w:proofErr w:type="spellStart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>ítica</w:t>
      </w:r>
      <w:proofErr w:type="spellEnd"/>
      <w:r>
        <w:rPr>
          <w:rStyle w:val="Ninguno"/>
          <w:rFonts w:ascii="Century Gothic" w:hAnsi="Century Gothic"/>
          <w:sz w:val="26"/>
          <w:szCs w:val="26"/>
          <w:shd w:val="clear" w:color="auto" w:fill="FFFFFF"/>
        </w:rPr>
        <w:t xml:space="preserve"> del Estado de Chihuahua, 167 fracción I, de la Ley Orgánica del Poder Legislativo; así como los numerales 75 y 76 del Reglamento Interior y de Prácticas Parlamentarias del Poder Legislativo, someto a consideración de esta Honorable Asamblea el siguiente proyecto de:</w:t>
      </w:r>
    </w:p>
    <w:p w14:paraId="1F3E2BA8" w14:textId="77777777" w:rsidR="007C6A72" w:rsidRDefault="007C6A72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p w14:paraId="2F1D8221" w14:textId="77777777" w:rsidR="007C6A72" w:rsidRDefault="00BE592A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Proposición con carácter de:</w:t>
      </w:r>
    </w:p>
    <w:p w14:paraId="1A160B60" w14:textId="77777777" w:rsidR="007C6A72" w:rsidRDefault="00BE592A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PUNTO DE ACUERDO:</w:t>
      </w:r>
    </w:p>
    <w:p w14:paraId="5ABF1E1E" w14:textId="77777777" w:rsidR="00AA6C08" w:rsidRDefault="00BE592A">
      <w:pPr>
        <w:pStyle w:val="CuerpoB"/>
        <w:spacing w:after="160" w:line="360" w:lineRule="auto"/>
        <w:jc w:val="both"/>
        <w:rPr>
          <w:rStyle w:val="Ninguno"/>
          <w:rFonts w:ascii="Century Gothic" w:hAnsi="Century Gothic"/>
          <w:b/>
          <w:bCs/>
          <w:sz w:val="26"/>
          <w:szCs w:val="26"/>
        </w:rPr>
      </w:pPr>
      <w:r>
        <w:rPr>
          <w:rStyle w:val="Ninguno"/>
          <w:rFonts w:ascii="Century Gothic" w:hAnsi="Century Gothic"/>
          <w:b/>
          <w:bCs/>
          <w:sz w:val="26"/>
          <w:szCs w:val="26"/>
        </w:rPr>
        <w:t xml:space="preserve">UNICO. –  La Sexagésima Séptima Legislatura del H. Congreso del Estado de Chihuahua, exhorta respetuosamente </w:t>
      </w:r>
      <w:r w:rsidR="00AA6C08">
        <w:rPr>
          <w:rStyle w:val="Ninguno"/>
          <w:rFonts w:ascii="Century Gothic" w:hAnsi="Century Gothic"/>
          <w:b/>
          <w:bCs/>
          <w:sz w:val="26"/>
          <w:szCs w:val="26"/>
        </w:rPr>
        <w:t xml:space="preserve">al Fiscal General del Estado de Chihuahua Cesar Jáuregui Moreno informe a este pleno el estatus que guarda la petición a las autoridades correspondientes sobre el proceso de detención y deportación del ciudadano Armando Gutiérrez Rosas para que este sea presentado ante las autoridades correspondientes en Chihuahua afín de enfrentar las miles de denuncias en su contra. </w:t>
      </w:r>
    </w:p>
    <w:p w14:paraId="70F3403C" w14:textId="77777777" w:rsidR="007C6A72" w:rsidRDefault="00BE592A">
      <w:pPr>
        <w:pStyle w:val="CuerpoB"/>
        <w:spacing w:after="160" w:line="360" w:lineRule="auto"/>
        <w:jc w:val="both"/>
        <w:rPr>
          <w:rStyle w:val="Ninguno"/>
          <w:rFonts w:ascii="Century Gothic" w:eastAsia="Century Gothic" w:hAnsi="Century Gothic" w:cs="Century Gothic"/>
          <w:sz w:val="26"/>
          <w:szCs w:val="26"/>
        </w:rPr>
      </w:pPr>
      <w:r>
        <w:rPr>
          <w:rStyle w:val="Ninguno"/>
          <w:rFonts w:ascii="Century Gothic" w:hAnsi="Century Gothic"/>
          <w:sz w:val="26"/>
          <w:szCs w:val="26"/>
        </w:rPr>
        <w:t>D A D O en el recinto oficial del Poder Legislativo, a los 26 días del mes de septiembre de dos mil veintitrés.</w:t>
      </w:r>
    </w:p>
    <w:p w14:paraId="3EF427BF" w14:textId="77777777" w:rsidR="007C6A72" w:rsidRDefault="00BE592A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ATENTAMENTE</w:t>
      </w:r>
    </w:p>
    <w:p w14:paraId="37A59E3B" w14:textId="77777777" w:rsidR="007C6A72" w:rsidRDefault="007C6A72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p w14:paraId="67B42116" w14:textId="77777777" w:rsidR="007C6A72" w:rsidRDefault="00BE592A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 xml:space="preserve">GRUPO PARLAMENTARIO DE MORENA </w:t>
      </w:r>
    </w:p>
    <w:p w14:paraId="0466392A" w14:textId="77777777" w:rsidR="007C6A72" w:rsidRDefault="007C6A72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p w14:paraId="60ABB083" w14:textId="77777777" w:rsidR="007C6A72" w:rsidRDefault="007C6A72">
      <w:pPr>
        <w:pStyle w:val="CuerpoAA"/>
        <w:spacing w:after="0" w:line="360" w:lineRule="auto"/>
        <w:jc w:val="center"/>
        <w:rPr>
          <w:rStyle w:val="Ninguno"/>
          <w:b/>
          <w:bCs/>
          <w:sz w:val="26"/>
          <w:szCs w:val="26"/>
        </w:rPr>
      </w:pPr>
    </w:p>
    <w:tbl>
      <w:tblPr>
        <w:tblStyle w:val="TableNormal"/>
        <w:tblW w:w="90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3"/>
        <w:gridCol w:w="4362"/>
      </w:tblGrid>
      <w:tr w:rsidR="007C6A72" w14:paraId="44F59499" w14:textId="77777777">
        <w:trPr>
          <w:trHeight w:val="418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6A88" w14:textId="77777777" w:rsidR="007C6A72" w:rsidRDefault="007C6A72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FC6AE2F" w14:textId="77777777" w:rsidR="007C6A72" w:rsidRDefault="007C6A72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4415258E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7A4E8250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DIP. MARIA ANTONIETA PEREZ REYES </w:t>
            </w:r>
          </w:p>
          <w:p w14:paraId="30EA2D13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22D00F0A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22DDC402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3E3E" w14:textId="77777777" w:rsidR="007C6A72" w:rsidRDefault="007C6A72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3421AF3C" w14:textId="77777777" w:rsidR="007C6A72" w:rsidRDefault="007C6A72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</w:p>
          <w:p w14:paraId="0B4C5B0E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0B4DDBCA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 CUAUHTÉMOC ESTRADA SOTELO</w:t>
            </w:r>
          </w:p>
        </w:tc>
      </w:tr>
      <w:tr w:rsidR="007C6A72" w14:paraId="30B6EB4A" w14:textId="77777777">
        <w:trPr>
          <w:trHeight w:val="322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7E9C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23CFF606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LETICIA ORTEGA MAYNEZ</w:t>
            </w:r>
          </w:p>
          <w:p w14:paraId="7C1E055D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26C0C20A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BE0B9D9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74686DD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7546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078FBF9F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BENJAMÍN CARRERA CHÁVEZ</w:t>
            </w:r>
          </w:p>
        </w:tc>
      </w:tr>
      <w:tr w:rsidR="007C6A72" w14:paraId="5A482B79" w14:textId="77777777">
        <w:trPr>
          <w:trHeight w:val="370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3605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1CBE4A3D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DAVID OSCAR CASTREJÓN RIVAS</w:t>
            </w:r>
          </w:p>
          <w:p w14:paraId="4B32D9B4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78D6BC88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10BAE0E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8214AA5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6392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44ADCAC1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GUSTAVO DE LA ROSA HICKERSON</w:t>
            </w:r>
          </w:p>
        </w:tc>
      </w:tr>
      <w:tr w:rsidR="007C6A72" w14:paraId="4377401A" w14:textId="77777777">
        <w:trPr>
          <w:trHeight w:val="322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A73D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lastRenderedPageBreak/>
              <w:t>________________________________</w:t>
            </w:r>
          </w:p>
          <w:p w14:paraId="4FF48050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ILSE AMÉRICA GARCÍA SOTO</w:t>
            </w:r>
          </w:p>
          <w:p w14:paraId="71EB5CE5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D57A33E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61E6AA6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7EE3626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3376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74E2FFAB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MAGDALENA RENTERÍA PÉREZ</w:t>
            </w:r>
          </w:p>
        </w:tc>
      </w:tr>
      <w:tr w:rsidR="007C6A72" w14:paraId="4860F435" w14:textId="77777777">
        <w:trPr>
          <w:trHeight w:val="274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FE62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2F45E6BF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JAEL ARGÜELLES DÍAZ</w:t>
            </w:r>
          </w:p>
          <w:p w14:paraId="27B1EB81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FA47D97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472FFDF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C4C9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09602465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OSCAR DANIEL AVITIA ARELLANES</w:t>
            </w:r>
          </w:p>
        </w:tc>
      </w:tr>
      <w:tr w:rsidR="007C6A72" w14:paraId="10BB8467" w14:textId="77777777">
        <w:trPr>
          <w:trHeight w:val="1300"/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73F7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7CBE94FB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>DIP. ROSANA DÍAZ REYES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619D" w14:textId="77777777" w:rsidR="007C6A72" w:rsidRDefault="00BE592A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jc w:val="center"/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26"/>
                <w:szCs w:val="26"/>
                <w:shd w:val="clear" w:color="auto" w:fill="FEFFFF"/>
              </w:rPr>
              <w:t xml:space="preserve"> </w:t>
            </w:r>
          </w:p>
        </w:tc>
      </w:tr>
    </w:tbl>
    <w:p w14:paraId="04D31806" w14:textId="77777777" w:rsidR="007C6A72" w:rsidRDefault="007C6A72">
      <w:pPr>
        <w:pStyle w:val="CuerpoAA"/>
        <w:spacing w:after="0" w:line="360" w:lineRule="auto"/>
        <w:jc w:val="center"/>
      </w:pPr>
    </w:p>
    <w:sectPr w:rsidR="007C6A7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1E7A" w14:textId="77777777" w:rsidR="006E4A08" w:rsidRDefault="006E4A08">
      <w:r>
        <w:separator/>
      </w:r>
    </w:p>
  </w:endnote>
  <w:endnote w:type="continuationSeparator" w:id="0">
    <w:p w14:paraId="6C092B3D" w14:textId="77777777" w:rsidR="006E4A08" w:rsidRDefault="006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E551" w14:textId="77777777" w:rsidR="007C6A72" w:rsidRDefault="007C6A72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3EED" w14:textId="77777777" w:rsidR="006E4A08" w:rsidRDefault="006E4A08">
      <w:r>
        <w:separator/>
      </w:r>
    </w:p>
  </w:footnote>
  <w:footnote w:type="continuationSeparator" w:id="0">
    <w:p w14:paraId="2467491E" w14:textId="77777777" w:rsidR="006E4A08" w:rsidRDefault="006E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B89A" w14:textId="77777777" w:rsidR="007C6A72" w:rsidRDefault="00BE592A">
    <w:pPr>
      <w:pStyle w:val="Encabezado"/>
      <w:tabs>
        <w:tab w:val="clear" w:pos="8838"/>
        <w:tab w:val="right" w:pos="8818"/>
      </w:tabs>
      <w:jc w:val="right"/>
      <w:rPr>
        <w:rStyle w:val="Ninguno"/>
        <w:rFonts w:ascii="Century Gothic" w:eastAsia="Century Gothic" w:hAnsi="Century Gothic" w:cs="Century Gothic"/>
        <w:i/>
        <w:iCs/>
        <w:sz w:val="24"/>
        <w:szCs w:val="24"/>
      </w:rPr>
    </w:pPr>
    <w:r>
      <w:rPr>
        <w:rStyle w:val="Ninguno"/>
        <w:rFonts w:ascii="Century Gothic" w:hAnsi="Century Gothic"/>
        <w:i/>
        <w:iCs/>
        <w:sz w:val="24"/>
        <w:szCs w:val="24"/>
      </w:rPr>
      <w:t>“2023, Centenario de la muerte del General Francisco Villa”</w:t>
    </w:r>
  </w:p>
  <w:p w14:paraId="4804E4E1" w14:textId="77777777" w:rsidR="007C6A72" w:rsidRDefault="00BE592A">
    <w:pPr>
      <w:pStyle w:val="Encabezado"/>
      <w:tabs>
        <w:tab w:val="clear" w:pos="8838"/>
        <w:tab w:val="right" w:pos="8818"/>
      </w:tabs>
      <w:jc w:val="right"/>
    </w:pPr>
    <w:r>
      <w:rPr>
        <w:rStyle w:val="Ninguno"/>
        <w:rFonts w:ascii="Century Gothic" w:hAnsi="Century Gothic"/>
        <w:i/>
        <w:iCs/>
        <w:sz w:val="24"/>
        <w:szCs w:val="24"/>
      </w:rPr>
      <w:t xml:space="preserve">“2023, Cien años del </w:t>
    </w:r>
    <w:proofErr w:type="spellStart"/>
    <w:r>
      <w:rPr>
        <w:rStyle w:val="Ninguno"/>
        <w:rFonts w:ascii="Century Gothic" w:hAnsi="Century Gothic"/>
        <w:i/>
        <w:iCs/>
        <w:sz w:val="24"/>
        <w:szCs w:val="24"/>
      </w:rPr>
      <w:t>Rotarismo</w:t>
    </w:r>
    <w:proofErr w:type="spellEnd"/>
    <w:r>
      <w:rPr>
        <w:rStyle w:val="Ninguno"/>
        <w:rFonts w:ascii="Century Gothic" w:hAnsi="Century Gothic"/>
        <w:i/>
        <w:iCs/>
        <w:sz w:val="24"/>
        <w:szCs w:val="24"/>
      </w:rPr>
      <w:t xml:space="preserve"> en Chihuahua”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72"/>
    <w:rsid w:val="001B4F06"/>
    <w:rsid w:val="0035655A"/>
    <w:rsid w:val="006E4A08"/>
    <w:rsid w:val="007C6A72"/>
    <w:rsid w:val="00AA6C08"/>
    <w:rsid w:val="00BE592A"/>
    <w:rsid w:val="00E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28FA"/>
  <w15:docId w15:val="{6DCB88BE-2312-440F-8961-B45E9FA0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A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AA">
    <w:name w:val="Cuerpo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Cortes Duran</dc:creator>
  <cp:lastModifiedBy>Brenda Sarahi Gonzalez Dominguez</cp:lastModifiedBy>
  <cp:revision>2</cp:revision>
  <dcterms:created xsi:type="dcterms:W3CDTF">2023-09-26T15:34:00Z</dcterms:created>
  <dcterms:modified xsi:type="dcterms:W3CDTF">2023-09-26T15:34:00Z</dcterms:modified>
</cp:coreProperties>
</file>