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03B87" w14:textId="77777777" w:rsidR="000D0348" w:rsidRDefault="000D0348" w:rsidP="000D0348">
      <w:pPr>
        <w:spacing w:line="360" w:lineRule="auto"/>
        <w:jc w:val="both"/>
        <w:rPr>
          <w:rFonts w:ascii="Century Gothic" w:eastAsia="Century Gothic" w:hAnsi="Century Gothic" w:cs="Century Gothic"/>
          <w:b/>
        </w:rPr>
      </w:pPr>
      <w:r>
        <w:rPr>
          <w:rFonts w:ascii="Century Gothic" w:eastAsia="Century Gothic" w:hAnsi="Century Gothic" w:cs="Century Gothic"/>
          <w:b/>
        </w:rPr>
        <w:t>H. CONGRESO DEL ESTADO DE CHIHUAHUA.</w:t>
      </w:r>
    </w:p>
    <w:p w14:paraId="6CF899AF" w14:textId="77777777" w:rsidR="000D0348" w:rsidRDefault="000D0348" w:rsidP="000D0348">
      <w:pPr>
        <w:spacing w:line="360" w:lineRule="auto"/>
        <w:jc w:val="both"/>
        <w:rPr>
          <w:rFonts w:ascii="Century Gothic" w:eastAsia="Century Gothic" w:hAnsi="Century Gothic" w:cs="Century Gothic"/>
          <w:b/>
        </w:rPr>
      </w:pPr>
      <w:r>
        <w:rPr>
          <w:rFonts w:ascii="Century Gothic" w:eastAsia="Century Gothic" w:hAnsi="Century Gothic" w:cs="Century Gothic"/>
          <w:b/>
        </w:rPr>
        <w:t xml:space="preserve">P R E S E N T E. </w:t>
      </w:r>
    </w:p>
    <w:p w14:paraId="182CC124" w14:textId="77777777" w:rsidR="000D0348" w:rsidRDefault="000D0348" w:rsidP="000D0348">
      <w:pPr>
        <w:spacing w:line="360" w:lineRule="auto"/>
        <w:jc w:val="both"/>
        <w:rPr>
          <w:rFonts w:ascii="Century Gothic" w:eastAsia="Century Gothic" w:hAnsi="Century Gothic" w:cs="Century Gothic"/>
          <w:b/>
        </w:rPr>
      </w:pPr>
    </w:p>
    <w:p w14:paraId="07FA5195" w14:textId="011626D1" w:rsidR="000D0348" w:rsidRPr="007930EB" w:rsidRDefault="000D0348" w:rsidP="000D0348">
      <w:pPr>
        <w:spacing w:line="360" w:lineRule="auto"/>
        <w:jc w:val="both"/>
        <w:rPr>
          <w:rFonts w:ascii="Century Gothic" w:eastAsia="Century Gothic" w:hAnsi="Century Gothic" w:cs="Century Gothic"/>
          <w:b/>
        </w:rPr>
      </w:pPr>
      <w:r>
        <w:rPr>
          <w:rFonts w:ascii="Century Gothic" w:eastAsia="Century Gothic" w:hAnsi="Century Gothic" w:cs="Century Gothic"/>
        </w:rPr>
        <w:t xml:space="preserve">Quienes suscriben, </w:t>
      </w:r>
      <w:r>
        <w:rPr>
          <w:rFonts w:ascii="Century Gothic" w:eastAsia="Century Gothic" w:hAnsi="Century Gothic" w:cs="Century Gothic"/>
          <w:b/>
        </w:rPr>
        <w:t>Benjamín Carrera Chávez, Edin Cuauhtémoc Estrada Sotelo, Leticia Ortega Máynez, Óscar Daniel Avitia Arellanes, Rosana Díaz Reyes, Gustavo de la Rosa Hickerson, Magdalena Rentería Pérez, María Antonieta Pérez Reyes, David Óscar Castrejón Rivas, Ilse América García Soto y Jael Argüelles Díaz</w:t>
      </w:r>
      <w:r>
        <w:rPr>
          <w:rFonts w:ascii="Century Gothic" w:eastAsia="Century Gothic" w:hAnsi="Century Gothic" w:cs="Century Gothic"/>
        </w:rPr>
        <w:t xml:space="preserve">, en nuestro carácter de Diputados de la Sexagésima Séptima Legislatura del Honorable Congreso del Estado de Chihuahua e integrantes del Grupo Parlamentario de Morena, 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acudimos ante esta Honorable Asamblea Legislativa, a fin de someter a consideración del Pleno el siguiente proyecto con carácter de </w:t>
      </w:r>
      <w:r>
        <w:rPr>
          <w:rFonts w:ascii="Century Gothic" w:eastAsia="Century Gothic" w:hAnsi="Century Gothic" w:cs="Century Gothic"/>
          <w:b/>
        </w:rPr>
        <w:t xml:space="preserve">DECRETO, a fin de </w:t>
      </w:r>
      <w:r w:rsidR="00DC65E3">
        <w:rPr>
          <w:rFonts w:ascii="Century Gothic" w:eastAsia="Century Gothic" w:hAnsi="Century Gothic" w:cs="Century Gothic"/>
          <w:b/>
        </w:rPr>
        <w:t xml:space="preserve">ADICIONAR un segundo párrafo al artículo 40 de la </w:t>
      </w:r>
      <w:r w:rsidR="008F6662" w:rsidRPr="008F6662">
        <w:rPr>
          <w:rFonts w:ascii="Century Gothic" w:hAnsi="Century Gothic"/>
          <w:b/>
          <w:bCs/>
        </w:rPr>
        <w:t>Ley de Participación Ciudadana del Estado de Chihuahua</w:t>
      </w:r>
      <w:r>
        <w:rPr>
          <w:rFonts w:ascii="Century Gothic" w:eastAsia="Century Gothic" w:hAnsi="Century Gothic" w:cs="Century Gothic"/>
          <w:b/>
        </w:rPr>
        <w:t xml:space="preserve">, </w:t>
      </w:r>
      <w:r>
        <w:rPr>
          <w:rFonts w:ascii="Century Gothic" w:eastAsia="Century Gothic" w:hAnsi="Century Gothic" w:cs="Century Gothic"/>
        </w:rPr>
        <w:t>con sustento en la siguiente:</w:t>
      </w:r>
    </w:p>
    <w:p w14:paraId="291869E4" w14:textId="77777777" w:rsidR="000D0348" w:rsidRDefault="000D0348" w:rsidP="000D0348">
      <w:pPr>
        <w:spacing w:line="360" w:lineRule="auto"/>
        <w:jc w:val="center"/>
        <w:rPr>
          <w:rFonts w:ascii="Century Gothic" w:eastAsia="Century Gothic" w:hAnsi="Century Gothic" w:cs="Century Gothic"/>
          <w:b/>
        </w:rPr>
      </w:pPr>
      <w:r>
        <w:rPr>
          <w:rFonts w:ascii="Century Gothic" w:eastAsia="Century Gothic" w:hAnsi="Century Gothic" w:cs="Century Gothic"/>
          <w:b/>
        </w:rPr>
        <w:t>EXPOSICIÓN DE MOTIVOS:</w:t>
      </w:r>
    </w:p>
    <w:p w14:paraId="2D66BAEF" w14:textId="77777777" w:rsidR="00AC0469" w:rsidRDefault="00AC0469" w:rsidP="00933AEA">
      <w:pPr>
        <w:spacing w:line="360" w:lineRule="auto"/>
        <w:jc w:val="both"/>
        <w:rPr>
          <w:rFonts w:ascii="Century Gothic" w:eastAsia="Century Gothic" w:hAnsi="Century Gothic" w:cs="Century Gothic"/>
          <w:bCs/>
        </w:rPr>
      </w:pPr>
    </w:p>
    <w:p w14:paraId="1DE775FA" w14:textId="160989B9" w:rsidR="00933AEA" w:rsidRPr="00AC0469" w:rsidRDefault="00AC0469" w:rsidP="00933AEA">
      <w:pPr>
        <w:spacing w:line="360" w:lineRule="auto"/>
        <w:jc w:val="both"/>
        <w:rPr>
          <w:rFonts w:ascii="Century Gothic" w:hAnsi="Century Gothic" w:cs="Arial"/>
          <w:color w:val="212121"/>
        </w:rPr>
      </w:pPr>
      <w:r w:rsidRPr="00AC0469">
        <w:rPr>
          <w:rStyle w:val="Textoennegrita"/>
          <w:rFonts w:ascii="Century Gothic" w:hAnsi="Century Gothic" w:cs="Arial"/>
          <w:b w:val="0"/>
          <w:bCs w:val="0"/>
          <w:color w:val="212121"/>
        </w:rPr>
        <w:t>La garantía del derecho humano a la educación es fundamental toda vez que es una poderosa herramienta que permita a las personas superar desigualdades abonando al desarrollo sostenible de las comunidades, por lo que la participación</w:t>
      </w:r>
      <w:r>
        <w:rPr>
          <w:rStyle w:val="Textoennegrita"/>
          <w:rFonts w:ascii="Century Gothic" w:hAnsi="Century Gothic" w:cs="Arial"/>
          <w:b w:val="0"/>
          <w:bCs w:val="0"/>
          <w:color w:val="212121"/>
        </w:rPr>
        <w:t xml:space="preserve"> </w:t>
      </w:r>
      <w:r w:rsidR="00933AEA">
        <w:rPr>
          <w:rFonts w:ascii="Century Gothic" w:eastAsia="Century Gothic" w:hAnsi="Century Gothic" w:cs="Century Gothic"/>
          <w:bCs/>
        </w:rPr>
        <w:t xml:space="preserve">de la sociedad civil en materia educativa ha sido un tema recurrente que quizá en los últimas días </w:t>
      </w:r>
      <w:r w:rsidR="00991F0A">
        <w:rPr>
          <w:rFonts w:ascii="Century Gothic" w:eastAsia="Century Gothic" w:hAnsi="Century Gothic" w:cs="Century Gothic"/>
          <w:bCs/>
        </w:rPr>
        <w:t xml:space="preserve">ha cobrado mayor relevancia </w:t>
      </w:r>
      <w:r w:rsidR="00991F0A">
        <w:rPr>
          <w:rFonts w:ascii="Century Gothic" w:eastAsia="Century Gothic" w:hAnsi="Century Gothic" w:cs="Century Gothic"/>
          <w:bCs/>
        </w:rPr>
        <w:lastRenderedPageBreak/>
        <w:t>ante la situación que se vive en Chihuahua y que sin duda sentará un precedente</w:t>
      </w:r>
      <w:r w:rsidR="00143BD3">
        <w:rPr>
          <w:rFonts w:ascii="Century Gothic" w:eastAsia="Century Gothic" w:hAnsi="Century Gothic" w:cs="Century Gothic"/>
          <w:bCs/>
        </w:rPr>
        <w:t xml:space="preserve"> para todo el país en materia </w:t>
      </w:r>
      <w:r>
        <w:rPr>
          <w:rFonts w:ascii="Century Gothic" w:eastAsia="Century Gothic" w:hAnsi="Century Gothic" w:cs="Century Gothic"/>
          <w:bCs/>
        </w:rPr>
        <w:t xml:space="preserve">no solo </w:t>
      </w:r>
      <w:r w:rsidR="005A6A24">
        <w:rPr>
          <w:rFonts w:ascii="Century Gothic" w:eastAsia="Century Gothic" w:hAnsi="Century Gothic" w:cs="Century Gothic"/>
          <w:bCs/>
        </w:rPr>
        <w:t xml:space="preserve">en materia </w:t>
      </w:r>
      <w:r>
        <w:rPr>
          <w:rFonts w:ascii="Century Gothic" w:eastAsia="Century Gothic" w:hAnsi="Century Gothic" w:cs="Century Gothic"/>
          <w:bCs/>
        </w:rPr>
        <w:t>de</w:t>
      </w:r>
      <w:r w:rsidR="00143BD3">
        <w:rPr>
          <w:rFonts w:ascii="Century Gothic" w:eastAsia="Century Gothic" w:hAnsi="Century Gothic" w:cs="Century Gothic"/>
          <w:bCs/>
        </w:rPr>
        <w:t xml:space="preserve"> educación </w:t>
      </w:r>
      <w:r>
        <w:rPr>
          <w:rFonts w:ascii="Century Gothic" w:eastAsia="Century Gothic" w:hAnsi="Century Gothic" w:cs="Century Gothic"/>
          <w:bCs/>
        </w:rPr>
        <w:t>sino de</w:t>
      </w:r>
      <w:r w:rsidR="00143BD3">
        <w:rPr>
          <w:rFonts w:ascii="Century Gothic" w:eastAsia="Century Gothic" w:hAnsi="Century Gothic" w:cs="Century Gothic"/>
          <w:bCs/>
        </w:rPr>
        <w:t xml:space="preserve"> defensa de los derechos de niñas, niños y adolescentes.</w:t>
      </w:r>
    </w:p>
    <w:p w14:paraId="38D95DA5" w14:textId="77777777" w:rsidR="00143BD3" w:rsidRDefault="00143BD3" w:rsidP="00933AEA">
      <w:pPr>
        <w:spacing w:line="360" w:lineRule="auto"/>
        <w:jc w:val="both"/>
        <w:rPr>
          <w:rFonts w:ascii="Century Gothic" w:eastAsia="Century Gothic" w:hAnsi="Century Gothic" w:cs="Century Gothic"/>
          <w:bCs/>
        </w:rPr>
      </w:pPr>
    </w:p>
    <w:p w14:paraId="6FF0D9CF" w14:textId="5D8D7F36" w:rsidR="00991F0A" w:rsidRDefault="00991F0A" w:rsidP="00933AEA">
      <w:pPr>
        <w:spacing w:line="360" w:lineRule="auto"/>
        <w:jc w:val="both"/>
        <w:rPr>
          <w:rFonts w:ascii="Century Gothic" w:eastAsia="Century Gothic" w:hAnsi="Century Gothic" w:cs="Century Gothic"/>
          <w:bCs/>
        </w:rPr>
      </w:pPr>
      <w:r>
        <w:rPr>
          <w:rFonts w:ascii="Century Gothic" w:eastAsia="Century Gothic" w:hAnsi="Century Gothic" w:cs="Century Gothic"/>
          <w:bCs/>
        </w:rPr>
        <w:t>Es entonces que la participación ciudadana ha ido revalorizandose tomando como trasfondo la relación entre las instancias públicas y la sociedad que apuestan incluso de acuerdo con el Banco Interamericano de Desarrollo, por la eficiencia económica y social.</w:t>
      </w:r>
    </w:p>
    <w:p w14:paraId="685AFD8D" w14:textId="77777777" w:rsidR="00143BD3" w:rsidRDefault="00143BD3" w:rsidP="00933AEA">
      <w:pPr>
        <w:spacing w:line="360" w:lineRule="auto"/>
        <w:jc w:val="both"/>
        <w:rPr>
          <w:rFonts w:ascii="Century Gothic" w:eastAsia="Century Gothic" w:hAnsi="Century Gothic" w:cs="Century Gothic"/>
          <w:bCs/>
        </w:rPr>
      </w:pPr>
    </w:p>
    <w:p w14:paraId="3D273277" w14:textId="7CC43DC1" w:rsidR="00991F0A" w:rsidRDefault="005A6A24" w:rsidP="00933AEA">
      <w:pPr>
        <w:spacing w:line="360" w:lineRule="auto"/>
        <w:jc w:val="both"/>
        <w:rPr>
          <w:rFonts w:ascii="Century Gothic" w:eastAsia="Century Gothic" w:hAnsi="Century Gothic" w:cs="Century Gothic"/>
          <w:bCs/>
        </w:rPr>
      </w:pPr>
      <w:r>
        <w:rPr>
          <w:rFonts w:ascii="Century Gothic" w:eastAsia="Century Gothic" w:hAnsi="Century Gothic" w:cs="Century Gothic"/>
          <w:bCs/>
        </w:rPr>
        <w:t>Es entonces que, las</w:t>
      </w:r>
      <w:r w:rsidR="00991F0A">
        <w:rPr>
          <w:rFonts w:ascii="Century Gothic" w:eastAsia="Century Gothic" w:hAnsi="Century Gothic" w:cs="Century Gothic"/>
          <w:bCs/>
        </w:rPr>
        <w:t xml:space="preserve"> afirmaciones del interés y bien común, tradicionamiente reservadas como parte de un discurso utilizado en la esfera política, han tomado un mayor sentido  ante la creciente visibilidad social y el fortalecimiento de los procesos de democratización, modernización y gobernabilidad que van de la mano de la cooperación de la sociedad civil.</w:t>
      </w:r>
    </w:p>
    <w:p w14:paraId="259B78F3" w14:textId="77777777" w:rsidR="00991F0A" w:rsidRDefault="00991F0A" w:rsidP="00933AEA">
      <w:pPr>
        <w:spacing w:line="360" w:lineRule="auto"/>
        <w:jc w:val="both"/>
        <w:rPr>
          <w:rFonts w:ascii="Century Gothic" w:eastAsia="Century Gothic" w:hAnsi="Century Gothic" w:cs="Century Gothic"/>
          <w:bCs/>
        </w:rPr>
      </w:pPr>
    </w:p>
    <w:p w14:paraId="21148F74" w14:textId="41A9FB57" w:rsidR="00991F0A" w:rsidRDefault="00991F0A" w:rsidP="00933AEA">
      <w:pPr>
        <w:spacing w:line="360" w:lineRule="auto"/>
        <w:jc w:val="both"/>
        <w:rPr>
          <w:rFonts w:ascii="Century Gothic" w:eastAsia="Century Gothic" w:hAnsi="Century Gothic" w:cs="Century Gothic"/>
          <w:bCs/>
        </w:rPr>
      </w:pPr>
      <w:r>
        <w:rPr>
          <w:rFonts w:ascii="Century Gothic" w:eastAsia="Century Gothic" w:hAnsi="Century Gothic" w:cs="Century Gothic"/>
          <w:bCs/>
        </w:rPr>
        <w:t>Ahora bien, la necesidad de dirigir estos ejercicios de participación hacia el ámbito de la educación, se vuelven fundamentales toda vez que la educación no se limita a un periodo de vida de las personas, sino que se extienden como aprendizajes que, a través de diversos aspectos, influyen en el desarrollo social.</w:t>
      </w:r>
    </w:p>
    <w:p w14:paraId="1F1E9884" w14:textId="77777777" w:rsidR="00991F0A" w:rsidRDefault="00991F0A" w:rsidP="00933AEA">
      <w:pPr>
        <w:spacing w:line="360" w:lineRule="auto"/>
        <w:jc w:val="both"/>
        <w:rPr>
          <w:rFonts w:ascii="Century Gothic" w:eastAsia="Century Gothic" w:hAnsi="Century Gothic" w:cs="Century Gothic"/>
          <w:bCs/>
        </w:rPr>
      </w:pPr>
    </w:p>
    <w:p w14:paraId="38BC2E5A" w14:textId="67601755" w:rsidR="00991F0A" w:rsidRDefault="00991F0A" w:rsidP="00933AEA">
      <w:pPr>
        <w:spacing w:line="360" w:lineRule="auto"/>
        <w:jc w:val="both"/>
        <w:rPr>
          <w:rFonts w:ascii="Century Gothic" w:eastAsia="Century Gothic" w:hAnsi="Century Gothic" w:cs="Century Gothic"/>
          <w:bCs/>
        </w:rPr>
      </w:pPr>
      <w:r>
        <w:rPr>
          <w:rFonts w:ascii="Century Gothic" w:eastAsia="Century Gothic" w:hAnsi="Century Gothic" w:cs="Century Gothic"/>
          <w:bCs/>
        </w:rPr>
        <w:t>Es por ende que, la participación ciudadana en las decisiones y acciones de la educación deben ser condiciones indispensables para lograr la transformación de los procesos educativos en una dirección deseada y de beneficio para toda la sociedad.</w:t>
      </w:r>
    </w:p>
    <w:p w14:paraId="6643ED89" w14:textId="77777777" w:rsidR="00143BD3" w:rsidRDefault="00143BD3" w:rsidP="00933AEA">
      <w:pPr>
        <w:spacing w:line="360" w:lineRule="auto"/>
        <w:jc w:val="both"/>
        <w:rPr>
          <w:rFonts w:ascii="Century Gothic" w:eastAsia="Century Gothic" w:hAnsi="Century Gothic" w:cs="Century Gothic"/>
          <w:bCs/>
        </w:rPr>
      </w:pPr>
    </w:p>
    <w:p w14:paraId="04BD4AAA" w14:textId="021229E6" w:rsidR="00991F0A" w:rsidRDefault="00991F0A" w:rsidP="00933AEA">
      <w:pPr>
        <w:spacing w:line="360" w:lineRule="auto"/>
        <w:jc w:val="both"/>
        <w:rPr>
          <w:rFonts w:ascii="Century Gothic" w:eastAsia="Century Gothic" w:hAnsi="Century Gothic" w:cs="Century Gothic"/>
          <w:bCs/>
        </w:rPr>
      </w:pPr>
      <w:r>
        <w:rPr>
          <w:rFonts w:ascii="Century Gothic" w:eastAsia="Century Gothic" w:hAnsi="Century Gothic" w:cs="Century Gothic"/>
          <w:bCs/>
        </w:rPr>
        <w:lastRenderedPageBreak/>
        <w:t xml:space="preserve">Estos ejercicios deben ser imperativos dado que la educación y el cambio educativo </w:t>
      </w:r>
      <w:r w:rsidR="00143BD3">
        <w:rPr>
          <w:rFonts w:ascii="Century Gothic" w:eastAsia="Century Gothic" w:hAnsi="Century Gothic" w:cs="Century Gothic"/>
          <w:bCs/>
        </w:rPr>
        <w:t>afecta e involucra a todas las personas, desde educandos hasta educadores y familias, por lo que pasar por alto sus necesidades, propuestas y la propia realidad y posibilidades conduce a una indebida apropiación de unos cuantos de lo que en realidad es un derecho humano de la colectividad.</w:t>
      </w:r>
    </w:p>
    <w:p w14:paraId="16557FD8" w14:textId="16194125" w:rsidR="00143BD3" w:rsidRDefault="00143BD3" w:rsidP="00933AEA">
      <w:pPr>
        <w:spacing w:line="360" w:lineRule="auto"/>
        <w:jc w:val="both"/>
        <w:rPr>
          <w:rFonts w:ascii="Century Gothic" w:eastAsia="Century Gothic" w:hAnsi="Century Gothic" w:cs="Century Gothic"/>
          <w:bCs/>
        </w:rPr>
      </w:pPr>
    </w:p>
    <w:p w14:paraId="27C68AA7" w14:textId="1210447A" w:rsidR="00143BD3" w:rsidRDefault="00143BD3" w:rsidP="00933AEA">
      <w:pPr>
        <w:spacing w:line="360" w:lineRule="auto"/>
        <w:jc w:val="both"/>
        <w:rPr>
          <w:rFonts w:ascii="Century Gothic" w:eastAsia="Century Gothic" w:hAnsi="Century Gothic" w:cs="Century Gothic"/>
          <w:bCs/>
        </w:rPr>
      </w:pPr>
      <w:r>
        <w:rPr>
          <w:rFonts w:ascii="Century Gothic" w:eastAsia="Century Gothic" w:hAnsi="Century Gothic" w:cs="Century Gothic"/>
          <w:bCs/>
        </w:rPr>
        <w:t xml:space="preserve">En ese orden de ideas, hemos de decir que, en la década de los años 90, trajo consigo transformaciones a nivel mundial en la eduación, desde propuestas tibias hasta la incorporación de las tecnologías de la información que en su momento se vieron como amenazas al sistema educativo tradicional y fueron dirigidas por las autoridades hacia la población como medidas apresuradas, de desajuste que requrían la resistencia de la comunidad. </w:t>
      </w:r>
    </w:p>
    <w:p w14:paraId="5B3335AA" w14:textId="5899806F" w:rsidR="00143BD3" w:rsidRDefault="00143BD3" w:rsidP="008F6662">
      <w:pPr>
        <w:pStyle w:val="NormalWeb"/>
        <w:spacing w:line="360" w:lineRule="auto"/>
        <w:jc w:val="both"/>
        <w:rPr>
          <w:rFonts w:ascii="Century Gothic" w:hAnsi="Century Gothic"/>
        </w:rPr>
      </w:pPr>
      <w:r>
        <w:rPr>
          <w:rFonts w:ascii="Century Gothic" w:hAnsi="Century Gothic"/>
        </w:rPr>
        <w:t>Podríamos decir que ahora, en Chihuahua tal como en la década de los 90, la transición que se busca con la Nueva Escuela Mexicana ha generado un</w:t>
      </w:r>
      <w:r w:rsidR="008F6662">
        <w:rPr>
          <w:rFonts w:ascii="Century Gothic" w:hAnsi="Century Gothic"/>
        </w:rPr>
        <w:t xml:space="preserve"> discurso </w:t>
      </w:r>
      <w:r>
        <w:rPr>
          <w:rFonts w:ascii="Century Gothic" w:hAnsi="Century Gothic"/>
        </w:rPr>
        <w:t xml:space="preserve">alarmista por parte de las autoridades </w:t>
      </w:r>
      <w:r w:rsidR="00AF13D0">
        <w:rPr>
          <w:rFonts w:ascii="Century Gothic" w:hAnsi="Century Gothic"/>
        </w:rPr>
        <w:t>estatales, que han llevado incluso a privar a las y los niños del material educativo que por derecho les pertenece.</w:t>
      </w:r>
    </w:p>
    <w:p w14:paraId="76E4546D" w14:textId="656751A6" w:rsidR="00AF13D0" w:rsidRDefault="00AF13D0" w:rsidP="008F6662">
      <w:pPr>
        <w:pStyle w:val="NormalWeb"/>
        <w:spacing w:line="360" w:lineRule="auto"/>
        <w:jc w:val="both"/>
        <w:rPr>
          <w:rFonts w:ascii="Century Gothic" w:hAnsi="Century Gothic"/>
        </w:rPr>
      </w:pPr>
      <w:r>
        <w:rPr>
          <w:rFonts w:ascii="Century Gothic" w:hAnsi="Century Gothic"/>
        </w:rPr>
        <w:t>Sin embargo, a pesar de haber iniciado con un discurso agresivo en contra de los libros de texto gratuitos,</w:t>
      </w:r>
      <w:r w:rsidR="008F6662">
        <w:rPr>
          <w:rFonts w:ascii="Century Gothic" w:hAnsi="Century Gothic"/>
        </w:rPr>
        <w:t xml:space="preserve"> la gobernadora se ha ido mesurando conforme las consecuencias de su determinación</w:t>
      </w:r>
      <w:r>
        <w:rPr>
          <w:rFonts w:ascii="Century Gothic" w:hAnsi="Century Gothic"/>
        </w:rPr>
        <w:t xml:space="preserve"> se han hecho evidentes y se ha ido trastabillando en la generación de supuestas soluciones.</w:t>
      </w:r>
    </w:p>
    <w:p w14:paraId="4EC1E65E" w14:textId="0B055EA3" w:rsidR="00AF13D0" w:rsidRDefault="00AF13D0" w:rsidP="008F6662">
      <w:pPr>
        <w:pStyle w:val="NormalWeb"/>
        <w:spacing w:line="360" w:lineRule="auto"/>
        <w:jc w:val="both"/>
        <w:rPr>
          <w:rFonts w:ascii="Century Gothic" w:hAnsi="Century Gothic"/>
        </w:rPr>
      </w:pPr>
      <w:r>
        <w:rPr>
          <w:rFonts w:ascii="Century Gothic" w:hAnsi="Century Gothic"/>
        </w:rPr>
        <w:lastRenderedPageBreak/>
        <w:t>Quizá las autoridades estatales esperaba contar con el respaldo de aquel 95% de la población chihuahuense que, según ella, estaba en desacuerdo con los contenidos de los libros “comunistas” pero en los hechos, se ha demostrado lo contrario.</w:t>
      </w:r>
    </w:p>
    <w:p w14:paraId="68BB40AB" w14:textId="325D3B8B" w:rsidR="00AF13D0" w:rsidRDefault="00AF13D0" w:rsidP="008F6662">
      <w:pPr>
        <w:pStyle w:val="NormalWeb"/>
        <w:spacing w:line="360" w:lineRule="auto"/>
        <w:jc w:val="both"/>
        <w:rPr>
          <w:rFonts w:ascii="Century Gothic" w:hAnsi="Century Gothic"/>
        </w:rPr>
      </w:pPr>
      <w:r>
        <w:rPr>
          <w:rFonts w:ascii="Century Gothic" w:hAnsi="Century Gothic"/>
        </w:rPr>
        <w:t>Al respecto, hemos de decir que alrededor de 90 investigadores y académicos de la Universidad Pedagógica Nacional, la Universidad Autónoma de Ciudad Juárez y la Escuela Normal Rural Ricardo Flores Magón, han denunciado de manera pública que la gobernadora y la Secretaría de Educación y Deporte no les han presentado de manera sustentada y convincente, argumentos que lleven al rechazo de la nueva familia de texto gratuitos, calificando además las afirmaciones de la titular del Ejecutivo como vaguedades, simplificaciones dolosas que llevan un doble sentido de rijosidad.</w:t>
      </w:r>
    </w:p>
    <w:p w14:paraId="38125645" w14:textId="4760D5F5" w:rsidR="00933AEA" w:rsidRDefault="00AF13D0" w:rsidP="008F6662">
      <w:pPr>
        <w:pStyle w:val="NormalWeb"/>
        <w:spacing w:line="360" w:lineRule="auto"/>
        <w:jc w:val="both"/>
        <w:rPr>
          <w:rFonts w:ascii="Century Gothic" w:hAnsi="Century Gothic"/>
        </w:rPr>
      </w:pPr>
      <w:r>
        <w:rPr>
          <w:rFonts w:ascii="Century Gothic" w:hAnsi="Century Gothic"/>
        </w:rPr>
        <w:t>Quizá por ello, q</w:t>
      </w:r>
      <w:r w:rsidR="00933AEA">
        <w:rPr>
          <w:rFonts w:ascii="Century Gothic" w:hAnsi="Century Gothic"/>
        </w:rPr>
        <w:t xml:space="preserve">uien otrora </w:t>
      </w:r>
      <w:r>
        <w:rPr>
          <w:rFonts w:ascii="Century Gothic" w:hAnsi="Century Gothic"/>
        </w:rPr>
        <w:t xml:space="preserve">se pronunciaba por la férrea </w:t>
      </w:r>
      <w:r w:rsidR="00933AEA">
        <w:rPr>
          <w:rFonts w:ascii="Century Gothic" w:hAnsi="Century Gothic"/>
        </w:rPr>
        <w:t>defen</w:t>
      </w:r>
      <w:r>
        <w:rPr>
          <w:rFonts w:ascii="Century Gothic" w:hAnsi="Century Gothic"/>
        </w:rPr>
        <w:t>sa de</w:t>
      </w:r>
      <w:r w:rsidR="00933AEA">
        <w:rPr>
          <w:rFonts w:ascii="Century Gothic" w:hAnsi="Century Gothic"/>
        </w:rPr>
        <w:t xml:space="preserve">  las y los niños de Chihuahua, hoy</w:t>
      </w:r>
      <w:r w:rsidR="00AC0469">
        <w:rPr>
          <w:rFonts w:ascii="Century Gothic" w:hAnsi="Century Gothic"/>
        </w:rPr>
        <w:t xml:space="preserve"> pareciera que se retracta y</w:t>
      </w:r>
      <w:r w:rsidR="00933AEA">
        <w:rPr>
          <w:rFonts w:ascii="Century Gothic" w:hAnsi="Century Gothic"/>
        </w:rPr>
        <w:t xml:space="preserve"> señala a las autoridades judiciales de la autoría de lo que en realidad atiende a su propia solicitud de una medida precautoria para suspender la entrega de los libros de texto gratuitos.</w:t>
      </w:r>
    </w:p>
    <w:p w14:paraId="45AC3705" w14:textId="45E3C2A3" w:rsidR="008F6662" w:rsidRDefault="00AC0469" w:rsidP="008F6662">
      <w:pPr>
        <w:pStyle w:val="NormalWeb"/>
        <w:spacing w:line="360" w:lineRule="auto"/>
        <w:jc w:val="both"/>
        <w:rPr>
          <w:rFonts w:ascii="Century Gothic" w:hAnsi="Century Gothic"/>
        </w:rPr>
      </w:pPr>
      <w:r>
        <w:rPr>
          <w:rFonts w:ascii="Century Gothic" w:hAnsi="Century Gothic"/>
        </w:rPr>
        <w:t>Peor aún</w:t>
      </w:r>
      <w:r w:rsidR="00933AEA">
        <w:rPr>
          <w:rFonts w:ascii="Century Gothic" w:hAnsi="Century Gothic"/>
        </w:rPr>
        <w:t xml:space="preserve"> es que l</w:t>
      </w:r>
      <w:r w:rsidR="008F6662">
        <w:rPr>
          <w:rFonts w:ascii="Century Gothic" w:hAnsi="Century Gothic"/>
        </w:rPr>
        <w:t xml:space="preserve">a propia Secretaría de Educación y Deporte del Estado ha dejado en evidencia por escrito ante el cuestionamiento del mecanismo de consulta que se empleó para conocer la opinión de la ciudadanía y por ende, sustentar su actuar, que tan solo han sido “receptivos” de los señalamientos, manteniendo el respeto a las diversas opiniones. Así de </w:t>
      </w:r>
      <w:r w:rsidR="008F6662">
        <w:rPr>
          <w:rFonts w:ascii="Century Gothic" w:hAnsi="Century Gothic"/>
        </w:rPr>
        <w:lastRenderedPageBreak/>
        <w:t>escueta la respuesta de las autoridades quienes en su momento afirmaban contar con el respaldo de casi la totalidad de la ciudadanía.</w:t>
      </w:r>
    </w:p>
    <w:p w14:paraId="6B9DA59E" w14:textId="14A3D1B2" w:rsidR="008F6662" w:rsidRDefault="008F6662" w:rsidP="008F6662">
      <w:pPr>
        <w:pStyle w:val="NormalWeb"/>
        <w:spacing w:line="360" w:lineRule="auto"/>
        <w:jc w:val="both"/>
        <w:rPr>
          <w:rFonts w:ascii="Century Gothic" w:hAnsi="Century Gothic"/>
        </w:rPr>
      </w:pPr>
      <w:r>
        <w:rPr>
          <w:rFonts w:ascii="Century Gothic" w:hAnsi="Century Gothic"/>
        </w:rPr>
        <w:t xml:space="preserve">Sin embargo, las familias chihuahuenses no se prestan a ser parte de la narrativa que el Ejecutivo Estatal pretende utilizar como estrategia mediática, y tan es así, que </w:t>
      </w:r>
      <w:r w:rsidR="00010263">
        <w:rPr>
          <w:rFonts w:ascii="Century Gothic" w:hAnsi="Century Gothic"/>
        </w:rPr>
        <w:t>las autoridades prefirieron de manera caprichosa retener el material educativo que se trabajó desde hace más de un año a través de diversas mesas y asambleas, en vez de, con la anticipación debida, informar y consultar a la población.</w:t>
      </w:r>
    </w:p>
    <w:p w14:paraId="25B68883" w14:textId="2D8B03F6" w:rsidR="00010263" w:rsidRDefault="00010263" w:rsidP="008F6662">
      <w:pPr>
        <w:pStyle w:val="NormalWeb"/>
        <w:spacing w:line="360" w:lineRule="auto"/>
        <w:jc w:val="both"/>
        <w:rPr>
          <w:rFonts w:ascii="Century Gothic" w:hAnsi="Century Gothic"/>
        </w:rPr>
      </w:pPr>
      <w:r>
        <w:rPr>
          <w:rFonts w:ascii="Century Gothic" w:hAnsi="Century Gothic"/>
        </w:rPr>
        <w:t xml:space="preserve">Lamentamos que las autoridades hayan optado por el alarmismo, por difundir falsos mensajes que son mayormente por desconocimiento, replicados; lamentamos que hoy se señale una supuesta opacidad, cuando en la propia página de gobierno del estado se llegó a publicar la participación de las autoridades estatales en las asambleas públicas. </w:t>
      </w:r>
    </w:p>
    <w:p w14:paraId="7C5E97DC" w14:textId="7EAE8BEB" w:rsidR="00010263" w:rsidRDefault="00010263" w:rsidP="008F6662">
      <w:pPr>
        <w:pStyle w:val="NormalWeb"/>
        <w:spacing w:line="360" w:lineRule="auto"/>
        <w:jc w:val="both"/>
        <w:rPr>
          <w:rFonts w:ascii="Century Gothic" w:hAnsi="Century Gothic"/>
        </w:rPr>
      </w:pPr>
      <w:r>
        <w:rPr>
          <w:rFonts w:ascii="Century Gothic" w:hAnsi="Century Gothic"/>
        </w:rPr>
        <w:t>Sin embargo, a pesar del desacuerdo con las determinaciones del Ejecutivo, desde el grupo parlamentario de morena apostamos por ir más allá de los señalamientos y optamos por recurrir a aquellos mecanismos que promuevan la democracia a través de la participación ciudadana</w:t>
      </w:r>
      <w:r w:rsidR="00AC0469">
        <w:rPr>
          <w:rFonts w:ascii="Century Gothic" w:hAnsi="Century Gothic"/>
        </w:rPr>
        <w:t xml:space="preserve"> sobre todo tratándose de determinaciones de las autoridades que afecten e impacten en derechos humanos básicos como la educación.</w:t>
      </w:r>
    </w:p>
    <w:p w14:paraId="05D5486D" w14:textId="3F9E361F" w:rsidR="008F6662" w:rsidRDefault="00010263" w:rsidP="008F6662">
      <w:pPr>
        <w:pStyle w:val="NormalWeb"/>
        <w:spacing w:line="360" w:lineRule="auto"/>
        <w:jc w:val="both"/>
        <w:rPr>
          <w:rFonts w:ascii="Century Gothic" w:hAnsi="Century Gothic"/>
        </w:rPr>
      </w:pPr>
      <w:r>
        <w:rPr>
          <w:rFonts w:ascii="Century Gothic" w:hAnsi="Century Gothic"/>
        </w:rPr>
        <w:t xml:space="preserve">Por lo anteriormente expuesto, </w:t>
      </w:r>
      <w:r w:rsidR="00AC0469">
        <w:rPr>
          <w:rFonts w:ascii="Century Gothic" w:hAnsi="Century Gothic"/>
        </w:rPr>
        <w:t>nos permitimos someter a consideración del Pleno, el siguiente proyecto con carácter de:</w:t>
      </w:r>
    </w:p>
    <w:p w14:paraId="13F4C4C7" w14:textId="77D3605A" w:rsidR="00AC0469" w:rsidRPr="00AC0469" w:rsidRDefault="00AC0469" w:rsidP="00AC0469">
      <w:pPr>
        <w:pStyle w:val="NormalWeb"/>
        <w:spacing w:line="360" w:lineRule="auto"/>
        <w:jc w:val="center"/>
        <w:rPr>
          <w:rFonts w:ascii="Century Gothic" w:hAnsi="Century Gothic"/>
          <w:b/>
          <w:bCs/>
        </w:rPr>
      </w:pPr>
      <w:r w:rsidRPr="00AC0469">
        <w:rPr>
          <w:rFonts w:ascii="Century Gothic" w:hAnsi="Century Gothic"/>
          <w:b/>
          <w:bCs/>
        </w:rPr>
        <w:t>D E C R E T O.</w:t>
      </w:r>
    </w:p>
    <w:p w14:paraId="19DDD17B" w14:textId="0F0B4F63" w:rsidR="000D0348" w:rsidRPr="008F6662" w:rsidRDefault="00DC65E3" w:rsidP="008F6662">
      <w:pPr>
        <w:pStyle w:val="NormalWeb"/>
        <w:spacing w:line="360" w:lineRule="auto"/>
        <w:jc w:val="both"/>
        <w:rPr>
          <w:rFonts w:ascii="Century Gothic" w:hAnsi="Century Gothic"/>
        </w:rPr>
      </w:pPr>
      <w:r w:rsidRPr="008F6662">
        <w:rPr>
          <w:rFonts w:ascii="Century Gothic" w:hAnsi="Century Gothic"/>
          <w:b/>
          <w:bCs/>
        </w:rPr>
        <w:lastRenderedPageBreak/>
        <w:t>ARTÍCULO ÚNICO.</w:t>
      </w:r>
      <w:r w:rsidRPr="008F6662">
        <w:rPr>
          <w:rFonts w:ascii="Century Gothic" w:hAnsi="Century Gothic"/>
        </w:rPr>
        <w:t xml:space="preserve"> Se reforma el artículo 40 de la Ley de Participación Ciudadana del Estado de Chihuahua, adicionando un segúndo párrafo a su artículo 40, para quedar redactado de la sigiuente manera</w:t>
      </w:r>
      <w:r w:rsidR="008F6662" w:rsidRPr="008F6662">
        <w:rPr>
          <w:rFonts w:ascii="Century Gothic" w:hAnsi="Century Gothic"/>
        </w:rPr>
        <w:t>:</w:t>
      </w:r>
    </w:p>
    <w:p w14:paraId="244A1B66" w14:textId="4AF03D8D" w:rsidR="000D0348" w:rsidRPr="00DC65E3" w:rsidRDefault="000D0348" w:rsidP="00DC65E3">
      <w:pPr>
        <w:pStyle w:val="NormalWeb"/>
        <w:spacing w:line="360" w:lineRule="auto"/>
        <w:ind w:left="708"/>
        <w:jc w:val="both"/>
        <w:rPr>
          <w:rFonts w:ascii="Century Gothic" w:hAnsi="Century Gothic"/>
          <w:sz w:val="22"/>
          <w:szCs w:val="22"/>
        </w:rPr>
      </w:pPr>
      <w:r w:rsidRPr="00DC65E3">
        <w:rPr>
          <w:rFonts w:ascii="Century Gothic" w:hAnsi="Century Gothic"/>
          <w:b/>
          <w:bCs/>
          <w:sz w:val="22"/>
          <w:szCs w:val="22"/>
        </w:rPr>
        <w:t>Artículo 40.</w:t>
      </w:r>
      <w:r w:rsidRPr="00DC65E3">
        <w:rPr>
          <w:rFonts w:ascii="Century Gothic" w:hAnsi="Century Gothic"/>
          <w:sz w:val="22"/>
          <w:szCs w:val="22"/>
        </w:rPr>
        <w:t xml:space="preserve"> </w:t>
      </w:r>
      <w:r w:rsidRPr="00DC65E3">
        <w:rPr>
          <w:rFonts w:ascii="Century Gothic" w:hAnsi="Century Gothic" w:cs="Arial"/>
          <w:sz w:val="22"/>
          <w:szCs w:val="22"/>
        </w:rPr>
        <w:t xml:space="preserve">El plebiscito es un instrumento de participación política, mediante el cual se someten a consideración de la ciudadanía los actos o decisiones materialmente administrativas del Poder Ejecutivo del Estado y de los Ayuntamientos. </w:t>
      </w:r>
    </w:p>
    <w:p w14:paraId="1C02CEC7" w14:textId="3B1AD046" w:rsidR="00AC0469" w:rsidRDefault="000D0348" w:rsidP="00AC0469">
      <w:pPr>
        <w:pStyle w:val="NormalWeb"/>
        <w:spacing w:line="360" w:lineRule="auto"/>
        <w:ind w:left="708"/>
        <w:jc w:val="both"/>
        <w:rPr>
          <w:rFonts w:ascii="Century Gothic" w:hAnsi="Century Gothic" w:cs="Arial"/>
          <w:b/>
          <w:bCs/>
          <w:sz w:val="22"/>
          <w:szCs w:val="22"/>
        </w:rPr>
      </w:pPr>
      <w:r w:rsidRPr="00DC65E3">
        <w:rPr>
          <w:rFonts w:ascii="Century Gothic" w:hAnsi="Century Gothic" w:cs="Arial"/>
          <w:b/>
          <w:bCs/>
          <w:sz w:val="22"/>
          <w:szCs w:val="22"/>
        </w:rPr>
        <w:t xml:space="preserve">El Ejecutivo y los ayuntamientos deberán instrumentar el procedimiento del plebiscito respecto de sus propios actos o decisiones cuando estas afecten derechos humanos fundamentales de la población, de manera previa a su aprobación y ejecución a efecto de obtener elementos de valoración para la autoridad convocante. </w:t>
      </w:r>
    </w:p>
    <w:p w14:paraId="1DB078A9" w14:textId="77777777" w:rsidR="00AC0469" w:rsidRPr="00AC0469" w:rsidRDefault="00AC0469" w:rsidP="00AC0469">
      <w:pPr>
        <w:spacing w:line="360" w:lineRule="auto"/>
        <w:jc w:val="center"/>
        <w:rPr>
          <w:rFonts w:ascii="Century Gothic" w:eastAsia="Century Gothic" w:hAnsi="Century Gothic" w:cs="Century Gothic"/>
          <w:b/>
          <w:highlight w:val="white"/>
          <w:lang w:val="en-US"/>
        </w:rPr>
      </w:pPr>
      <w:r w:rsidRPr="00AC0469">
        <w:rPr>
          <w:rFonts w:ascii="Century Gothic" w:eastAsia="Century Gothic" w:hAnsi="Century Gothic" w:cs="Century Gothic"/>
          <w:b/>
          <w:highlight w:val="white"/>
          <w:lang w:val="en-US"/>
        </w:rPr>
        <w:t>T R A N S I T O R I O S:</w:t>
      </w:r>
    </w:p>
    <w:p w14:paraId="1611B14E" w14:textId="77777777" w:rsidR="00AC0469" w:rsidRPr="00AC0469" w:rsidRDefault="00AC0469" w:rsidP="00AC0469">
      <w:pPr>
        <w:spacing w:line="360" w:lineRule="auto"/>
        <w:jc w:val="both"/>
        <w:rPr>
          <w:rFonts w:ascii="Century Gothic" w:eastAsia="Century Gothic" w:hAnsi="Century Gothic" w:cs="Century Gothic"/>
          <w:lang w:val="en-US"/>
        </w:rPr>
      </w:pPr>
    </w:p>
    <w:p w14:paraId="3FCBC2DF" w14:textId="77777777" w:rsidR="00AC0469" w:rsidRDefault="00AC0469" w:rsidP="00AC0469">
      <w:pPr>
        <w:spacing w:line="360" w:lineRule="auto"/>
        <w:jc w:val="both"/>
        <w:rPr>
          <w:rFonts w:ascii="Century Gothic" w:eastAsia="Century Gothic" w:hAnsi="Century Gothic" w:cs="Century Gothic"/>
        </w:rPr>
      </w:pPr>
      <w:r>
        <w:rPr>
          <w:rFonts w:ascii="Century Gothic" w:eastAsia="Century Gothic" w:hAnsi="Century Gothic" w:cs="Century Gothic"/>
          <w:b/>
        </w:rPr>
        <w:t xml:space="preserve">ÚNICO. - </w:t>
      </w:r>
      <w:r>
        <w:rPr>
          <w:rFonts w:ascii="Century Gothic" w:eastAsia="Century Gothic" w:hAnsi="Century Gothic" w:cs="Century Gothic"/>
        </w:rPr>
        <w:t>El presente Decreto entrará en vigor al día siguiente de su publicación en el Periódico Oficial del Estado.</w:t>
      </w:r>
    </w:p>
    <w:p w14:paraId="06FFAE12" w14:textId="77777777" w:rsidR="00AC0469" w:rsidRDefault="00AC0469" w:rsidP="00AC0469">
      <w:pPr>
        <w:spacing w:line="360" w:lineRule="auto"/>
        <w:jc w:val="both"/>
        <w:rPr>
          <w:rFonts w:ascii="Century Gothic" w:eastAsia="Century Gothic" w:hAnsi="Century Gothic" w:cs="Century Gothic"/>
          <w:b/>
        </w:rPr>
      </w:pPr>
    </w:p>
    <w:p w14:paraId="19C59FD7" w14:textId="77777777" w:rsidR="00AC0469" w:rsidRDefault="00AC0469" w:rsidP="00AC0469">
      <w:pPr>
        <w:spacing w:line="360" w:lineRule="auto"/>
        <w:jc w:val="both"/>
        <w:rPr>
          <w:rFonts w:ascii="Century Gothic" w:eastAsia="Century Gothic" w:hAnsi="Century Gothic" w:cs="Century Gothic"/>
          <w:b/>
        </w:rPr>
      </w:pPr>
      <w:r>
        <w:rPr>
          <w:rFonts w:ascii="Century Gothic" w:eastAsia="Century Gothic" w:hAnsi="Century Gothic" w:cs="Century Gothic"/>
          <w:b/>
        </w:rPr>
        <w:t xml:space="preserve">ECONÓMICO. - </w:t>
      </w:r>
      <w:r>
        <w:rPr>
          <w:rFonts w:ascii="Century Gothic" w:eastAsia="Century Gothic" w:hAnsi="Century Gothic" w:cs="Century Gothic"/>
        </w:rPr>
        <w:t>Aprobado que sea, túrnese a la Secretaría de Asuntos Legislativos y Jurídicos para que elabore la minuta de Decreto, en los términos en que deba publicarse.</w:t>
      </w:r>
    </w:p>
    <w:p w14:paraId="4D91B087" w14:textId="77777777" w:rsidR="00AC0469" w:rsidRDefault="00AC0469" w:rsidP="00AC0469">
      <w:pPr>
        <w:spacing w:line="360" w:lineRule="auto"/>
        <w:jc w:val="both"/>
        <w:rPr>
          <w:rFonts w:ascii="Century Gothic" w:eastAsia="Century Gothic" w:hAnsi="Century Gothic" w:cs="Century Gothic"/>
          <w:b/>
        </w:rPr>
      </w:pPr>
    </w:p>
    <w:p w14:paraId="692E1870" w14:textId="07B84805" w:rsidR="00AC0469" w:rsidRDefault="00AC0469" w:rsidP="00AC0469">
      <w:pPr>
        <w:spacing w:line="360" w:lineRule="auto"/>
        <w:jc w:val="both"/>
        <w:rPr>
          <w:rFonts w:ascii="Century Gothic" w:eastAsia="Century Gothic" w:hAnsi="Century Gothic" w:cs="Century Gothic"/>
        </w:rPr>
      </w:pPr>
      <w:r>
        <w:rPr>
          <w:rFonts w:ascii="Century Gothic" w:eastAsia="Century Gothic" w:hAnsi="Century Gothic" w:cs="Century Gothic"/>
          <w:b/>
        </w:rPr>
        <w:t>D A D O</w:t>
      </w:r>
      <w:r>
        <w:rPr>
          <w:rFonts w:ascii="Century Gothic" w:eastAsia="Century Gothic" w:hAnsi="Century Gothic" w:cs="Century Gothic"/>
        </w:rPr>
        <w:t xml:space="preserve"> en el Salón de Sesiones del Poder Legislativo, en la Ciudad de Chihuahua, Chih., a los 21 días del mes de septiembre</w:t>
      </w:r>
      <w:r>
        <w:rPr>
          <w:rFonts w:ascii="Century Gothic" w:eastAsia="Century Gothic" w:hAnsi="Century Gothic" w:cs="Century Gothic"/>
          <w:b/>
        </w:rPr>
        <w:t xml:space="preserve"> </w:t>
      </w:r>
      <w:r>
        <w:rPr>
          <w:rFonts w:ascii="Century Gothic" w:eastAsia="Century Gothic" w:hAnsi="Century Gothic" w:cs="Century Gothic"/>
        </w:rPr>
        <w:t xml:space="preserve">del año dos mil veintitrés. </w:t>
      </w:r>
    </w:p>
    <w:p w14:paraId="17568C9C" w14:textId="77777777" w:rsidR="00A9409C" w:rsidRDefault="00A9409C" w:rsidP="00AC0469">
      <w:pPr>
        <w:spacing w:line="360" w:lineRule="auto"/>
        <w:jc w:val="both"/>
        <w:rPr>
          <w:rFonts w:ascii="Century Gothic" w:eastAsia="Century Gothic" w:hAnsi="Century Gothic" w:cs="Century Gothic"/>
        </w:rPr>
      </w:pPr>
    </w:p>
    <w:p w14:paraId="0294A405" w14:textId="143937F4" w:rsidR="00A9409C" w:rsidRPr="00A9409C" w:rsidRDefault="00A9409C" w:rsidP="00A9409C">
      <w:pPr>
        <w:spacing w:line="360" w:lineRule="auto"/>
        <w:jc w:val="center"/>
        <w:rPr>
          <w:rFonts w:ascii="Century Gothic" w:eastAsia="Century Gothic" w:hAnsi="Century Gothic" w:cs="Century Gothic"/>
          <w:b/>
          <w:bCs/>
        </w:rPr>
      </w:pPr>
      <w:r w:rsidRPr="00A9409C">
        <w:rPr>
          <w:rFonts w:ascii="Century Gothic" w:eastAsia="Century Gothic" w:hAnsi="Century Gothic" w:cs="Century Gothic"/>
          <w:b/>
          <w:bCs/>
        </w:rPr>
        <w:lastRenderedPageBreak/>
        <w:t>A T E N T A M E N T E,</w:t>
      </w:r>
    </w:p>
    <w:p w14:paraId="74372C53" w14:textId="77777777" w:rsidR="00A9409C" w:rsidRDefault="00A9409C" w:rsidP="00A9409C">
      <w:pPr>
        <w:spacing w:line="360" w:lineRule="auto"/>
        <w:jc w:val="center"/>
        <w:rPr>
          <w:rFonts w:ascii="Century Gothic" w:eastAsia="Century Gothic" w:hAnsi="Century Gothic" w:cs="Century Gothic"/>
        </w:rPr>
      </w:pPr>
    </w:p>
    <w:p w14:paraId="09DB514B" w14:textId="77777777" w:rsidR="00A9409C" w:rsidRDefault="00A9409C" w:rsidP="00A9409C">
      <w:pPr>
        <w:spacing w:line="360" w:lineRule="auto"/>
        <w:jc w:val="center"/>
        <w:rPr>
          <w:rFonts w:ascii="Century Gothic" w:eastAsia="Century Gothic" w:hAnsi="Century Gothic" w:cs="Century Gothic"/>
        </w:rPr>
      </w:pPr>
    </w:p>
    <w:p w14:paraId="3167D858" w14:textId="18A00D33" w:rsidR="00A9409C" w:rsidRDefault="00A9409C" w:rsidP="00A9409C">
      <w:pPr>
        <w:spacing w:after="240"/>
        <w:ind w:left="4960" w:hanging="4960"/>
        <w:rPr>
          <w:rFonts w:ascii="Century Gothic" w:eastAsia="Century Gothic" w:hAnsi="Century Gothic" w:cs="Century Gothic"/>
          <w:b/>
        </w:rPr>
      </w:pPr>
      <w:r>
        <w:rPr>
          <w:rFonts w:ascii="Century Gothic" w:eastAsia="Century Gothic" w:hAnsi="Century Gothic" w:cs="Century Gothic"/>
          <w:b/>
        </w:rPr>
        <w:t>DIP. BENJAMÍN CARRERA CHÁVEZ.</w:t>
      </w:r>
      <w:r>
        <w:rPr>
          <w:rFonts w:ascii="Century Gothic" w:eastAsia="Century Gothic" w:hAnsi="Century Gothic" w:cs="Century Gothic"/>
          <w:b/>
        </w:rPr>
        <w:tab/>
        <w:t>DIP. EDIN CUAUHTÉMOC ESTRADA SOTELO.</w:t>
      </w:r>
    </w:p>
    <w:p w14:paraId="2A06168D" w14:textId="77777777" w:rsidR="00A9409C" w:rsidRDefault="00A9409C" w:rsidP="00A9409C">
      <w:pPr>
        <w:spacing w:after="240"/>
        <w:ind w:left="4960" w:hanging="4960"/>
        <w:rPr>
          <w:rFonts w:ascii="Century Gothic" w:eastAsia="Century Gothic" w:hAnsi="Century Gothic" w:cs="Century Gothic"/>
          <w:b/>
        </w:rPr>
      </w:pPr>
    </w:p>
    <w:p w14:paraId="578D26C0" w14:textId="77777777" w:rsidR="00A9409C" w:rsidRDefault="00A9409C" w:rsidP="00A9409C">
      <w:pPr>
        <w:spacing w:after="240"/>
        <w:ind w:left="4960" w:hanging="4960"/>
        <w:rPr>
          <w:rFonts w:ascii="Century Gothic" w:eastAsia="Century Gothic" w:hAnsi="Century Gothic" w:cs="Century Gothic"/>
          <w:b/>
        </w:rPr>
      </w:pPr>
    </w:p>
    <w:p w14:paraId="686F6F54" w14:textId="4C16F848" w:rsidR="00A9409C" w:rsidRDefault="00A9409C" w:rsidP="00A9409C">
      <w:pPr>
        <w:spacing w:after="240"/>
        <w:ind w:left="4960" w:hanging="4960"/>
        <w:rPr>
          <w:rFonts w:ascii="Century Gothic" w:eastAsia="Century Gothic" w:hAnsi="Century Gothic" w:cs="Century Gothic"/>
          <w:b/>
        </w:rPr>
      </w:pPr>
      <w:r>
        <w:rPr>
          <w:rFonts w:ascii="Century Gothic" w:eastAsia="Century Gothic" w:hAnsi="Century Gothic" w:cs="Century Gothic"/>
          <w:b/>
        </w:rPr>
        <w:t>DIP. ILSE AMÉRICA GARCÍA SOTO.</w:t>
      </w:r>
      <w:r>
        <w:rPr>
          <w:rFonts w:ascii="Century Gothic" w:eastAsia="Century Gothic" w:hAnsi="Century Gothic" w:cs="Century Gothic"/>
          <w:b/>
        </w:rPr>
        <w:tab/>
        <w:t>DIP. ROSSANA DÍAZ REYES.</w:t>
      </w:r>
    </w:p>
    <w:p w14:paraId="6E455060" w14:textId="77777777" w:rsidR="00A9409C" w:rsidRDefault="00A9409C" w:rsidP="00A9409C">
      <w:pPr>
        <w:spacing w:after="240"/>
        <w:ind w:firstLine="720"/>
        <w:rPr>
          <w:rFonts w:ascii="Century Gothic" w:eastAsia="Century Gothic" w:hAnsi="Century Gothic" w:cs="Century Gothic"/>
          <w:b/>
        </w:rPr>
      </w:pPr>
    </w:p>
    <w:p w14:paraId="75C833FD" w14:textId="77777777" w:rsidR="00A9409C" w:rsidRDefault="00A9409C" w:rsidP="00A9409C">
      <w:pPr>
        <w:spacing w:after="240"/>
        <w:ind w:firstLine="720"/>
        <w:rPr>
          <w:rFonts w:ascii="Century Gothic" w:eastAsia="Century Gothic" w:hAnsi="Century Gothic" w:cs="Century Gothic"/>
          <w:b/>
        </w:rPr>
      </w:pPr>
    </w:p>
    <w:p w14:paraId="60B11805" w14:textId="32C71610" w:rsidR="00A9409C" w:rsidRDefault="00A9409C" w:rsidP="00A9409C">
      <w:pPr>
        <w:spacing w:after="240"/>
        <w:ind w:left="4956" w:hanging="4956"/>
        <w:rPr>
          <w:rFonts w:ascii="Century Gothic" w:eastAsia="Century Gothic" w:hAnsi="Century Gothic" w:cs="Century Gothic"/>
          <w:b/>
        </w:rPr>
      </w:pPr>
      <w:r>
        <w:rPr>
          <w:rFonts w:ascii="Century Gothic" w:eastAsia="Century Gothic" w:hAnsi="Century Gothic" w:cs="Century Gothic"/>
          <w:b/>
        </w:rPr>
        <w:t>DIP. JAEL ARGÜELLES DÍAZ</w:t>
      </w:r>
      <w:r>
        <w:rPr>
          <w:rFonts w:ascii="Century Gothic" w:eastAsia="Century Gothic" w:hAnsi="Century Gothic" w:cs="Century Gothic"/>
          <w:b/>
        </w:rPr>
        <w:tab/>
        <w:t>DIP. MARIA ANTONIETA PÉREZ REYES.</w:t>
      </w:r>
    </w:p>
    <w:p w14:paraId="7738FA18" w14:textId="77777777" w:rsidR="00A9409C" w:rsidRDefault="00A9409C" w:rsidP="00A9409C">
      <w:pPr>
        <w:spacing w:after="240"/>
        <w:ind w:left="4956" w:hanging="4956"/>
        <w:rPr>
          <w:rFonts w:ascii="Century Gothic" w:eastAsia="Century Gothic" w:hAnsi="Century Gothic" w:cs="Century Gothic"/>
          <w:b/>
        </w:rPr>
      </w:pPr>
    </w:p>
    <w:p w14:paraId="5CE75C87" w14:textId="77777777" w:rsidR="00A9409C" w:rsidRDefault="00A9409C" w:rsidP="00A9409C">
      <w:pPr>
        <w:spacing w:after="240"/>
        <w:ind w:left="4956" w:hanging="4956"/>
        <w:rPr>
          <w:rFonts w:ascii="Century Gothic" w:eastAsia="Century Gothic" w:hAnsi="Century Gothic" w:cs="Century Gothic"/>
          <w:b/>
        </w:rPr>
      </w:pPr>
    </w:p>
    <w:p w14:paraId="18ED734B" w14:textId="2F61C83A" w:rsidR="00A9409C" w:rsidRDefault="00A9409C" w:rsidP="00A9409C">
      <w:pPr>
        <w:spacing w:after="240"/>
        <w:ind w:left="4956" w:hanging="4956"/>
        <w:rPr>
          <w:rFonts w:ascii="Century Gothic" w:eastAsia="Century Gothic" w:hAnsi="Century Gothic" w:cs="Century Gothic"/>
          <w:b/>
        </w:rPr>
      </w:pPr>
      <w:r>
        <w:rPr>
          <w:rFonts w:ascii="Century Gothic" w:eastAsia="Century Gothic" w:hAnsi="Century Gothic" w:cs="Century Gothic"/>
          <w:b/>
        </w:rPr>
        <w:t>DIP. LETICIA ORTEGA MÁYNEZ.</w:t>
      </w:r>
      <w:r>
        <w:rPr>
          <w:rFonts w:ascii="Century Gothic" w:eastAsia="Century Gothic" w:hAnsi="Century Gothic" w:cs="Century Gothic"/>
          <w:b/>
        </w:rPr>
        <w:tab/>
        <w:t>DIP.MAGDALENA RENTERÍA PÉREZ.</w:t>
      </w:r>
    </w:p>
    <w:p w14:paraId="3F93F5D6" w14:textId="77777777" w:rsidR="00A9409C" w:rsidRDefault="00A9409C" w:rsidP="00A9409C">
      <w:pPr>
        <w:spacing w:after="240"/>
        <w:ind w:left="4956" w:hanging="4956"/>
        <w:rPr>
          <w:rFonts w:ascii="Century Gothic" w:eastAsia="Century Gothic" w:hAnsi="Century Gothic" w:cs="Century Gothic"/>
          <w:b/>
        </w:rPr>
      </w:pPr>
    </w:p>
    <w:p w14:paraId="445C48A9" w14:textId="77777777" w:rsidR="00A9409C" w:rsidRDefault="00A9409C" w:rsidP="00A9409C">
      <w:pPr>
        <w:spacing w:after="240"/>
        <w:ind w:left="4956" w:hanging="4956"/>
        <w:rPr>
          <w:rFonts w:ascii="Century Gothic" w:eastAsia="Century Gothic" w:hAnsi="Century Gothic" w:cs="Century Gothic"/>
          <w:b/>
        </w:rPr>
      </w:pPr>
    </w:p>
    <w:p w14:paraId="16B0A9D2" w14:textId="35922D57" w:rsidR="00A9409C" w:rsidRDefault="00A9409C" w:rsidP="00A9409C">
      <w:pPr>
        <w:spacing w:after="240"/>
        <w:ind w:left="4956" w:hanging="4956"/>
        <w:rPr>
          <w:rFonts w:ascii="Century Gothic" w:eastAsia="Century Gothic" w:hAnsi="Century Gothic" w:cs="Century Gothic"/>
          <w:b/>
        </w:rPr>
      </w:pPr>
      <w:r>
        <w:rPr>
          <w:rFonts w:ascii="Century Gothic" w:eastAsia="Century Gothic" w:hAnsi="Century Gothic" w:cs="Century Gothic"/>
          <w:b/>
        </w:rPr>
        <w:t>DIP. DAVID ÓSCAR CASTREJÓN RIVAS.</w:t>
      </w:r>
      <w:r>
        <w:rPr>
          <w:rFonts w:ascii="Century Gothic" w:eastAsia="Century Gothic" w:hAnsi="Century Gothic" w:cs="Century Gothic"/>
          <w:b/>
        </w:rPr>
        <w:tab/>
        <w:t>DIP. GUSTAVO DE LA ROSA HICKERSON.</w:t>
      </w:r>
    </w:p>
    <w:p w14:paraId="5907B527" w14:textId="77777777" w:rsidR="00A9409C" w:rsidRDefault="00A9409C" w:rsidP="00A9409C">
      <w:pPr>
        <w:spacing w:after="240"/>
        <w:ind w:left="4956" w:hanging="4956"/>
        <w:rPr>
          <w:rFonts w:ascii="Century Gothic" w:eastAsia="Century Gothic" w:hAnsi="Century Gothic" w:cs="Century Gothic"/>
          <w:b/>
        </w:rPr>
      </w:pPr>
    </w:p>
    <w:p w14:paraId="5FC3CCF1" w14:textId="77777777" w:rsidR="00A9409C" w:rsidRDefault="00A9409C" w:rsidP="00A9409C">
      <w:pPr>
        <w:spacing w:after="240"/>
        <w:ind w:left="4956" w:hanging="4956"/>
        <w:rPr>
          <w:rFonts w:ascii="Century Gothic" w:eastAsia="Century Gothic" w:hAnsi="Century Gothic" w:cs="Century Gothic"/>
          <w:b/>
        </w:rPr>
      </w:pPr>
    </w:p>
    <w:p w14:paraId="08A3325C" w14:textId="759A3268" w:rsidR="00A9409C" w:rsidRPr="00A9409C" w:rsidRDefault="00A9409C" w:rsidP="00A9409C">
      <w:pPr>
        <w:spacing w:after="240"/>
        <w:ind w:left="4956" w:hanging="4956"/>
        <w:rPr>
          <w:rFonts w:ascii="Century Gothic" w:eastAsia="Century Gothic" w:hAnsi="Century Gothic" w:cs="Century Gothic"/>
          <w:b/>
        </w:rPr>
      </w:pPr>
      <w:r>
        <w:rPr>
          <w:rFonts w:ascii="Century Gothic" w:eastAsia="Century Gothic" w:hAnsi="Century Gothic" w:cs="Century Gothic"/>
          <w:b/>
        </w:rPr>
        <w:t>DIP. OSCAR DANIEL AVITIA ARELLANES.</w:t>
      </w:r>
    </w:p>
    <w:p w14:paraId="601600A6" w14:textId="77777777" w:rsidR="00AC0469" w:rsidRPr="00AC0469" w:rsidRDefault="00AC0469" w:rsidP="00AC0469">
      <w:pPr>
        <w:pStyle w:val="NormalWeb"/>
        <w:spacing w:line="360" w:lineRule="auto"/>
        <w:jc w:val="both"/>
        <w:rPr>
          <w:rFonts w:ascii="Century Gothic" w:hAnsi="Century Gothic" w:cs="Arial"/>
          <w:b/>
          <w:bCs/>
          <w:sz w:val="22"/>
          <w:szCs w:val="22"/>
        </w:rPr>
      </w:pPr>
    </w:p>
    <w:p w14:paraId="2A6156F9" w14:textId="77777777" w:rsidR="009D52DA" w:rsidRPr="00DC65E3" w:rsidRDefault="009D52DA" w:rsidP="00DC65E3">
      <w:pPr>
        <w:spacing w:line="360" w:lineRule="auto"/>
        <w:rPr>
          <w:rFonts w:ascii="Century Gothic" w:hAnsi="Century Gothic"/>
          <w:sz w:val="22"/>
          <w:szCs w:val="22"/>
        </w:rPr>
      </w:pPr>
    </w:p>
    <w:sectPr w:rsidR="009D52DA" w:rsidRPr="00DC65E3" w:rsidSect="00AC0469">
      <w:headerReference w:type="default" r:id="rId8"/>
      <w:pgSz w:w="12240" w:h="15840"/>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1E944" w14:textId="77777777" w:rsidR="00846B21" w:rsidRDefault="00846B21" w:rsidP="00AC0469">
      <w:r>
        <w:separator/>
      </w:r>
    </w:p>
  </w:endnote>
  <w:endnote w:type="continuationSeparator" w:id="0">
    <w:p w14:paraId="00B7CC50" w14:textId="77777777" w:rsidR="00846B21" w:rsidRDefault="00846B21" w:rsidP="00AC0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8341F" w14:textId="77777777" w:rsidR="00846B21" w:rsidRDefault="00846B21" w:rsidP="00AC0469">
      <w:r>
        <w:separator/>
      </w:r>
    </w:p>
  </w:footnote>
  <w:footnote w:type="continuationSeparator" w:id="0">
    <w:p w14:paraId="565DB97F" w14:textId="77777777" w:rsidR="00846B21" w:rsidRDefault="00846B21" w:rsidP="00AC0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DF34" w14:textId="77777777" w:rsidR="00AC0469" w:rsidRDefault="00AC0469" w:rsidP="00AC0469">
    <w:pPr>
      <w:ind w:left="1" w:hanging="3"/>
      <w:jc w:val="right"/>
      <w:rPr>
        <w:rFonts w:ascii="Rage Italic" w:eastAsia="Rage Italic" w:hAnsi="Rage Italic" w:cs="Rage Italic"/>
        <w:color w:val="000000"/>
        <w:sz w:val="28"/>
        <w:szCs w:val="28"/>
      </w:rPr>
    </w:pPr>
    <w:r>
      <w:rPr>
        <w:rFonts w:ascii="Rage Italic" w:eastAsia="Rage Italic" w:hAnsi="Rage Italic" w:cs="Rage Italic"/>
        <w:color w:val="000000"/>
        <w:sz w:val="28"/>
        <w:szCs w:val="28"/>
      </w:rPr>
      <w:t>2023, Año del Centenario de la Muerte del General Francisco Villa”</w:t>
    </w:r>
  </w:p>
  <w:p w14:paraId="1FBEC7F3" w14:textId="77777777" w:rsidR="00AC0469" w:rsidRDefault="00AC0469" w:rsidP="00AC0469">
    <w:pPr>
      <w:ind w:left="1" w:hanging="3"/>
      <w:jc w:val="right"/>
      <w:rPr>
        <w:color w:val="000000"/>
      </w:rPr>
    </w:pPr>
    <w:r>
      <w:rPr>
        <w:rFonts w:ascii="Rage Italic" w:eastAsia="Rage Italic" w:hAnsi="Rage Italic" w:cs="Rage Italic"/>
        <w:color w:val="000000"/>
        <w:sz w:val="28"/>
        <w:szCs w:val="28"/>
      </w:rPr>
      <w:t>“100 años del Rotarismo en Chihuahua”</w:t>
    </w:r>
  </w:p>
  <w:p w14:paraId="75098AFE" w14:textId="77777777" w:rsidR="00AC0469" w:rsidRDefault="00AC0469" w:rsidP="00AC0469">
    <w:pPr>
      <w:pBdr>
        <w:top w:val="nil"/>
        <w:left w:val="nil"/>
        <w:bottom w:val="nil"/>
        <w:right w:val="nil"/>
        <w:between w:val="nil"/>
      </w:pBdr>
      <w:tabs>
        <w:tab w:val="center" w:pos="4419"/>
        <w:tab w:val="right" w:pos="8838"/>
      </w:tabs>
      <w:ind w:hanging="2"/>
      <w:jc w:val="right"/>
      <w:rPr>
        <w:color w:val="000000"/>
      </w:rPr>
    </w:pPr>
    <w:r>
      <w:rPr>
        <w:noProof/>
        <w:color w:val="000000"/>
      </w:rPr>
      <w:drawing>
        <wp:inline distT="0" distB="0" distL="0" distR="0" wp14:anchorId="0A262AB0" wp14:editId="043B7CA1">
          <wp:extent cx="809247" cy="147668"/>
          <wp:effectExtent l="0" t="0" r="3810" b="508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29835" cy="151425"/>
                  </a:xfrm>
                  <a:prstGeom prst="rect">
                    <a:avLst/>
                  </a:prstGeom>
                  <a:ln/>
                </pic:spPr>
              </pic:pic>
            </a:graphicData>
          </a:graphic>
        </wp:inline>
      </w:drawing>
    </w:r>
  </w:p>
  <w:p w14:paraId="1B7F9C36" w14:textId="77777777" w:rsidR="00AC0469" w:rsidRDefault="00AC04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91D70"/>
    <w:multiLevelType w:val="multilevel"/>
    <w:tmpl w:val="EE1A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348"/>
    <w:rsid w:val="00010263"/>
    <w:rsid w:val="000D0348"/>
    <w:rsid w:val="00143BD3"/>
    <w:rsid w:val="00454FBE"/>
    <w:rsid w:val="005237A9"/>
    <w:rsid w:val="0058325A"/>
    <w:rsid w:val="005A6A24"/>
    <w:rsid w:val="00846B21"/>
    <w:rsid w:val="008F6662"/>
    <w:rsid w:val="00933AEA"/>
    <w:rsid w:val="00991F0A"/>
    <w:rsid w:val="009D52DA"/>
    <w:rsid w:val="00A9409C"/>
    <w:rsid w:val="00AC0469"/>
    <w:rsid w:val="00AD1EAE"/>
    <w:rsid w:val="00AF13D0"/>
    <w:rsid w:val="00D93921"/>
    <w:rsid w:val="00DC65E3"/>
    <w:rsid w:val="00DE41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8C021"/>
  <w15:chartTrackingRefBased/>
  <w15:docId w15:val="{2F950910-605F-CF4F-9D2F-D511A1F11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D0348"/>
    <w:pPr>
      <w:spacing w:before="100" w:beforeAutospacing="1" w:after="100" w:afterAutospacing="1"/>
    </w:pPr>
    <w:rPr>
      <w:rFonts w:ascii="Times New Roman" w:eastAsia="Times New Roman" w:hAnsi="Times New Roman" w:cs="Times New Roman"/>
      <w:kern w:val="0"/>
      <w:lang w:eastAsia="es-MX"/>
      <w14:ligatures w14:val="none"/>
    </w:rPr>
  </w:style>
  <w:style w:type="character" w:customStyle="1" w:styleId="apple-converted-space">
    <w:name w:val="apple-converted-space"/>
    <w:basedOn w:val="Fuentedeprrafopredeter"/>
    <w:rsid w:val="008F6662"/>
  </w:style>
  <w:style w:type="character" w:styleId="Textoennegrita">
    <w:name w:val="Strong"/>
    <w:basedOn w:val="Fuentedeprrafopredeter"/>
    <w:uiPriority w:val="22"/>
    <w:qFormat/>
    <w:rsid w:val="00AC0469"/>
    <w:rPr>
      <w:b/>
      <w:bCs/>
    </w:rPr>
  </w:style>
  <w:style w:type="paragraph" w:styleId="Encabezado">
    <w:name w:val="header"/>
    <w:basedOn w:val="Normal"/>
    <w:link w:val="EncabezadoCar"/>
    <w:uiPriority w:val="99"/>
    <w:unhideWhenUsed/>
    <w:rsid w:val="00AC0469"/>
    <w:pPr>
      <w:tabs>
        <w:tab w:val="center" w:pos="4419"/>
        <w:tab w:val="right" w:pos="8838"/>
      </w:tabs>
    </w:pPr>
  </w:style>
  <w:style w:type="character" w:customStyle="1" w:styleId="EncabezadoCar">
    <w:name w:val="Encabezado Car"/>
    <w:basedOn w:val="Fuentedeprrafopredeter"/>
    <w:link w:val="Encabezado"/>
    <w:uiPriority w:val="99"/>
    <w:rsid w:val="00AC0469"/>
  </w:style>
  <w:style w:type="paragraph" w:styleId="Piedepgina">
    <w:name w:val="footer"/>
    <w:basedOn w:val="Normal"/>
    <w:link w:val="PiedepginaCar"/>
    <w:uiPriority w:val="99"/>
    <w:unhideWhenUsed/>
    <w:rsid w:val="00AC0469"/>
    <w:pPr>
      <w:tabs>
        <w:tab w:val="center" w:pos="4419"/>
        <w:tab w:val="right" w:pos="8838"/>
      </w:tabs>
    </w:pPr>
  </w:style>
  <w:style w:type="character" w:customStyle="1" w:styleId="PiedepginaCar">
    <w:name w:val="Pie de página Car"/>
    <w:basedOn w:val="Fuentedeprrafopredeter"/>
    <w:link w:val="Piedepgina"/>
    <w:uiPriority w:val="99"/>
    <w:rsid w:val="00AC0469"/>
  </w:style>
  <w:style w:type="paragraph" w:styleId="Revisin">
    <w:name w:val="Revision"/>
    <w:hidden/>
    <w:uiPriority w:val="99"/>
    <w:semiHidden/>
    <w:rsid w:val="00A94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292130">
      <w:bodyDiv w:val="1"/>
      <w:marLeft w:val="0"/>
      <w:marRight w:val="0"/>
      <w:marTop w:val="0"/>
      <w:marBottom w:val="0"/>
      <w:divBdr>
        <w:top w:val="none" w:sz="0" w:space="0" w:color="auto"/>
        <w:left w:val="none" w:sz="0" w:space="0" w:color="auto"/>
        <w:bottom w:val="none" w:sz="0" w:space="0" w:color="auto"/>
        <w:right w:val="none" w:sz="0" w:space="0" w:color="auto"/>
      </w:divBdr>
    </w:div>
    <w:div w:id="957108163">
      <w:bodyDiv w:val="1"/>
      <w:marLeft w:val="0"/>
      <w:marRight w:val="0"/>
      <w:marTop w:val="0"/>
      <w:marBottom w:val="0"/>
      <w:divBdr>
        <w:top w:val="none" w:sz="0" w:space="0" w:color="auto"/>
        <w:left w:val="none" w:sz="0" w:space="0" w:color="auto"/>
        <w:bottom w:val="none" w:sz="0" w:space="0" w:color="auto"/>
        <w:right w:val="none" w:sz="0" w:space="0" w:color="auto"/>
      </w:divBdr>
      <w:divsChild>
        <w:div w:id="353460893">
          <w:marLeft w:val="0"/>
          <w:marRight w:val="0"/>
          <w:marTop w:val="0"/>
          <w:marBottom w:val="0"/>
          <w:divBdr>
            <w:top w:val="none" w:sz="0" w:space="0" w:color="auto"/>
            <w:left w:val="none" w:sz="0" w:space="0" w:color="auto"/>
            <w:bottom w:val="none" w:sz="0" w:space="0" w:color="auto"/>
            <w:right w:val="none" w:sz="0" w:space="0" w:color="auto"/>
          </w:divBdr>
          <w:divsChild>
            <w:div w:id="208536">
              <w:marLeft w:val="0"/>
              <w:marRight w:val="0"/>
              <w:marTop w:val="0"/>
              <w:marBottom w:val="0"/>
              <w:divBdr>
                <w:top w:val="none" w:sz="0" w:space="0" w:color="auto"/>
                <w:left w:val="none" w:sz="0" w:space="0" w:color="auto"/>
                <w:bottom w:val="none" w:sz="0" w:space="0" w:color="auto"/>
                <w:right w:val="none" w:sz="0" w:space="0" w:color="auto"/>
              </w:divBdr>
              <w:divsChild>
                <w:div w:id="9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939901">
      <w:bodyDiv w:val="1"/>
      <w:marLeft w:val="0"/>
      <w:marRight w:val="0"/>
      <w:marTop w:val="0"/>
      <w:marBottom w:val="0"/>
      <w:divBdr>
        <w:top w:val="none" w:sz="0" w:space="0" w:color="auto"/>
        <w:left w:val="none" w:sz="0" w:space="0" w:color="auto"/>
        <w:bottom w:val="none" w:sz="0" w:space="0" w:color="auto"/>
        <w:right w:val="none" w:sz="0" w:space="0" w:color="auto"/>
      </w:divBdr>
    </w:div>
    <w:div w:id="1344822355">
      <w:bodyDiv w:val="1"/>
      <w:marLeft w:val="0"/>
      <w:marRight w:val="0"/>
      <w:marTop w:val="0"/>
      <w:marBottom w:val="0"/>
      <w:divBdr>
        <w:top w:val="none" w:sz="0" w:space="0" w:color="auto"/>
        <w:left w:val="none" w:sz="0" w:space="0" w:color="auto"/>
        <w:bottom w:val="none" w:sz="0" w:space="0" w:color="auto"/>
        <w:right w:val="none" w:sz="0" w:space="0" w:color="auto"/>
      </w:divBdr>
      <w:divsChild>
        <w:div w:id="1160147818">
          <w:marLeft w:val="0"/>
          <w:marRight w:val="0"/>
          <w:marTop w:val="0"/>
          <w:marBottom w:val="0"/>
          <w:divBdr>
            <w:top w:val="none" w:sz="0" w:space="0" w:color="auto"/>
            <w:left w:val="none" w:sz="0" w:space="0" w:color="auto"/>
            <w:bottom w:val="none" w:sz="0" w:space="0" w:color="auto"/>
            <w:right w:val="none" w:sz="0" w:space="0" w:color="auto"/>
          </w:divBdr>
          <w:divsChild>
            <w:div w:id="1531868840">
              <w:marLeft w:val="0"/>
              <w:marRight w:val="0"/>
              <w:marTop w:val="0"/>
              <w:marBottom w:val="0"/>
              <w:divBdr>
                <w:top w:val="none" w:sz="0" w:space="0" w:color="auto"/>
                <w:left w:val="none" w:sz="0" w:space="0" w:color="auto"/>
                <w:bottom w:val="none" w:sz="0" w:space="0" w:color="auto"/>
                <w:right w:val="none" w:sz="0" w:space="0" w:color="auto"/>
              </w:divBdr>
              <w:divsChild>
                <w:div w:id="25690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3B651-C1FF-EE46-902A-E9EA111AD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1358</Words>
  <Characters>7469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 González</dc:creator>
  <cp:keywords/>
  <dc:description/>
  <cp:lastModifiedBy>Priscila Soto Jimenez</cp:lastModifiedBy>
  <cp:revision>2</cp:revision>
  <dcterms:created xsi:type="dcterms:W3CDTF">2023-09-20T19:12:00Z</dcterms:created>
  <dcterms:modified xsi:type="dcterms:W3CDTF">2023-09-20T19:12:00Z</dcterms:modified>
</cp:coreProperties>
</file>