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695E" w14:textId="77777777" w:rsidR="00FE24A0" w:rsidRDefault="00FE24A0">
      <w:pPr>
        <w:pStyle w:val="CuerpoA"/>
        <w:widowControl w:val="0"/>
        <w:spacing w:line="240" w:lineRule="auto"/>
      </w:pPr>
    </w:p>
    <w:p w14:paraId="3B561D01" w14:textId="77777777" w:rsidR="00FE24A0" w:rsidRDefault="00FE24A0">
      <w:pPr>
        <w:pStyle w:val="CuerpoA"/>
        <w:spacing w:after="0" w:line="240" w:lineRule="auto"/>
        <w:jc w:val="both"/>
      </w:pPr>
    </w:p>
    <w:p w14:paraId="71A391E4" w14:textId="77777777" w:rsidR="004839B9" w:rsidRDefault="004839B9">
      <w:pPr>
        <w:pStyle w:val="Ttulo1"/>
        <w:spacing w:line="360" w:lineRule="auto"/>
        <w:rPr>
          <w:rStyle w:val="Ninguno"/>
          <w:rFonts w:ascii="Century Gothic" w:hAnsi="Century Gothic"/>
          <w:b/>
          <w:bCs/>
          <w:color w:val="000000"/>
          <w:sz w:val="26"/>
          <w:szCs w:val="26"/>
          <w:u w:color="000000"/>
        </w:rPr>
      </w:pPr>
    </w:p>
    <w:p w14:paraId="2B20D290" w14:textId="77777777" w:rsidR="00FE24A0" w:rsidRDefault="00E20D7A">
      <w:pPr>
        <w:pStyle w:val="Ttulo1"/>
        <w:spacing w:line="360" w:lineRule="auto"/>
        <w:rPr>
          <w:rStyle w:val="Ninguno"/>
          <w:rFonts w:ascii="Century Gothic" w:eastAsia="Century Gothic" w:hAnsi="Century Gothic" w:cs="Century Gothic"/>
          <w:b/>
          <w:bCs/>
          <w:color w:val="000000"/>
          <w:sz w:val="26"/>
          <w:szCs w:val="26"/>
          <w:u w:color="000000"/>
        </w:rPr>
      </w:pPr>
      <w:r>
        <w:rPr>
          <w:rStyle w:val="Ninguno"/>
          <w:rFonts w:ascii="Century Gothic" w:hAnsi="Century Gothic"/>
          <w:b/>
          <w:bCs/>
          <w:color w:val="000000"/>
          <w:sz w:val="26"/>
          <w:szCs w:val="26"/>
          <w:u w:color="000000"/>
        </w:rPr>
        <w:t>H. CONGRESO DEL ESTADO DE CHIHUAHUA.</w:t>
      </w:r>
    </w:p>
    <w:p w14:paraId="253AA62C" w14:textId="77777777" w:rsidR="00FE24A0" w:rsidRDefault="00E20D7A">
      <w:pPr>
        <w:pStyle w:val="CuerpoAA"/>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rPr>
        <w:t>P R E S E N T E.-</w:t>
      </w:r>
    </w:p>
    <w:p w14:paraId="5605A0E1" w14:textId="77777777" w:rsidR="00FE24A0" w:rsidRDefault="00FE24A0">
      <w:pPr>
        <w:pStyle w:val="CuerpoAA"/>
        <w:spacing w:after="0" w:line="360" w:lineRule="auto"/>
        <w:jc w:val="both"/>
        <w:rPr>
          <w:rStyle w:val="Ninguno"/>
          <w:rFonts w:ascii="Century Gothic" w:eastAsia="Century Gothic" w:hAnsi="Century Gothic" w:cs="Century Gothic"/>
          <w:b/>
          <w:bCs/>
          <w:sz w:val="26"/>
          <w:szCs w:val="26"/>
        </w:rPr>
      </w:pPr>
    </w:p>
    <w:p w14:paraId="30F9A8BD" w14:textId="77777777" w:rsidR="00FE24A0" w:rsidRDefault="00E20D7A">
      <w:pPr>
        <w:pStyle w:val="CuerpoAA"/>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lang w:val="it-IT"/>
        </w:rPr>
        <w:t xml:space="preserve">C. MARIA ANTONIETA PEREZ REYES </w:t>
      </w:r>
      <w:r>
        <w:rPr>
          <w:rStyle w:val="Ninguno"/>
          <w:rFonts w:ascii="Century Gothic" w:hAnsi="Century Gothic"/>
          <w:sz w:val="26"/>
          <w:szCs w:val="26"/>
        </w:rPr>
        <w:t xml:space="preserve">en mi carácter de Diputada de la Sexagésima Séptima Legislatura del H. Congreso del Estado de Chihuahua, e integrantes del Grupo Parlamentario de MORENA con fundamento en lo que dispone los artículos 167, fracción I, y 168,  todos de la Ley Orgánica del Poder Legislativo del Estado de Chihuahua; artículo 2, fracción IX, del Reglamento Interior y de Prácticas Parlamentarias del Poder Legislativo; comparezco  ante este Honorable Soberanía, a fin de presentar </w:t>
      </w:r>
      <w:r>
        <w:rPr>
          <w:rStyle w:val="Ninguno"/>
          <w:rFonts w:ascii="Century Gothic" w:hAnsi="Century Gothic"/>
          <w:b/>
          <w:bCs/>
          <w:sz w:val="26"/>
          <w:szCs w:val="26"/>
        </w:rPr>
        <w:t>Proposición</w:t>
      </w:r>
      <w:r>
        <w:rPr>
          <w:rStyle w:val="Ninguno"/>
          <w:rFonts w:ascii="Century Gothic" w:hAnsi="Century Gothic"/>
          <w:b/>
          <w:bCs/>
          <w:sz w:val="26"/>
          <w:szCs w:val="26"/>
          <w:lang w:val="it-IT"/>
        </w:rPr>
        <w:t xml:space="preserve"> con car</w:t>
      </w:r>
      <w:proofErr w:type="spellStart"/>
      <w:r>
        <w:rPr>
          <w:rStyle w:val="Ninguno"/>
          <w:rFonts w:ascii="Century Gothic" w:hAnsi="Century Gothic"/>
          <w:b/>
          <w:bCs/>
          <w:sz w:val="26"/>
          <w:szCs w:val="26"/>
        </w:rPr>
        <w:t>ácter</w:t>
      </w:r>
      <w:proofErr w:type="spellEnd"/>
      <w:r>
        <w:rPr>
          <w:rStyle w:val="Ninguno"/>
          <w:rFonts w:ascii="Century Gothic" w:hAnsi="Century Gothic"/>
          <w:b/>
          <w:bCs/>
          <w:sz w:val="26"/>
          <w:szCs w:val="26"/>
        </w:rPr>
        <w:t xml:space="preserve"> de Punto de Acuerdo</w:t>
      </w:r>
      <w:r>
        <w:rPr>
          <w:rStyle w:val="Ninguno"/>
          <w:rFonts w:ascii="Century Gothic" w:hAnsi="Century Gothic"/>
          <w:sz w:val="26"/>
          <w:szCs w:val="26"/>
        </w:rPr>
        <w:t xml:space="preserve">, </w:t>
      </w:r>
      <w:r>
        <w:rPr>
          <w:rStyle w:val="Ninguno"/>
          <w:rFonts w:ascii="Century Gothic" w:hAnsi="Century Gothic"/>
          <w:b/>
          <w:bCs/>
          <w:sz w:val="26"/>
          <w:szCs w:val="26"/>
        </w:rPr>
        <w:t xml:space="preserve">para exhortar atenta y respetuosamente a la Secretaria del Trabajo y Previsión Social del Estado de Chihuahua </w:t>
      </w:r>
      <w:r>
        <w:rPr>
          <w:rStyle w:val="Ninguno"/>
          <w:rFonts w:ascii="Century Gothic" w:hAnsi="Century Gothic"/>
          <w:sz w:val="26"/>
          <w:szCs w:val="26"/>
        </w:rPr>
        <w:t xml:space="preserve">lo anterior con sustento en la siguiente:  </w:t>
      </w:r>
    </w:p>
    <w:p w14:paraId="74CB1BB2" w14:textId="77777777" w:rsidR="00FE24A0" w:rsidRDefault="00FE24A0">
      <w:pPr>
        <w:pStyle w:val="CuerpoA"/>
        <w:spacing w:after="0" w:line="360" w:lineRule="auto"/>
        <w:rPr>
          <w:rStyle w:val="Ninguno"/>
          <w:rFonts w:ascii="Century Gothic" w:eastAsia="Century Gothic" w:hAnsi="Century Gothic" w:cs="Century Gothic"/>
          <w:sz w:val="26"/>
          <w:szCs w:val="26"/>
        </w:rPr>
      </w:pPr>
    </w:p>
    <w:p w14:paraId="2EF26EFB" w14:textId="77777777" w:rsidR="00FE24A0" w:rsidRDefault="00E20D7A">
      <w:pPr>
        <w:pStyle w:val="CuerpoAA"/>
        <w:spacing w:after="0" w:line="360" w:lineRule="auto"/>
        <w:jc w:val="center"/>
        <w:rPr>
          <w:rStyle w:val="Ninguno"/>
          <w:rFonts w:ascii="Century Gothic" w:eastAsia="Century Gothic" w:hAnsi="Century Gothic" w:cs="Century Gothic"/>
          <w:b/>
          <w:bCs/>
          <w:sz w:val="26"/>
          <w:szCs w:val="26"/>
        </w:rPr>
      </w:pPr>
      <w:r>
        <w:rPr>
          <w:rStyle w:val="Ninguno"/>
          <w:rFonts w:ascii="Century Gothic" w:hAnsi="Century Gothic"/>
          <w:b/>
          <w:bCs/>
          <w:sz w:val="26"/>
          <w:szCs w:val="26"/>
          <w:lang w:val="pt-PT"/>
        </w:rPr>
        <w:t>EXPOSICI</w:t>
      </w:r>
      <w:r>
        <w:rPr>
          <w:rStyle w:val="Ninguno"/>
          <w:rFonts w:ascii="Century Gothic" w:hAnsi="Century Gothic"/>
          <w:b/>
          <w:bCs/>
          <w:sz w:val="26"/>
          <w:szCs w:val="26"/>
        </w:rPr>
        <w:t>ÓN DE MOTIVOS</w:t>
      </w:r>
    </w:p>
    <w:p w14:paraId="25985BA4" w14:textId="77777777" w:rsidR="004839B9" w:rsidRDefault="00E20D7A">
      <w:pPr>
        <w:pStyle w:val="CuerpoA"/>
        <w:spacing w:line="360" w:lineRule="auto"/>
        <w:jc w:val="both"/>
        <w:rPr>
          <w:rStyle w:val="Ninguno"/>
          <w:rFonts w:ascii="Century Gothic" w:hAnsi="Century Gothic"/>
          <w:sz w:val="26"/>
          <w:szCs w:val="26"/>
        </w:rPr>
      </w:pPr>
      <w:r>
        <w:rPr>
          <w:rStyle w:val="Ninguno"/>
          <w:rFonts w:ascii="Century Gothic" w:hAnsi="Century Gothic"/>
          <w:sz w:val="26"/>
          <w:szCs w:val="26"/>
        </w:rPr>
        <w:t xml:space="preserve">La controversia versa sobre la muerte de un empleado de la moral ALIUM MERCAPRO S.A DE C.V (“YONKE FENIX”) quien lo conocemos como EMPLEADO </w:t>
      </w:r>
      <w:r w:rsidR="00C67AD0">
        <w:rPr>
          <w:rStyle w:val="Ninguno"/>
          <w:rFonts w:ascii="Century Gothic" w:hAnsi="Century Gothic"/>
          <w:sz w:val="26"/>
          <w:szCs w:val="26"/>
        </w:rPr>
        <w:t>VICTIMA,</w:t>
      </w:r>
      <w:r>
        <w:rPr>
          <w:rStyle w:val="Ninguno"/>
          <w:rFonts w:ascii="Century Gothic" w:hAnsi="Century Gothic"/>
          <w:sz w:val="26"/>
          <w:szCs w:val="26"/>
        </w:rPr>
        <w:t xml:space="preserve"> persona se encargaba de manejar una maquinaria para prensar metal dentro de la moral, él se encargaba de mantener a su familia, el día 13 de junio de 2021 le informaron</w:t>
      </w:r>
      <w:r w:rsidR="003E7E8A">
        <w:rPr>
          <w:rStyle w:val="Ninguno"/>
          <w:rFonts w:ascii="Century Gothic" w:hAnsi="Century Gothic"/>
          <w:sz w:val="26"/>
          <w:szCs w:val="26"/>
        </w:rPr>
        <w:t xml:space="preserve"> a</w:t>
      </w:r>
      <w:r>
        <w:rPr>
          <w:rStyle w:val="Ninguno"/>
          <w:rFonts w:ascii="Century Gothic" w:hAnsi="Century Gothic"/>
          <w:sz w:val="26"/>
          <w:szCs w:val="26"/>
        </w:rPr>
        <w:t xml:space="preserve"> </w:t>
      </w:r>
      <w:r w:rsidR="003E7E8A">
        <w:rPr>
          <w:rStyle w:val="Ninguno"/>
          <w:rFonts w:ascii="Century Gothic" w:hAnsi="Century Gothic"/>
          <w:sz w:val="26"/>
          <w:szCs w:val="26"/>
        </w:rPr>
        <w:t>la</w:t>
      </w:r>
      <w:r>
        <w:rPr>
          <w:rStyle w:val="Ninguno"/>
          <w:rFonts w:ascii="Century Gothic" w:hAnsi="Century Gothic"/>
          <w:sz w:val="26"/>
          <w:szCs w:val="26"/>
        </w:rPr>
        <w:t xml:space="preserve"> esposa del empleado victima  (ACTORA) que su esposo había sufrido un accidente de trabajo, y que había perdido la vida al instante. El </w:t>
      </w:r>
    </w:p>
    <w:p w14:paraId="61006EDA" w14:textId="77777777" w:rsidR="004839B9" w:rsidRDefault="004839B9">
      <w:pPr>
        <w:pStyle w:val="CuerpoA"/>
        <w:spacing w:line="360" w:lineRule="auto"/>
        <w:jc w:val="both"/>
        <w:rPr>
          <w:rStyle w:val="Ninguno"/>
          <w:rFonts w:ascii="Century Gothic" w:hAnsi="Century Gothic"/>
          <w:sz w:val="26"/>
          <w:szCs w:val="26"/>
        </w:rPr>
      </w:pPr>
    </w:p>
    <w:p w14:paraId="68A99DF3" w14:textId="77777777" w:rsidR="004839B9" w:rsidRDefault="004839B9">
      <w:pPr>
        <w:pStyle w:val="CuerpoA"/>
        <w:spacing w:line="360" w:lineRule="auto"/>
        <w:jc w:val="both"/>
        <w:rPr>
          <w:rStyle w:val="Ninguno"/>
          <w:rFonts w:ascii="Century Gothic" w:hAnsi="Century Gothic"/>
          <w:sz w:val="26"/>
          <w:szCs w:val="26"/>
        </w:rPr>
      </w:pPr>
    </w:p>
    <w:p w14:paraId="4E1D5DAD" w14:textId="77777777" w:rsidR="00FE24A0" w:rsidRPr="004839B9" w:rsidRDefault="00E20D7A">
      <w:pPr>
        <w:pStyle w:val="CuerpoA"/>
        <w:spacing w:line="360" w:lineRule="auto"/>
        <w:jc w:val="both"/>
        <w:rPr>
          <w:rStyle w:val="Ninguno"/>
          <w:rFonts w:ascii="Century Gothic" w:hAnsi="Century Gothic"/>
          <w:sz w:val="26"/>
          <w:szCs w:val="26"/>
        </w:rPr>
      </w:pPr>
      <w:r>
        <w:rPr>
          <w:rStyle w:val="Ninguno"/>
          <w:rFonts w:ascii="Century Gothic" w:hAnsi="Century Gothic"/>
          <w:sz w:val="26"/>
          <w:szCs w:val="26"/>
        </w:rPr>
        <w:t xml:space="preserve">suceso se originó por una falla en el sensor de seguridad de la máquina que maniobraba la víctima, esa falla ya la había reportado el </w:t>
      </w:r>
      <w:r w:rsidR="003E7E8A">
        <w:rPr>
          <w:rStyle w:val="Ninguno"/>
          <w:rFonts w:ascii="Century Gothic" w:hAnsi="Century Gothic"/>
          <w:sz w:val="26"/>
          <w:szCs w:val="26"/>
        </w:rPr>
        <w:t xml:space="preserve">EMPLEADO VICTIMA </w:t>
      </w:r>
      <w:r>
        <w:rPr>
          <w:rStyle w:val="Ninguno"/>
          <w:rFonts w:ascii="Century Gothic" w:hAnsi="Century Gothic"/>
          <w:sz w:val="26"/>
          <w:szCs w:val="26"/>
        </w:rPr>
        <w:t xml:space="preserve">a la empresa ALIUM MERCAPRO S.A DE C.V, la cual ignoró totalmente. Por tal motivo al ser maniobrada por el EMPLEADO, este fue prensado en su extremidad cefálica lo que provocó su muerte al instante. </w:t>
      </w:r>
    </w:p>
    <w:p w14:paraId="579F8CFD" w14:textId="77777777" w:rsidR="00FE24A0" w:rsidRDefault="00E20D7A">
      <w:pPr>
        <w:pStyle w:val="CuerpoA"/>
        <w:spacing w:line="360" w:lineRule="auto"/>
        <w:jc w:val="both"/>
        <w:rPr>
          <w:rStyle w:val="Ninguno"/>
          <w:rFonts w:ascii="Century Gothic" w:eastAsia="Century Gothic" w:hAnsi="Century Gothic" w:cs="Century Gothic"/>
          <w:sz w:val="26"/>
          <w:szCs w:val="26"/>
          <w:u w:val="single"/>
        </w:rPr>
      </w:pPr>
      <w:r>
        <w:rPr>
          <w:rStyle w:val="Ninguno"/>
          <w:rFonts w:ascii="Century Gothic" w:hAnsi="Century Gothic"/>
          <w:sz w:val="26"/>
          <w:szCs w:val="26"/>
        </w:rPr>
        <w:t>De acuerdo con el dictamen de necropsia que determinó el perito adscrito a la Dirección de Servicios Periciales y Ciencias Forenses de la Fiscalí</w:t>
      </w:r>
      <w:r w:rsidR="005567A7">
        <w:rPr>
          <w:rStyle w:val="Ninguno"/>
          <w:rFonts w:ascii="Century Gothic" w:hAnsi="Century Gothic"/>
          <w:sz w:val="26"/>
          <w:szCs w:val="26"/>
        </w:rPr>
        <w:t xml:space="preserve">a General del Estado, </w:t>
      </w:r>
      <w:r>
        <w:rPr>
          <w:rStyle w:val="Ninguno"/>
          <w:rFonts w:ascii="Century Gothic" w:hAnsi="Century Gothic"/>
          <w:sz w:val="26"/>
          <w:szCs w:val="26"/>
        </w:rPr>
        <w:t xml:space="preserve">la causa de la muerte fue una </w:t>
      </w:r>
      <w:r>
        <w:rPr>
          <w:rStyle w:val="Ninguno"/>
          <w:rFonts w:ascii="Century Gothic" w:hAnsi="Century Gothic"/>
          <w:sz w:val="26"/>
          <w:szCs w:val="26"/>
          <w:u w:val="single"/>
        </w:rPr>
        <w:t xml:space="preserve">laceración </w:t>
      </w:r>
      <w:proofErr w:type="spellStart"/>
      <w:r>
        <w:rPr>
          <w:rStyle w:val="Ninguno"/>
          <w:rFonts w:ascii="Century Gothic" w:hAnsi="Century Gothic"/>
          <w:sz w:val="26"/>
          <w:szCs w:val="26"/>
          <w:u w:val="single"/>
        </w:rPr>
        <w:t>encefá</w:t>
      </w:r>
      <w:proofErr w:type="spellEnd"/>
      <w:r>
        <w:rPr>
          <w:rStyle w:val="Ninguno"/>
          <w:rFonts w:ascii="Century Gothic" w:hAnsi="Century Gothic"/>
          <w:sz w:val="26"/>
          <w:szCs w:val="26"/>
          <w:u w:val="single"/>
          <w:lang w:val="pt-PT"/>
        </w:rPr>
        <w:t>lica secundaria a traumatismo craneoencef</w:t>
      </w:r>
      <w:r>
        <w:rPr>
          <w:rStyle w:val="Ninguno"/>
          <w:rFonts w:ascii="Century Gothic" w:hAnsi="Century Gothic"/>
          <w:sz w:val="26"/>
          <w:szCs w:val="26"/>
          <w:u w:val="single"/>
        </w:rPr>
        <w:t>á</w:t>
      </w:r>
      <w:r>
        <w:rPr>
          <w:rStyle w:val="Ninguno"/>
          <w:rFonts w:ascii="Century Gothic" w:hAnsi="Century Gothic"/>
          <w:sz w:val="26"/>
          <w:szCs w:val="26"/>
          <w:u w:val="single"/>
          <w:lang w:val="it-IT"/>
        </w:rPr>
        <w:t>lico severo.</w:t>
      </w:r>
    </w:p>
    <w:p w14:paraId="1EF0A944" w14:textId="77777777" w:rsidR="00FE24A0" w:rsidRDefault="00E20D7A">
      <w:pPr>
        <w:pStyle w:val="CuerpoA"/>
        <w:spacing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Posteriormente, la EMPRESA ALIUM MERCAPRO SA DE CV intentó evadir la responsabilidad, abusar de la buena fe y desconocimiento legal de la esposa del empleado omitiendo informarle los derechos indemnizatorios que le correspondían por la muerte de su esposo, ni siquiera se ofrecieron a pagar los gastos funerarios del empleado víctima.</w:t>
      </w:r>
    </w:p>
    <w:p w14:paraId="119A6A00" w14:textId="77777777" w:rsidR="00FE24A0" w:rsidRDefault="00E20D7A">
      <w:pPr>
        <w:pStyle w:val="CuerpoA"/>
        <w:spacing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Derivado de los hechos antes mencionados, es que la esposa interpuso una demanda en contra de la empresa ALIUM MERCA PRO SA DE CV mejor conocida como YONKE FENIX, el expediente se radicó en el Juzgado 3ro Civil por Audiencias e</w:t>
      </w:r>
      <w:r w:rsidR="000D75EE">
        <w:rPr>
          <w:rStyle w:val="Ninguno"/>
          <w:rFonts w:ascii="Century Gothic" w:hAnsi="Century Gothic"/>
          <w:sz w:val="26"/>
          <w:szCs w:val="26"/>
        </w:rPr>
        <w:t>n este Distrito Judicial Bravos</w:t>
      </w:r>
      <w:r>
        <w:rPr>
          <w:rStyle w:val="Ninguno"/>
          <w:rFonts w:ascii="Century Gothic" w:hAnsi="Century Gothic"/>
          <w:sz w:val="26"/>
          <w:szCs w:val="26"/>
          <w:lang w:val="pt-PT"/>
        </w:rPr>
        <w:t>. Donde reclama da</w:t>
      </w:r>
      <w:proofErr w:type="spellStart"/>
      <w:r>
        <w:rPr>
          <w:rStyle w:val="Ninguno"/>
          <w:rFonts w:ascii="Century Gothic" w:hAnsi="Century Gothic"/>
          <w:sz w:val="26"/>
          <w:szCs w:val="26"/>
        </w:rPr>
        <w:t>ño</w:t>
      </w:r>
      <w:proofErr w:type="spellEnd"/>
      <w:r>
        <w:rPr>
          <w:rStyle w:val="Ninguno"/>
          <w:rFonts w:ascii="Century Gothic" w:hAnsi="Century Gothic"/>
          <w:sz w:val="26"/>
          <w:szCs w:val="26"/>
        </w:rPr>
        <w:t xml:space="preserve"> moral, responsabilidad civil y </w:t>
      </w:r>
      <w:proofErr w:type="spellStart"/>
      <w:r>
        <w:rPr>
          <w:rStyle w:val="Ninguno"/>
          <w:rFonts w:ascii="Century Gothic" w:hAnsi="Century Gothic"/>
          <w:sz w:val="26"/>
          <w:szCs w:val="26"/>
        </w:rPr>
        <w:t>dañ</w:t>
      </w:r>
      <w:proofErr w:type="spellEnd"/>
      <w:r>
        <w:rPr>
          <w:rStyle w:val="Ninguno"/>
          <w:rFonts w:ascii="Century Gothic" w:hAnsi="Century Gothic"/>
          <w:sz w:val="26"/>
          <w:szCs w:val="26"/>
          <w:lang w:val="pt-PT"/>
        </w:rPr>
        <w:t>os punitivos.</w:t>
      </w:r>
    </w:p>
    <w:p w14:paraId="6BE142BC" w14:textId="77777777" w:rsidR="004839B9" w:rsidRDefault="00E20D7A">
      <w:pPr>
        <w:pStyle w:val="CuerpoA"/>
        <w:spacing w:line="360" w:lineRule="auto"/>
        <w:jc w:val="both"/>
        <w:rPr>
          <w:rStyle w:val="Ninguno"/>
          <w:rFonts w:ascii="Century Gothic" w:hAnsi="Century Gothic"/>
          <w:sz w:val="26"/>
          <w:szCs w:val="26"/>
        </w:rPr>
      </w:pPr>
      <w:r>
        <w:rPr>
          <w:rStyle w:val="Ninguno"/>
          <w:rFonts w:ascii="Century Gothic" w:hAnsi="Century Gothic"/>
          <w:sz w:val="26"/>
          <w:szCs w:val="26"/>
        </w:rPr>
        <w:t xml:space="preserve">El día 10 de marzo del año en curso, la moral contestó la </w:t>
      </w:r>
      <w:r w:rsidR="00B14205">
        <w:rPr>
          <w:rStyle w:val="Ninguno"/>
          <w:rFonts w:ascii="Century Gothic" w:hAnsi="Century Gothic"/>
          <w:sz w:val="26"/>
          <w:szCs w:val="26"/>
        </w:rPr>
        <w:t>demanda</w:t>
      </w:r>
      <w:r>
        <w:rPr>
          <w:rStyle w:val="Ninguno"/>
          <w:rFonts w:ascii="Century Gothic" w:hAnsi="Century Gothic"/>
          <w:sz w:val="26"/>
          <w:szCs w:val="26"/>
        </w:rPr>
        <w:t xml:space="preserve">, argumentando que no era su responsabilidad y que ese accidente fue </w:t>
      </w:r>
    </w:p>
    <w:p w14:paraId="3BCA241A" w14:textId="77777777" w:rsidR="004839B9" w:rsidRDefault="004839B9">
      <w:pPr>
        <w:pStyle w:val="CuerpoA"/>
        <w:spacing w:line="360" w:lineRule="auto"/>
        <w:jc w:val="both"/>
        <w:rPr>
          <w:rStyle w:val="Ninguno"/>
          <w:rFonts w:ascii="Century Gothic" w:hAnsi="Century Gothic"/>
          <w:sz w:val="26"/>
          <w:szCs w:val="26"/>
        </w:rPr>
      </w:pPr>
    </w:p>
    <w:p w14:paraId="54D7D262" w14:textId="77777777" w:rsidR="004839B9" w:rsidRDefault="004839B9">
      <w:pPr>
        <w:pStyle w:val="CuerpoA"/>
        <w:spacing w:line="360" w:lineRule="auto"/>
        <w:jc w:val="both"/>
        <w:rPr>
          <w:rStyle w:val="Ninguno"/>
          <w:rFonts w:ascii="Century Gothic" w:hAnsi="Century Gothic"/>
          <w:sz w:val="26"/>
          <w:szCs w:val="26"/>
        </w:rPr>
      </w:pPr>
    </w:p>
    <w:p w14:paraId="76AEEABE" w14:textId="77777777" w:rsidR="005567A7" w:rsidRDefault="00E20D7A">
      <w:pPr>
        <w:pStyle w:val="CuerpoA"/>
        <w:spacing w:line="360" w:lineRule="auto"/>
        <w:jc w:val="both"/>
        <w:rPr>
          <w:rStyle w:val="Ninguno"/>
          <w:rFonts w:ascii="Century Gothic" w:hAnsi="Century Gothic"/>
          <w:sz w:val="26"/>
          <w:szCs w:val="26"/>
        </w:rPr>
      </w:pPr>
      <w:r>
        <w:rPr>
          <w:rStyle w:val="Ninguno"/>
          <w:rFonts w:ascii="Century Gothic" w:hAnsi="Century Gothic"/>
          <w:sz w:val="26"/>
          <w:szCs w:val="26"/>
        </w:rPr>
        <w:t xml:space="preserve">derivado de una negligencia del empleado ya que como lo expresan en su contestación, el </w:t>
      </w:r>
      <w:proofErr w:type="spellStart"/>
      <w:r>
        <w:rPr>
          <w:rStyle w:val="Ninguno"/>
          <w:rFonts w:ascii="Century Gothic" w:hAnsi="Century Gothic"/>
          <w:sz w:val="26"/>
          <w:szCs w:val="26"/>
        </w:rPr>
        <w:t>señ</w:t>
      </w:r>
      <w:proofErr w:type="spellEnd"/>
      <w:r>
        <w:rPr>
          <w:rStyle w:val="Ninguno"/>
          <w:rFonts w:ascii="Century Gothic" w:hAnsi="Century Gothic"/>
          <w:sz w:val="26"/>
          <w:szCs w:val="26"/>
          <w:lang w:val="pt-PT"/>
        </w:rPr>
        <w:t>or voluntariamente coloc</w:t>
      </w:r>
      <w:proofErr w:type="spellStart"/>
      <w:r>
        <w:rPr>
          <w:rStyle w:val="Ninguno"/>
          <w:rFonts w:ascii="Century Gothic" w:hAnsi="Century Gothic"/>
          <w:sz w:val="26"/>
          <w:szCs w:val="26"/>
        </w:rPr>
        <w:t>ó</w:t>
      </w:r>
      <w:proofErr w:type="spellEnd"/>
      <w:r>
        <w:rPr>
          <w:rStyle w:val="Ninguno"/>
          <w:rFonts w:ascii="Century Gothic" w:hAnsi="Century Gothic"/>
          <w:sz w:val="26"/>
          <w:szCs w:val="26"/>
        </w:rPr>
        <w:t xml:space="preserve"> su cabeza dentro </w:t>
      </w:r>
      <w:r w:rsidR="004839B9">
        <w:rPr>
          <w:rStyle w:val="Ninguno"/>
          <w:rFonts w:ascii="Century Gothic" w:hAnsi="Century Gothic"/>
          <w:sz w:val="26"/>
          <w:szCs w:val="26"/>
        </w:rPr>
        <w:t>d</w:t>
      </w:r>
      <w:r w:rsidR="003E7E8A">
        <w:rPr>
          <w:rStyle w:val="Ninguno"/>
          <w:rFonts w:ascii="Century Gothic" w:hAnsi="Century Gothic"/>
          <w:sz w:val="26"/>
          <w:szCs w:val="26"/>
        </w:rPr>
        <w:t>e</w:t>
      </w:r>
      <w:r>
        <w:rPr>
          <w:rStyle w:val="Ninguno"/>
          <w:rFonts w:ascii="Century Gothic" w:hAnsi="Century Gothic"/>
          <w:sz w:val="26"/>
          <w:szCs w:val="26"/>
        </w:rPr>
        <w:t xml:space="preserve"> la maquina lo que accionó </w:t>
      </w:r>
      <w:proofErr w:type="spellStart"/>
      <w:r>
        <w:rPr>
          <w:rStyle w:val="Ninguno"/>
          <w:rFonts w:ascii="Century Gothic" w:hAnsi="Century Gothic"/>
          <w:sz w:val="26"/>
          <w:szCs w:val="26"/>
          <w:lang w:val="en-US"/>
        </w:rPr>
        <w:t>el</w:t>
      </w:r>
      <w:proofErr w:type="spellEnd"/>
      <w:r>
        <w:rPr>
          <w:rStyle w:val="Ninguno"/>
          <w:rFonts w:ascii="Century Gothic" w:hAnsi="Century Gothic"/>
          <w:sz w:val="26"/>
          <w:szCs w:val="26"/>
          <w:lang w:val="en-US"/>
        </w:rPr>
        <w:t xml:space="preserve"> sensor </w:t>
      </w:r>
      <w:proofErr w:type="spellStart"/>
      <w:r>
        <w:rPr>
          <w:rStyle w:val="Ninguno"/>
          <w:rFonts w:ascii="Century Gothic" w:hAnsi="Century Gothic"/>
          <w:sz w:val="26"/>
          <w:szCs w:val="26"/>
          <w:lang w:val="en-US"/>
        </w:rPr>
        <w:t>caus</w:t>
      </w:r>
      <w:r>
        <w:rPr>
          <w:rStyle w:val="Ninguno"/>
          <w:rFonts w:ascii="Century Gothic" w:hAnsi="Century Gothic"/>
          <w:sz w:val="26"/>
          <w:szCs w:val="26"/>
        </w:rPr>
        <w:t>ándole</w:t>
      </w:r>
      <w:proofErr w:type="spellEnd"/>
      <w:r>
        <w:rPr>
          <w:rStyle w:val="Ninguno"/>
          <w:rFonts w:ascii="Century Gothic" w:hAnsi="Century Gothic"/>
          <w:sz w:val="26"/>
          <w:szCs w:val="26"/>
        </w:rPr>
        <w:t xml:space="preserve"> la muerte instantánea. Hecho que resulta fuera de toda lógica, y del cual la empresa ALIUM MERCAPRO SA DE CV busca deslindarse de su </w:t>
      </w:r>
      <w:r w:rsidR="005567A7">
        <w:rPr>
          <w:rStyle w:val="Ninguno"/>
          <w:rFonts w:ascii="Century Gothic" w:hAnsi="Century Gothic"/>
          <w:sz w:val="26"/>
          <w:szCs w:val="26"/>
        </w:rPr>
        <w:t>responsabilidad.</w:t>
      </w:r>
    </w:p>
    <w:p w14:paraId="2F705F81" w14:textId="77777777" w:rsidR="00D370EF" w:rsidRDefault="003E7E8A">
      <w:pPr>
        <w:pStyle w:val="CuerpoA"/>
        <w:spacing w:line="360" w:lineRule="auto"/>
        <w:jc w:val="both"/>
        <w:rPr>
          <w:rStyle w:val="Ninguno"/>
          <w:rFonts w:ascii="Century Gothic" w:hAnsi="Century Gothic"/>
          <w:sz w:val="26"/>
          <w:szCs w:val="26"/>
        </w:rPr>
      </w:pPr>
      <w:r>
        <w:rPr>
          <w:rFonts w:ascii="Century Gothic" w:hAnsi="Century Gothic"/>
          <w:noProof/>
          <w:sz w:val="26"/>
          <w:szCs w:val="26"/>
          <w:lang w:val="es-MX"/>
        </w:rPr>
        <w:drawing>
          <wp:inline distT="0" distB="0" distL="0" distR="0" wp14:anchorId="32C75591" wp14:editId="242A742B">
            <wp:extent cx="5612130" cy="14763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mi 3.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476375"/>
                    </a:xfrm>
                    <a:prstGeom prst="rect">
                      <a:avLst/>
                    </a:prstGeom>
                  </pic:spPr>
                </pic:pic>
              </a:graphicData>
            </a:graphic>
          </wp:inline>
        </w:drawing>
      </w:r>
    </w:p>
    <w:p w14:paraId="050CA1AC" w14:textId="77777777" w:rsidR="00FE24A0" w:rsidRDefault="00E20D7A">
      <w:pPr>
        <w:pStyle w:val="CuerpoA"/>
        <w:spacing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Dentro de la contestación de demanda, interpuso un litisconsorcio pasivo necesario, con la finalidad de declinar la responsabilidad</w:t>
      </w:r>
      <w:r>
        <w:rPr>
          <w:rStyle w:val="Ninguno"/>
          <w:rFonts w:ascii="Century Gothic" w:hAnsi="Century Gothic"/>
          <w:sz w:val="26"/>
          <w:szCs w:val="26"/>
          <w:lang w:val="it-IT"/>
        </w:rPr>
        <w:t xml:space="preserve"> al </w:t>
      </w:r>
      <w:r>
        <w:rPr>
          <w:rStyle w:val="Ninguno"/>
          <w:rFonts w:ascii="Century Gothic" w:hAnsi="Century Gothic"/>
          <w:b/>
          <w:bCs/>
          <w:sz w:val="26"/>
          <w:szCs w:val="26"/>
        </w:rPr>
        <w:t>INSTITUTO MEXICANO DEL SEGURO SOCIAL</w:t>
      </w:r>
      <w:r>
        <w:rPr>
          <w:rStyle w:val="Ninguno"/>
          <w:rFonts w:ascii="Century Gothic" w:hAnsi="Century Gothic"/>
          <w:sz w:val="26"/>
          <w:szCs w:val="26"/>
          <w:lang w:val="en-US"/>
        </w:rPr>
        <w:t>, as</w:t>
      </w:r>
      <w:proofErr w:type="spellStart"/>
      <w:r>
        <w:rPr>
          <w:rStyle w:val="Ninguno"/>
          <w:rFonts w:ascii="Century Gothic" w:hAnsi="Century Gothic"/>
          <w:sz w:val="26"/>
          <w:szCs w:val="26"/>
        </w:rPr>
        <w:t>í</w:t>
      </w:r>
      <w:proofErr w:type="spellEnd"/>
      <w:r>
        <w:rPr>
          <w:rStyle w:val="Ninguno"/>
          <w:rFonts w:ascii="Century Gothic" w:hAnsi="Century Gothic"/>
          <w:sz w:val="26"/>
          <w:szCs w:val="26"/>
        </w:rPr>
        <w:t xml:space="preserve"> mismo, interpuso la improcedencia de la vía (que lo correcto era interponer la incompetencia, y así </w:t>
      </w:r>
      <w:r>
        <w:rPr>
          <w:rStyle w:val="Ninguno"/>
          <w:rFonts w:ascii="Century Gothic" w:hAnsi="Century Gothic"/>
          <w:sz w:val="26"/>
          <w:szCs w:val="26"/>
          <w:lang w:val="pt-PT"/>
        </w:rPr>
        <w:t>lo acord</w:t>
      </w:r>
      <w:proofErr w:type="spellStart"/>
      <w:r>
        <w:rPr>
          <w:rStyle w:val="Ninguno"/>
          <w:rFonts w:ascii="Century Gothic" w:hAnsi="Century Gothic"/>
          <w:sz w:val="26"/>
          <w:szCs w:val="26"/>
        </w:rPr>
        <w:t>ó</w:t>
      </w:r>
      <w:proofErr w:type="spellEnd"/>
      <w:r>
        <w:rPr>
          <w:rStyle w:val="Ninguno"/>
          <w:rFonts w:ascii="Century Gothic" w:hAnsi="Century Gothic"/>
          <w:sz w:val="26"/>
          <w:szCs w:val="26"/>
        </w:rPr>
        <w:t xml:space="preserve"> la Juez Tercero Civil), argumentando que no era competente el Tribunal para conocer del asunto ya que dicha controversia se trataba de orden laboral.</w:t>
      </w:r>
    </w:p>
    <w:p w14:paraId="50A2F3BD" w14:textId="77777777" w:rsidR="004839B9" w:rsidRDefault="00E20D7A">
      <w:pPr>
        <w:pStyle w:val="CuerpoA"/>
        <w:spacing w:line="360" w:lineRule="auto"/>
        <w:jc w:val="both"/>
        <w:rPr>
          <w:rStyle w:val="Ninguno"/>
          <w:rFonts w:ascii="Century Gothic" w:hAnsi="Century Gothic"/>
          <w:b/>
          <w:bCs/>
          <w:sz w:val="26"/>
          <w:szCs w:val="26"/>
          <w:lang w:val="de-DE"/>
        </w:rPr>
      </w:pPr>
      <w:r>
        <w:rPr>
          <w:rStyle w:val="Ninguno"/>
          <w:rFonts w:ascii="Century Gothic" w:hAnsi="Century Gothic"/>
          <w:sz w:val="26"/>
          <w:szCs w:val="26"/>
        </w:rPr>
        <w:t xml:space="preserve">La Juez Tercero Civil por audiencias, resolvió que no era procedente el litisconsorcio pasivo necesario para llamar a juicio al </w:t>
      </w:r>
      <w:r>
        <w:rPr>
          <w:rStyle w:val="Ninguno"/>
          <w:rFonts w:ascii="Century Gothic" w:hAnsi="Century Gothic"/>
          <w:b/>
          <w:bCs/>
          <w:sz w:val="26"/>
          <w:szCs w:val="26"/>
        </w:rPr>
        <w:t xml:space="preserve">INSTITUTO MEXICANO DEL SEGURO SOCIAL, </w:t>
      </w:r>
      <w:r>
        <w:rPr>
          <w:rStyle w:val="Ninguno"/>
          <w:rFonts w:ascii="Century Gothic" w:hAnsi="Century Gothic"/>
          <w:sz w:val="26"/>
          <w:szCs w:val="26"/>
        </w:rPr>
        <w:t xml:space="preserve">de dicha resolución la moral demandada interpuso apelación, donde la </w:t>
      </w:r>
      <w:r>
        <w:rPr>
          <w:rStyle w:val="Ninguno"/>
          <w:rFonts w:ascii="Century Gothic" w:hAnsi="Century Gothic"/>
          <w:b/>
          <w:bCs/>
          <w:sz w:val="26"/>
          <w:szCs w:val="26"/>
          <w:lang w:val="de-DE"/>
        </w:rPr>
        <w:t xml:space="preserve">TERCERA SALA CIVIL </w:t>
      </w:r>
    </w:p>
    <w:p w14:paraId="166D729A" w14:textId="77777777" w:rsidR="004839B9" w:rsidRDefault="004839B9">
      <w:pPr>
        <w:pStyle w:val="CuerpoA"/>
        <w:spacing w:line="360" w:lineRule="auto"/>
        <w:jc w:val="both"/>
        <w:rPr>
          <w:rStyle w:val="Ninguno"/>
          <w:rFonts w:ascii="Century Gothic" w:hAnsi="Century Gothic"/>
          <w:b/>
          <w:bCs/>
          <w:sz w:val="26"/>
          <w:szCs w:val="26"/>
          <w:lang w:val="de-DE"/>
        </w:rPr>
      </w:pPr>
    </w:p>
    <w:p w14:paraId="7FD248B8" w14:textId="77777777" w:rsidR="004839B9" w:rsidRDefault="004839B9">
      <w:pPr>
        <w:pStyle w:val="CuerpoA"/>
        <w:spacing w:line="360" w:lineRule="auto"/>
        <w:jc w:val="both"/>
        <w:rPr>
          <w:rStyle w:val="Ninguno"/>
          <w:rFonts w:ascii="Century Gothic" w:hAnsi="Century Gothic"/>
          <w:b/>
          <w:bCs/>
          <w:sz w:val="26"/>
          <w:szCs w:val="26"/>
          <w:lang w:val="de-DE"/>
        </w:rPr>
      </w:pPr>
    </w:p>
    <w:p w14:paraId="413CC5B0" w14:textId="77777777" w:rsidR="004839B9" w:rsidRDefault="004839B9">
      <w:pPr>
        <w:pStyle w:val="CuerpoA"/>
        <w:spacing w:line="360" w:lineRule="auto"/>
        <w:jc w:val="both"/>
        <w:rPr>
          <w:rStyle w:val="Ninguno"/>
          <w:rFonts w:ascii="Century Gothic" w:hAnsi="Century Gothic"/>
          <w:b/>
          <w:bCs/>
          <w:sz w:val="26"/>
          <w:szCs w:val="26"/>
          <w:lang w:val="de-DE"/>
        </w:rPr>
      </w:pPr>
    </w:p>
    <w:p w14:paraId="5378BABE" w14:textId="77777777" w:rsidR="00FE24A0" w:rsidRDefault="00E20D7A">
      <w:pPr>
        <w:pStyle w:val="CuerpoA"/>
        <w:spacing w:line="360" w:lineRule="auto"/>
        <w:jc w:val="both"/>
        <w:rPr>
          <w:rStyle w:val="Ninguno"/>
          <w:rFonts w:ascii="Century Gothic" w:eastAsia="Century Gothic" w:hAnsi="Century Gothic" w:cs="Century Gothic"/>
          <w:sz w:val="26"/>
          <w:szCs w:val="26"/>
        </w:rPr>
      </w:pPr>
      <w:r>
        <w:rPr>
          <w:rStyle w:val="Ninguno"/>
          <w:rFonts w:ascii="Century Gothic" w:hAnsi="Century Gothic"/>
          <w:b/>
          <w:bCs/>
          <w:sz w:val="26"/>
          <w:szCs w:val="26"/>
          <w:lang w:val="de-DE"/>
        </w:rPr>
        <w:t xml:space="preserve">REGIONAL, </w:t>
      </w:r>
      <w:proofErr w:type="spellStart"/>
      <w:r>
        <w:rPr>
          <w:rStyle w:val="Ninguno"/>
          <w:rFonts w:ascii="Century Gothic" w:hAnsi="Century Gothic"/>
          <w:sz w:val="26"/>
          <w:szCs w:val="26"/>
          <w:lang w:val="en-US"/>
        </w:rPr>
        <w:t>radic</w:t>
      </w:r>
      <w:r>
        <w:rPr>
          <w:rStyle w:val="Ninguno"/>
          <w:rFonts w:ascii="Century Gothic" w:hAnsi="Century Gothic"/>
          <w:sz w:val="26"/>
          <w:szCs w:val="26"/>
        </w:rPr>
        <w:t>ó</w:t>
      </w:r>
      <w:proofErr w:type="spellEnd"/>
      <w:r>
        <w:rPr>
          <w:rStyle w:val="Ninguno"/>
          <w:rFonts w:ascii="Century Gothic" w:hAnsi="Century Gothic"/>
          <w:sz w:val="26"/>
          <w:szCs w:val="26"/>
        </w:rPr>
        <w:t xml:space="preserve"> el toca número 153/2022, mismo que </w:t>
      </w:r>
      <w:r>
        <w:rPr>
          <w:rStyle w:val="Ninguno"/>
          <w:rFonts w:ascii="Century Gothic" w:hAnsi="Century Gothic"/>
          <w:sz w:val="26"/>
          <w:szCs w:val="26"/>
          <w:u w:val="single"/>
          <w:lang w:val="pt-PT"/>
        </w:rPr>
        <w:t>resolvi</w:t>
      </w:r>
      <w:proofErr w:type="spellStart"/>
      <w:r>
        <w:rPr>
          <w:rStyle w:val="Ninguno"/>
          <w:rFonts w:ascii="Century Gothic" w:hAnsi="Century Gothic"/>
          <w:sz w:val="26"/>
          <w:szCs w:val="26"/>
          <w:u w:val="single"/>
        </w:rPr>
        <w:t>ó</w:t>
      </w:r>
      <w:proofErr w:type="spellEnd"/>
      <w:r>
        <w:rPr>
          <w:rStyle w:val="Ninguno"/>
          <w:rFonts w:ascii="Century Gothic" w:hAnsi="Century Gothic"/>
          <w:sz w:val="26"/>
          <w:szCs w:val="26"/>
          <w:u w:val="single"/>
        </w:rPr>
        <w:t xml:space="preserve"> no dar entrada al litisconsorcio pasivo necesario</w:t>
      </w:r>
      <w:r>
        <w:rPr>
          <w:rStyle w:val="Ninguno"/>
          <w:rFonts w:ascii="Century Gothic" w:hAnsi="Century Gothic"/>
          <w:sz w:val="26"/>
          <w:szCs w:val="26"/>
        </w:rPr>
        <w:t xml:space="preserve">. </w:t>
      </w:r>
    </w:p>
    <w:p w14:paraId="59A0E1A4" w14:textId="77777777" w:rsidR="00FE24A0" w:rsidRDefault="00E20D7A">
      <w:pPr>
        <w:pStyle w:val="CuerpoA"/>
        <w:spacing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De la incompetencia que fue planteada por la demandada, la Juez Tercero Civil por audiencias remitió el testimonio a la segunda instancia donde la </w:t>
      </w:r>
      <w:r>
        <w:rPr>
          <w:rStyle w:val="Ninguno"/>
          <w:rFonts w:ascii="Century Gothic" w:hAnsi="Century Gothic"/>
          <w:b/>
          <w:bCs/>
          <w:sz w:val="26"/>
          <w:szCs w:val="26"/>
          <w:lang w:val="de-DE"/>
        </w:rPr>
        <w:t xml:space="preserve">TERCERA SALA CIVIL REGIONAL </w:t>
      </w:r>
      <w:proofErr w:type="spellStart"/>
      <w:r>
        <w:rPr>
          <w:rStyle w:val="Ninguno"/>
          <w:rFonts w:ascii="Century Gothic" w:hAnsi="Century Gothic"/>
          <w:sz w:val="26"/>
          <w:szCs w:val="26"/>
          <w:lang w:val="en-US"/>
        </w:rPr>
        <w:t>radic</w:t>
      </w:r>
      <w:r>
        <w:rPr>
          <w:rStyle w:val="Ninguno"/>
          <w:rFonts w:ascii="Century Gothic" w:hAnsi="Century Gothic"/>
          <w:sz w:val="26"/>
          <w:szCs w:val="26"/>
        </w:rPr>
        <w:t>ó</w:t>
      </w:r>
      <w:proofErr w:type="spellEnd"/>
      <w:r>
        <w:rPr>
          <w:rStyle w:val="Ninguno"/>
          <w:rFonts w:ascii="Century Gothic" w:hAnsi="Century Gothic"/>
          <w:sz w:val="26"/>
          <w:szCs w:val="26"/>
        </w:rPr>
        <w:t xml:space="preserve"> mediante toca número 154/2022, mismo que resolvió en fecha 16 de agosto del presente año, que el juzgado civil era competente de conocer dicho asunto, condenando en costas en dicha instancia.</w:t>
      </w:r>
    </w:p>
    <w:p w14:paraId="0BFD2986" w14:textId="77777777" w:rsidR="00FE24A0" w:rsidRDefault="00E20D7A">
      <w:pPr>
        <w:pStyle w:val="CuerpoA"/>
        <w:spacing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La empresa </w:t>
      </w:r>
      <w:r>
        <w:rPr>
          <w:rStyle w:val="Ninguno"/>
          <w:rFonts w:ascii="Century Gothic" w:hAnsi="Century Gothic"/>
          <w:b/>
          <w:bCs/>
          <w:sz w:val="26"/>
          <w:szCs w:val="26"/>
        </w:rPr>
        <w:t>ALIUM MERCAPRO</w:t>
      </w:r>
      <w:r>
        <w:rPr>
          <w:rStyle w:val="Ninguno"/>
          <w:rFonts w:ascii="Century Gothic" w:hAnsi="Century Gothic"/>
          <w:sz w:val="26"/>
          <w:szCs w:val="26"/>
        </w:rPr>
        <w:t xml:space="preserve"> inconforme con la resolución emitida por la Magistrada de la Tercera Sala Civil Regional, promovió un amparo en contra de dicha resolución, argumentando que se trasgreden sus derechos al pronunciarse la Sala en ese sentido. Bajo el amparo número 873/22 ante el Juzgado Quinto de Distrito.</w:t>
      </w:r>
    </w:p>
    <w:p w14:paraId="0A2E9E19" w14:textId="77777777" w:rsidR="004839B9" w:rsidRDefault="00E20D7A">
      <w:pPr>
        <w:pStyle w:val="CuerpoA"/>
        <w:spacing w:line="360" w:lineRule="auto"/>
        <w:jc w:val="both"/>
        <w:rPr>
          <w:rStyle w:val="Ninguno"/>
          <w:rFonts w:ascii="Century Gothic" w:hAnsi="Century Gothic"/>
          <w:sz w:val="26"/>
          <w:szCs w:val="26"/>
        </w:rPr>
      </w:pPr>
      <w:r>
        <w:rPr>
          <w:rStyle w:val="Ninguno"/>
          <w:rFonts w:ascii="Century Gothic" w:hAnsi="Century Gothic"/>
          <w:sz w:val="26"/>
          <w:szCs w:val="26"/>
        </w:rPr>
        <w:t xml:space="preserve">Asimismo, solicitó la suspensión del acto reclamado, derivado de ese mismo amparo interpuesto, con la finalidad de dilatar el procedimiento. Incidente que fue resuelto por el Juzgado Quinto de Distrito, en el sentido de negar dicha suspensión reclamada por la parte demandada </w:t>
      </w:r>
      <w:r>
        <w:rPr>
          <w:rStyle w:val="Ninguno"/>
          <w:rFonts w:ascii="Century Gothic" w:hAnsi="Century Gothic"/>
          <w:b/>
          <w:bCs/>
          <w:sz w:val="26"/>
          <w:szCs w:val="26"/>
        </w:rPr>
        <w:t xml:space="preserve">ALIUM MERCA PRO SA DE CV. </w:t>
      </w:r>
      <w:r>
        <w:rPr>
          <w:rStyle w:val="Ninguno"/>
          <w:rFonts w:ascii="Century Gothic" w:hAnsi="Century Gothic"/>
          <w:sz w:val="26"/>
          <w:szCs w:val="26"/>
        </w:rPr>
        <w:t xml:space="preserve">Inconformes con la resolución que determino el Juzgado Quinto de Distrito, la empresa </w:t>
      </w:r>
      <w:r>
        <w:rPr>
          <w:rStyle w:val="Ninguno"/>
          <w:rFonts w:ascii="Century Gothic" w:hAnsi="Century Gothic"/>
          <w:b/>
          <w:bCs/>
          <w:sz w:val="26"/>
          <w:szCs w:val="26"/>
        </w:rPr>
        <w:t>ALIUM MERCA PRO SA DE CV</w:t>
      </w:r>
      <w:r>
        <w:rPr>
          <w:rStyle w:val="Ninguno"/>
          <w:rFonts w:ascii="Century Gothic" w:hAnsi="Century Gothic"/>
          <w:sz w:val="26"/>
          <w:szCs w:val="26"/>
        </w:rPr>
        <w:t xml:space="preserve"> interpuso un </w:t>
      </w:r>
      <w:r>
        <w:rPr>
          <w:rStyle w:val="Ninguno"/>
          <w:rFonts w:ascii="Century Gothic" w:hAnsi="Century Gothic"/>
          <w:b/>
          <w:bCs/>
          <w:sz w:val="26"/>
          <w:szCs w:val="26"/>
        </w:rPr>
        <w:t>RECURSO DE QUEJA</w:t>
      </w:r>
      <w:r>
        <w:rPr>
          <w:rStyle w:val="Ninguno"/>
          <w:rFonts w:ascii="Century Gothic" w:hAnsi="Century Gothic"/>
          <w:sz w:val="26"/>
          <w:szCs w:val="26"/>
        </w:rPr>
        <w:t xml:space="preserve">, mismo que se encuentra actualmente en estudio para posteriormente resolver. Hasta este momento, el asunto se encuentra suspendido ya que la Juez Tercera Civil por audiencias, dice que hasta que sea </w:t>
      </w:r>
    </w:p>
    <w:p w14:paraId="3973E333" w14:textId="77777777" w:rsidR="004839B9" w:rsidRDefault="004839B9">
      <w:pPr>
        <w:pStyle w:val="CuerpoA"/>
        <w:spacing w:line="360" w:lineRule="auto"/>
        <w:jc w:val="both"/>
        <w:rPr>
          <w:rStyle w:val="Ninguno"/>
          <w:rFonts w:ascii="Century Gothic" w:hAnsi="Century Gothic"/>
          <w:sz w:val="26"/>
          <w:szCs w:val="26"/>
        </w:rPr>
      </w:pPr>
    </w:p>
    <w:p w14:paraId="2DDFE542" w14:textId="77777777" w:rsidR="00FE24A0" w:rsidRDefault="00E20D7A">
      <w:pPr>
        <w:pStyle w:val="CuerpoA"/>
        <w:spacing w:line="360" w:lineRule="auto"/>
        <w:jc w:val="both"/>
        <w:rPr>
          <w:rStyle w:val="Ninguno"/>
          <w:rFonts w:ascii="Century Gothic" w:eastAsia="Century Gothic" w:hAnsi="Century Gothic" w:cs="Century Gothic"/>
          <w:b/>
          <w:bCs/>
          <w:sz w:val="26"/>
          <w:szCs w:val="26"/>
        </w:rPr>
      </w:pPr>
      <w:r>
        <w:rPr>
          <w:rStyle w:val="Ninguno"/>
          <w:rFonts w:ascii="Century Gothic" w:hAnsi="Century Gothic"/>
          <w:sz w:val="26"/>
          <w:szCs w:val="26"/>
        </w:rPr>
        <w:t>resu</w:t>
      </w:r>
      <w:r w:rsidR="00AC13B6">
        <w:rPr>
          <w:rStyle w:val="Ninguno"/>
          <w:rFonts w:ascii="Century Gothic" w:hAnsi="Century Gothic"/>
          <w:sz w:val="26"/>
          <w:szCs w:val="26"/>
        </w:rPr>
        <w:t>e</w:t>
      </w:r>
      <w:r>
        <w:rPr>
          <w:rStyle w:val="Ninguno"/>
          <w:rFonts w:ascii="Century Gothic" w:hAnsi="Century Gothic"/>
          <w:sz w:val="26"/>
          <w:szCs w:val="26"/>
        </w:rPr>
        <w:t>lto el amparo, se continuará con las etapas procesales, aún y cuando la suspensión del acto reclamado fue negada a la moral demanda.</w:t>
      </w:r>
    </w:p>
    <w:p w14:paraId="016AE4A1" w14:textId="77777777" w:rsidR="00FE24A0" w:rsidRDefault="00E20D7A">
      <w:pPr>
        <w:pStyle w:val="CuerpoAA"/>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Por lo anteriormente expuesto, con fundamento en lo dispuesto por los artículos 68 fracción I, de la Constitución</w:t>
      </w:r>
      <w:r>
        <w:rPr>
          <w:rStyle w:val="Ninguno"/>
          <w:rFonts w:ascii="Century Gothic" w:hAnsi="Century Gothic"/>
          <w:sz w:val="26"/>
          <w:szCs w:val="26"/>
          <w:lang w:val="de-DE"/>
        </w:rPr>
        <w:t xml:space="preserve"> Pol</w:t>
      </w:r>
      <w:proofErr w:type="spellStart"/>
      <w:r>
        <w:rPr>
          <w:rStyle w:val="Ninguno"/>
          <w:rFonts w:ascii="Century Gothic" w:hAnsi="Century Gothic"/>
          <w:sz w:val="26"/>
          <w:szCs w:val="26"/>
        </w:rPr>
        <w:t>ítica</w:t>
      </w:r>
      <w:proofErr w:type="spellEnd"/>
      <w:r>
        <w:rPr>
          <w:rStyle w:val="Ninguno"/>
          <w:rFonts w:ascii="Century Gothic" w:hAnsi="Century Gothic"/>
          <w:sz w:val="26"/>
          <w:szCs w:val="26"/>
        </w:rPr>
        <w:t xml:space="preserve"> del Estado de Chihuahua, 167 fracción I, de la Ley Orgánica del Poder Legislativo; así como los numerales 75 y 76 del Reglamento Interior y de Prácticas Parlamentarias del Poder Legislativo, someto a consideración de esta Honorable Asamblea el siguiente proyecto de:</w:t>
      </w:r>
    </w:p>
    <w:p w14:paraId="7CD1AB2F" w14:textId="77777777" w:rsidR="00477109" w:rsidRDefault="00477109">
      <w:pPr>
        <w:pStyle w:val="CuerpoAA"/>
        <w:spacing w:after="0" w:line="360" w:lineRule="auto"/>
        <w:jc w:val="center"/>
        <w:rPr>
          <w:rStyle w:val="Ninguno"/>
          <w:b/>
          <w:bCs/>
          <w:sz w:val="26"/>
          <w:szCs w:val="26"/>
        </w:rPr>
      </w:pPr>
    </w:p>
    <w:p w14:paraId="12A11AD8" w14:textId="77777777" w:rsidR="00FE24A0" w:rsidRDefault="00E20D7A">
      <w:pPr>
        <w:pStyle w:val="CuerpoAA"/>
        <w:spacing w:after="0" w:line="360" w:lineRule="auto"/>
        <w:jc w:val="center"/>
        <w:rPr>
          <w:rStyle w:val="Ninguno"/>
          <w:b/>
          <w:bCs/>
          <w:sz w:val="26"/>
          <w:szCs w:val="26"/>
        </w:rPr>
      </w:pPr>
      <w:r>
        <w:rPr>
          <w:rStyle w:val="Ninguno"/>
          <w:b/>
          <w:bCs/>
          <w:sz w:val="26"/>
          <w:szCs w:val="26"/>
        </w:rPr>
        <w:t>Proposición con carácter de:</w:t>
      </w:r>
    </w:p>
    <w:p w14:paraId="498F9DB8" w14:textId="77777777" w:rsidR="00FE24A0" w:rsidRDefault="00E20D7A">
      <w:pPr>
        <w:pStyle w:val="CuerpoAA"/>
        <w:spacing w:after="0" w:line="360" w:lineRule="auto"/>
        <w:jc w:val="center"/>
        <w:rPr>
          <w:rStyle w:val="Ninguno"/>
          <w:b/>
          <w:bCs/>
          <w:sz w:val="26"/>
          <w:szCs w:val="26"/>
        </w:rPr>
      </w:pPr>
      <w:r>
        <w:rPr>
          <w:rStyle w:val="Ninguno"/>
          <w:b/>
          <w:bCs/>
          <w:sz w:val="26"/>
          <w:szCs w:val="26"/>
        </w:rPr>
        <w:t>PUNTO DE ACUERDO:</w:t>
      </w:r>
    </w:p>
    <w:p w14:paraId="25A2801A" w14:textId="77777777" w:rsidR="00FE24A0" w:rsidRDefault="00E20D7A">
      <w:pPr>
        <w:pStyle w:val="CuerpoB"/>
        <w:spacing w:after="16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rPr>
        <w:t>UNICO. –  La Sexagésima Séptima Legislatura del H. Congreso del Estado de Chihuahua, exhorta</w:t>
      </w:r>
      <w:r>
        <w:rPr>
          <w:rStyle w:val="Ninguno"/>
          <w:rFonts w:ascii="Century Gothic" w:hAnsi="Century Gothic"/>
          <w:sz w:val="26"/>
          <w:szCs w:val="26"/>
        </w:rPr>
        <w:t xml:space="preserve"> </w:t>
      </w:r>
      <w:r>
        <w:rPr>
          <w:rStyle w:val="Ninguno"/>
          <w:rFonts w:ascii="Century Gothic" w:hAnsi="Century Gothic"/>
          <w:b/>
          <w:bCs/>
          <w:sz w:val="26"/>
          <w:szCs w:val="26"/>
        </w:rPr>
        <w:t xml:space="preserve">a la Secretaria del Trabajo y Previsión Social del Estado de Chihuahua a que realicen una inspección urgente de seguridad laboral correspondiente y verifique que la empresa ALIUM MERCAPRO S.A DE C.V ha corregido las fallas en sus equipos de proceso  y que cuenta con las medidas de protocolos establecidos de acuerdo a su objeto social. </w:t>
      </w:r>
    </w:p>
    <w:p w14:paraId="66191A45" w14:textId="77777777" w:rsidR="00FE24A0" w:rsidRDefault="00E20D7A">
      <w:pPr>
        <w:pStyle w:val="CuerpoB"/>
        <w:spacing w:after="16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D A D O en el recinto oficial del Pod</w:t>
      </w:r>
      <w:r w:rsidR="005567A7">
        <w:rPr>
          <w:rStyle w:val="Ninguno"/>
          <w:rFonts w:ascii="Century Gothic" w:hAnsi="Century Gothic"/>
          <w:sz w:val="26"/>
          <w:szCs w:val="26"/>
        </w:rPr>
        <w:t>er Legislativo, a los 19</w:t>
      </w:r>
      <w:r>
        <w:rPr>
          <w:rStyle w:val="Ninguno"/>
          <w:rFonts w:ascii="Century Gothic" w:hAnsi="Century Gothic"/>
          <w:sz w:val="26"/>
          <w:szCs w:val="26"/>
        </w:rPr>
        <w:t xml:space="preserve"> días del mes de septiembre de dos mil veintitrés.</w:t>
      </w:r>
    </w:p>
    <w:p w14:paraId="6C11A513" w14:textId="77777777" w:rsidR="00FE24A0" w:rsidRDefault="00E20D7A">
      <w:pPr>
        <w:pStyle w:val="CuerpoAA"/>
        <w:spacing w:after="0" w:line="360" w:lineRule="auto"/>
        <w:jc w:val="center"/>
        <w:rPr>
          <w:rStyle w:val="Ninguno"/>
          <w:b/>
          <w:bCs/>
          <w:sz w:val="26"/>
          <w:szCs w:val="26"/>
        </w:rPr>
      </w:pPr>
      <w:r>
        <w:rPr>
          <w:rStyle w:val="Ninguno"/>
          <w:b/>
          <w:bCs/>
          <w:sz w:val="26"/>
          <w:szCs w:val="26"/>
        </w:rPr>
        <w:t>ATENTAMENTE</w:t>
      </w:r>
    </w:p>
    <w:p w14:paraId="7BF6CC33" w14:textId="77777777" w:rsidR="00FE24A0" w:rsidRDefault="00FE24A0">
      <w:pPr>
        <w:pStyle w:val="CuerpoAA"/>
        <w:spacing w:after="0" w:line="360" w:lineRule="auto"/>
        <w:jc w:val="center"/>
        <w:rPr>
          <w:rStyle w:val="Ninguno"/>
          <w:b/>
          <w:bCs/>
          <w:sz w:val="26"/>
          <w:szCs w:val="26"/>
        </w:rPr>
      </w:pPr>
    </w:p>
    <w:p w14:paraId="4604BBEF" w14:textId="77777777" w:rsidR="00FE24A0" w:rsidRDefault="00FE24A0">
      <w:pPr>
        <w:pStyle w:val="CuerpoAA"/>
        <w:spacing w:after="0" w:line="360" w:lineRule="auto"/>
        <w:jc w:val="center"/>
        <w:rPr>
          <w:rStyle w:val="Ninguno"/>
          <w:b/>
          <w:bCs/>
          <w:sz w:val="26"/>
          <w:szCs w:val="26"/>
        </w:rPr>
      </w:pPr>
    </w:p>
    <w:p w14:paraId="3EAA9FF5" w14:textId="77777777" w:rsidR="00FE24A0" w:rsidRDefault="00E20D7A">
      <w:pPr>
        <w:pStyle w:val="CuerpoAA"/>
        <w:spacing w:after="0" w:line="360" w:lineRule="auto"/>
        <w:jc w:val="center"/>
        <w:rPr>
          <w:rStyle w:val="Ninguno"/>
          <w:b/>
          <w:bCs/>
          <w:sz w:val="26"/>
          <w:szCs w:val="26"/>
        </w:rPr>
      </w:pPr>
      <w:r>
        <w:rPr>
          <w:rStyle w:val="Ninguno"/>
          <w:b/>
          <w:bCs/>
          <w:sz w:val="26"/>
          <w:szCs w:val="26"/>
        </w:rPr>
        <w:t>DIP.MARIA ANTONIETA PEREZ REYES</w:t>
      </w:r>
    </w:p>
    <w:sectPr w:rsidR="00FE24A0">
      <w:head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FBE4" w14:textId="77777777" w:rsidR="001C54FA" w:rsidRDefault="00E20D7A">
      <w:r>
        <w:separator/>
      </w:r>
    </w:p>
  </w:endnote>
  <w:endnote w:type="continuationSeparator" w:id="0">
    <w:p w14:paraId="0A95649F" w14:textId="77777777" w:rsidR="001C54FA" w:rsidRDefault="00E2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5CF5" w14:textId="77777777" w:rsidR="001C54FA" w:rsidRDefault="00E20D7A">
      <w:r>
        <w:separator/>
      </w:r>
    </w:p>
  </w:footnote>
  <w:footnote w:type="continuationSeparator" w:id="0">
    <w:p w14:paraId="073F0388" w14:textId="77777777" w:rsidR="001C54FA" w:rsidRDefault="00E2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B593" w14:textId="77777777" w:rsidR="00FE24A0" w:rsidRDefault="00E20D7A">
    <w:pPr>
      <w:pStyle w:val="Encabezado"/>
      <w:tabs>
        <w:tab w:val="clear" w:pos="8838"/>
        <w:tab w:val="right" w:pos="8818"/>
      </w:tabs>
      <w:jc w:val="right"/>
      <w:rPr>
        <w:rStyle w:val="Ninguno"/>
        <w:rFonts w:ascii="Century Gothic" w:eastAsia="Century Gothic" w:hAnsi="Century Gothic" w:cs="Century Gothic"/>
        <w:i/>
        <w:iCs/>
        <w:sz w:val="24"/>
        <w:szCs w:val="24"/>
      </w:rPr>
    </w:pPr>
    <w:r>
      <w:rPr>
        <w:rStyle w:val="Ninguno"/>
        <w:rFonts w:ascii="Century Gothic" w:hAnsi="Century Gothic"/>
        <w:i/>
        <w:iCs/>
        <w:sz w:val="24"/>
        <w:szCs w:val="24"/>
      </w:rPr>
      <w:t>“2023, Centenario de la muerte del General Francisco Villa”</w:t>
    </w:r>
  </w:p>
  <w:p w14:paraId="605D87DD" w14:textId="77777777" w:rsidR="00FE24A0" w:rsidRDefault="00E20D7A">
    <w:pPr>
      <w:pStyle w:val="Encabezado"/>
      <w:tabs>
        <w:tab w:val="clear" w:pos="8838"/>
        <w:tab w:val="right" w:pos="8818"/>
      </w:tabs>
      <w:jc w:val="right"/>
    </w:pPr>
    <w:r>
      <w:rPr>
        <w:rStyle w:val="Ninguno"/>
        <w:rFonts w:ascii="Century Gothic" w:hAnsi="Century Gothic"/>
        <w:i/>
        <w:iCs/>
        <w:sz w:val="24"/>
        <w:szCs w:val="24"/>
      </w:rPr>
      <w:t xml:space="preserve">“2023, Cien años del </w:t>
    </w:r>
    <w:proofErr w:type="spellStart"/>
    <w:r>
      <w:rPr>
        <w:rStyle w:val="Ninguno"/>
        <w:rFonts w:ascii="Century Gothic" w:hAnsi="Century Gothic"/>
        <w:i/>
        <w:iCs/>
        <w:sz w:val="24"/>
        <w:szCs w:val="24"/>
      </w:rPr>
      <w:t>Rotarismo</w:t>
    </w:r>
    <w:proofErr w:type="spellEnd"/>
    <w:r>
      <w:rPr>
        <w:rStyle w:val="Ninguno"/>
        <w:rFonts w:ascii="Century Gothic" w:hAnsi="Century Gothic"/>
        <w:i/>
        <w:iCs/>
        <w:sz w:val="24"/>
        <w:szCs w:val="24"/>
      </w:rPr>
      <w:t xml:space="preserve"> en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A0"/>
    <w:rsid w:val="000D75EE"/>
    <w:rsid w:val="001C54FA"/>
    <w:rsid w:val="003B0B89"/>
    <w:rsid w:val="003E7E8A"/>
    <w:rsid w:val="004703EC"/>
    <w:rsid w:val="00477109"/>
    <w:rsid w:val="004839B9"/>
    <w:rsid w:val="005567A7"/>
    <w:rsid w:val="006D6B68"/>
    <w:rsid w:val="00AC13B6"/>
    <w:rsid w:val="00B14205"/>
    <w:rsid w:val="00C54246"/>
    <w:rsid w:val="00C67AD0"/>
    <w:rsid w:val="00D370EF"/>
    <w:rsid w:val="00E20D7A"/>
    <w:rsid w:val="00FE2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734D"/>
  <w15:docId w15:val="{8565697E-ED1B-4A92-BF5F-8F73BD38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A"/>
    <w:pPr>
      <w:keepNext/>
      <w:keepLines/>
      <w:spacing w:before="240"/>
      <w:outlineLvl w:val="0"/>
    </w:pPr>
    <w:rPr>
      <w:rFonts w:ascii="Calibri Light" w:eastAsia="Calibri Light" w:hAnsi="Calibri Light" w:cs="Calibri Light"/>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AA">
    <w:name w:val="Cuerpo A A"/>
    <w:pPr>
      <w:spacing w:after="160" w:line="259" w:lineRule="auto"/>
    </w:pPr>
    <w:rPr>
      <w:rFonts w:ascii="Calibri" w:eastAsia="Calibri" w:hAnsi="Calibri" w:cs="Calibri"/>
      <w:color w:val="000000"/>
      <w:sz w:val="22"/>
      <w:szCs w:val="22"/>
      <w:u w:color="000000"/>
      <w:lang w:val="es-ES_tradnl"/>
    </w:rPr>
  </w:style>
  <w:style w:type="paragraph" w:customStyle="1" w:styleId="CuerpoB">
    <w:name w:val="Cuerpo B"/>
    <w:rPr>
      <w:rFonts w:cs="Arial Unicode MS"/>
      <w:color w:val="000000"/>
      <w:sz w:val="24"/>
      <w:szCs w:val="24"/>
      <w:u w:color="000000"/>
      <w:lang w:val="es-ES_tradnl"/>
    </w:rPr>
  </w:style>
  <w:style w:type="paragraph" w:styleId="Piedepgina">
    <w:name w:val="footer"/>
    <w:basedOn w:val="Normal"/>
    <w:link w:val="PiedepginaCar"/>
    <w:uiPriority w:val="99"/>
    <w:unhideWhenUsed/>
    <w:rsid w:val="00C67AD0"/>
    <w:pPr>
      <w:tabs>
        <w:tab w:val="center" w:pos="4419"/>
        <w:tab w:val="right" w:pos="8838"/>
      </w:tabs>
    </w:pPr>
  </w:style>
  <w:style w:type="character" w:customStyle="1" w:styleId="PiedepginaCar">
    <w:name w:val="Pie de página Car"/>
    <w:basedOn w:val="Fuentedeprrafopredeter"/>
    <w:link w:val="Piedepgina"/>
    <w:uiPriority w:val="99"/>
    <w:rsid w:val="00C67AD0"/>
    <w:rPr>
      <w:sz w:val="24"/>
      <w:szCs w:val="24"/>
      <w:lang w:val="en-US" w:eastAsia="en-US"/>
    </w:rPr>
  </w:style>
  <w:style w:type="paragraph" w:styleId="Textodeglobo">
    <w:name w:val="Balloon Text"/>
    <w:basedOn w:val="Normal"/>
    <w:link w:val="TextodegloboCar"/>
    <w:uiPriority w:val="99"/>
    <w:semiHidden/>
    <w:unhideWhenUsed/>
    <w:rsid w:val="00C67A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AD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B306-727C-4FEB-A165-8B50B376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Cortes Duran</dc:creator>
  <cp:lastModifiedBy>Brenda Sarahi Gonzalez Dominguez</cp:lastModifiedBy>
  <cp:revision>2</cp:revision>
  <cp:lastPrinted>2023-09-18T23:11:00Z</cp:lastPrinted>
  <dcterms:created xsi:type="dcterms:W3CDTF">2023-09-19T15:06:00Z</dcterms:created>
  <dcterms:modified xsi:type="dcterms:W3CDTF">2023-09-19T15:06:00Z</dcterms:modified>
</cp:coreProperties>
</file>