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1386" w14:textId="77777777" w:rsidR="00EF6228" w:rsidRPr="00AF1108" w:rsidRDefault="00EF6228" w:rsidP="00EF6228">
      <w:pPr>
        <w:spacing w:line="360" w:lineRule="auto"/>
        <w:jc w:val="both"/>
        <w:rPr>
          <w:rFonts w:ascii="Century Gothic" w:eastAsia="Arial" w:hAnsi="Century Gothic" w:cs="Arial"/>
        </w:rPr>
      </w:pPr>
      <w:r w:rsidRPr="00AF1108">
        <w:rPr>
          <w:rFonts w:ascii="Century Gothic" w:eastAsia="Arial" w:hAnsi="Century Gothic" w:cs="Arial"/>
          <w:b/>
          <w:color w:val="000000"/>
        </w:rPr>
        <w:t xml:space="preserve">H. CONGRESO DEL ESTADO </w:t>
      </w:r>
    </w:p>
    <w:p w14:paraId="4D2CCC61" w14:textId="77777777" w:rsidR="00EF6228" w:rsidRPr="00AF1108" w:rsidRDefault="00EF6228" w:rsidP="00EF6228">
      <w:pPr>
        <w:spacing w:line="360" w:lineRule="auto"/>
        <w:jc w:val="both"/>
        <w:rPr>
          <w:rFonts w:ascii="Century Gothic" w:eastAsia="Arial" w:hAnsi="Century Gothic" w:cs="Arial"/>
          <w:b/>
          <w:color w:val="000000"/>
        </w:rPr>
      </w:pPr>
      <w:r w:rsidRPr="00AF1108">
        <w:rPr>
          <w:rFonts w:ascii="Century Gothic" w:eastAsia="Arial" w:hAnsi="Century Gothic" w:cs="Arial"/>
          <w:b/>
          <w:color w:val="000000"/>
        </w:rPr>
        <w:t>PRESENTE.-</w:t>
      </w:r>
    </w:p>
    <w:p w14:paraId="4AA970C4" w14:textId="5DF25842" w:rsidR="00EF6228" w:rsidRDefault="00EF6228" w:rsidP="00EF6228">
      <w:pPr>
        <w:spacing w:line="360" w:lineRule="auto"/>
        <w:jc w:val="both"/>
        <w:rPr>
          <w:rFonts w:ascii="Century Gothic" w:eastAsia="Arial" w:hAnsi="Century Gothic" w:cs="Arial"/>
          <w:color w:val="000000"/>
        </w:rPr>
      </w:pPr>
      <w:r w:rsidRPr="00AF1108">
        <w:rPr>
          <w:rFonts w:ascii="Century Gothic" w:eastAsia="Arial" w:hAnsi="Century Gothic" w:cs="Arial"/>
        </w:rPr>
        <w:br/>
      </w:r>
      <w:r w:rsidRPr="00AF1108">
        <w:rPr>
          <w:rFonts w:ascii="Century Gothic" w:eastAsia="Arial" w:hAnsi="Century Gothic" w:cs="Arial"/>
          <w:color w:val="000000"/>
        </w:rPr>
        <w:t xml:space="preserve">La suscrita </w:t>
      </w:r>
      <w:r w:rsidRPr="00AF1108">
        <w:rPr>
          <w:rFonts w:ascii="Century Gothic" w:eastAsia="Arial" w:hAnsi="Century Gothic" w:cs="Arial"/>
          <w:b/>
          <w:color w:val="000000"/>
        </w:rPr>
        <w:t>Yesenia Guadalupe Reyes Calzadías</w:t>
      </w:r>
      <w:r w:rsidRPr="00AF1108">
        <w:rPr>
          <w:rFonts w:ascii="Century Gothic" w:eastAsia="Arial" w:hAnsi="Century Gothic" w:cs="Arial"/>
          <w:color w:val="000000"/>
        </w:rPr>
        <w:t xml:space="preserve">, en mi carácter de diputada de la Sexagésima Séptima Legislatura Constitucional del Estado de Chihuahua, en representación del Grupo Parlamentario Acción Nacional </w:t>
      </w:r>
      <w:r w:rsidR="00EF3C42">
        <w:rPr>
          <w:rFonts w:ascii="Century Gothic" w:eastAsia="Arial" w:hAnsi="Century Gothic" w:cs="Arial"/>
          <w:color w:val="000000"/>
        </w:rPr>
        <w:t xml:space="preserve">y </w:t>
      </w:r>
      <w:r w:rsidRPr="00AF1108">
        <w:rPr>
          <w:rFonts w:ascii="Century Gothic" w:eastAsia="Arial" w:hAnsi="Century Gothic" w:cs="Arial"/>
          <w:color w:val="000000"/>
        </w:rPr>
        <w:t>con fundamento en lo</w:t>
      </w:r>
      <w:r w:rsidR="00EF3C42">
        <w:rPr>
          <w:rFonts w:ascii="Century Gothic" w:eastAsia="Arial" w:hAnsi="Century Gothic" w:cs="Arial"/>
          <w:color w:val="000000"/>
        </w:rPr>
        <w:t xml:space="preserve"> </w:t>
      </w:r>
      <w:r w:rsidRPr="00AF1108">
        <w:rPr>
          <w:rFonts w:ascii="Century Gothic" w:eastAsia="Arial" w:hAnsi="Century Gothic" w:cs="Arial"/>
          <w:color w:val="000000"/>
        </w:rPr>
        <w:t>disp</w:t>
      </w:r>
      <w:r w:rsidR="00EF3C42">
        <w:rPr>
          <w:rFonts w:ascii="Century Gothic" w:eastAsia="Arial" w:hAnsi="Century Gothic" w:cs="Arial"/>
          <w:color w:val="000000"/>
        </w:rPr>
        <w:t>uesto en</w:t>
      </w:r>
      <w:r w:rsidRPr="00AF1108">
        <w:rPr>
          <w:rFonts w:ascii="Century Gothic" w:eastAsia="Arial" w:hAnsi="Century Gothic" w:cs="Arial"/>
          <w:color w:val="000000"/>
        </w:rPr>
        <w:t xml:space="preserve"> los artículos 167, fracción I, y 169, todos de la Ley Orgánica del Poder Legislativo del Estado de Chihuahua; artículo 2, fracción IX, del Reglamento Interior y de Prácticas Parlamentarias del Poder Legislativo; comparezco  ante est</w:t>
      </w:r>
      <w:r>
        <w:rPr>
          <w:rFonts w:ascii="Century Gothic" w:eastAsia="Arial" w:hAnsi="Century Gothic" w:cs="Arial"/>
          <w:color w:val="000000"/>
        </w:rPr>
        <w:t>a</w:t>
      </w:r>
      <w:r w:rsidRPr="00AF1108">
        <w:rPr>
          <w:rFonts w:ascii="Century Gothic" w:eastAsia="Arial" w:hAnsi="Century Gothic" w:cs="Arial"/>
          <w:color w:val="000000"/>
        </w:rPr>
        <w:t xml:space="preserve"> Honorable Soberanía, a fin de presentar</w:t>
      </w:r>
      <w:r w:rsidRPr="00AF1108">
        <w:rPr>
          <w:rFonts w:ascii="Century Gothic" w:eastAsia="Arial" w:hAnsi="Century Gothic" w:cs="Arial"/>
          <w:b/>
          <w:color w:val="000000"/>
        </w:rPr>
        <w:t xml:space="preserve"> </w:t>
      </w:r>
      <w:r w:rsidR="00E12ED9" w:rsidRPr="00E12ED9">
        <w:rPr>
          <w:rFonts w:ascii="Century Gothic" w:eastAsia="Arial" w:hAnsi="Century Gothic" w:cs="Arial"/>
          <w:b/>
          <w:color w:val="000000"/>
        </w:rPr>
        <w:t xml:space="preserve">Iniciativa con carácter de Decreto que reforma el artículo 5, fracción </w:t>
      </w:r>
      <w:r w:rsidR="004D0149">
        <w:rPr>
          <w:rFonts w:ascii="Century Gothic" w:eastAsia="Arial" w:hAnsi="Century Gothic" w:cs="Arial"/>
          <w:b/>
          <w:color w:val="000000"/>
        </w:rPr>
        <w:t>I</w:t>
      </w:r>
      <w:r w:rsidR="00E12ED9" w:rsidRPr="00E12ED9">
        <w:rPr>
          <w:rFonts w:ascii="Century Gothic" w:eastAsia="Arial" w:hAnsi="Century Gothic" w:cs="Arial"/>
          <w:b/>
          <w:color w:val="000000"/>
        </w:rPr>
        <w:t xml:space="preserve">V, de la Ley Estatal del Derecho de las Mujeres a una Vida Libre de Violencia, a fin de adicionar el incumplimiento de la obligación alimentaria como parte de la violencia </w:t>
      </w:r>
      <w:r w:rsidR="004D0149" w:rsidRPr="004D0149">
        <w:rPr>
          <w:rFonts w:ascii="Century Gothic" w:eastAsia="Arial" w:hAnsi="Century Gothic" w:cs="Arial"/>
          <w:b/>
          <w:color w:val="000000"/>
        </w:rPr>
        <w:t>patrimonial</w:t>
      </w:r>
      <w:r w:rsidR="00E12ED9" w:rsidRPr="00E12ED9">
        <w:rPr>
          <w:rFonts w:ascii="Century Gothic" w:eastAsia="Arial" w:hAnsi="Century Gothic" w:cs="Arial"/>
          <w:b/>
          <w:color w:val="000000"/>
        </w:rPr>
        <w:t xml:space="preserve"> en contra de las mujeres</w:t>
      </w:r>
      <w:r w:rsidR="007E4AC7">
        <w:rPr>
          <w:rFonts w:ascii="Century Gothic" w:eastAsia="Arial" w:hAnsi="Century Gothic" w:cs="Arial"/>
          <w:b/>
        </w:rPr>
        <w:t>,</w:t>
      </w:r>
      <w:r w:rsidR="00E24C51">
        <w:rPr>
          <w:rFonts w:ascii="Century Gothic" w:eastAsia="Arial" w:hAnsi="Century Gothic" w:cs="Arial"/>
          <w:b/>
        </w:rPr>
        <w:t xml:space="preserve"> </w:t>
      </w:r>
      <w:r w:rsidR="000D537E">
        <w:rPr>
          <w:rFonts w:ascii="Century Gothic" w:eastAsia="Arial" w:hAnsi="Century Gothic" w:cs="Arial"/>
          <w:b/>
        </w:rPr>
        <w:t xml:space="preserve"> </w:t>
      </w:r>
      <w:r w:rsidR="000D537E">
        <w:rPr>
          <w:rFonts w:ascii="Century Gothic" w:eastAsia="Arial" w:hAnsi="Century Gothic" w:cs="Arial"/>
          <w:color w:val="000000"/>
        </w:rPr>
        <w:t>A</w:t>
      </w:r>
      <w:r w:rsidRPr="00AF1108">
        <w:rPr>
          <w:rFonts w:ascii="Century Gothic" w:eastAsia="Arial" w:hAnsi="Century Gothic" w:cs="Arial"/>
          <w:color w:val="000000"/>
        </w:rPr>
        <w:t>l tenor de la siguiente:</w:t>
      </w:r>
    </w:p>
    <w:p w14:paraId="6157ECA3" w14:textId="77777777" w:rsidR="00EF6228" w:rsidRPr="00AF1108" w:rsidRDefault="00EF6228" w:rsidP="00EF6228">
      <w:pPr>
        <w:spacing w:line="360" w:lineRule="auto"/>
        <w:jc w:val="both"/>
        <w:rPr>
          <w:rFonts w:ascii="Century Gothic" w:eastAsia="Arial" w:hAnsi="Century Gothic" w:cs="Arial"/>
          <w:color w:val="000000"/>
        </w:rPr>
      </w:pPr>
    </w:p>
    <w:p w14:paraId="051E1677" w14:textId="77777777" w:rsidR="00EF6228" w:rsidRDefault="00EF6228" w:rsidP="00EF6228">
      <w:pPr>
        <w:spacing w:line="360" w:lineRule="auto"/>
        <w:jc w:val="center"/>
        <w:rPr>
          <w:rFonts w:ascii="Century Gothic" w:eastAsia="Arial" w:hAnsi="Century Gothic" w:cs="Arial"/>
          <w:b/>
          <w:color w:val="000000"/>
        </w:rPr>
      </w:pPr>
      <w:r w:rsidRPr="00AF1108">
        <w:rPr>
          <w:rFonts w:ascii="Century Gothic" w:eastAsia="Arial" w:hAnsi="Century Gothic" w:cs="Arial"/>
          <w:b/>
          <w:color w:val="000000"/>
        </w:rPr>
        <w:t>EXPOSICIÓN DE MOTIVOS</w:t>
      </w:r>
    </w:p>
    <w:p w14:paraId="6E508043" w14:textId="77777777" w:rsidR="00DB1DCF" w:rsidRDefault="00DB1DCF" w:rsidP="00E12ED9">
      <w:pPr>
        <w:spacing w:line="360" w:lineRule="auto"/>
        <w:jc w:val="both"/>
        <w:rPr>
          <w:rFonts w:ascii="Century Gothic" w:eastAsia="Arial" w:hAnsi="Century Gothic" w:cs="Arial"/>
          <w:color w:val="000000"/>
        </w:rPr>
      </w:pPr>
    </w:p>
    <w:p w14:paraId="40F1724D" w14:textId="574DC7E1"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El objetivo primordial de la presente Iniciativa es garantizar la protección de dos derechos humanos fundamentales: </w:t>
      </w:r>
    </w:p>
    <w:p w14:paraId="09BAC04A" w14:textId="77777777" w:rsidR="00E12ED9" w:rsidRPr="00E12ED9" w:rsidRDefault="00E12ED9" w:rsidP="00E12ED9">
      <w:pPr>
        <w:spacing w:line="360" w:lineRule="auto"/>
        <w:jc w:val="both"/>
        <w:rPr>
          <w:rFonts w:ascii="Century Gothic" w:eastAsia="Arial" w:hAnsi="Century Gothic" w:cs="Arial"/>
          <w:color w:val="000000"/>
        </w:rPr>
      </w:pPr>
    </w:p>
    <w:p w14:paraId="5C6F9D9D" w14:textId="617E2929"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lastRenderedPageBreak/>
        <w:t xml:space="preserve">Primero: </w:t>
      </w:r>
      <w:r w:rsidRPr="00D7507B">
        <w:rPr>
          <w:rFonts w:ascii="Century Gothic" w:eastAsia="Arial" w:hAnsi="Century Gothic" w:cs="Arial"/>
          <w:color w:val="000000"/>
          <w:u w:val="single"/>
        </w:rPr>
        <w:t>el derecho a la alimentación</w:t>
      </w:r>
      <w:r w:rsidR="00D7507B">
        <w:rPr>
          <w:rFonts w:ascii="Century Gothic" w:eastAsia="Arial" w:hAnsi="Century Gothic" w:cs="Arial"/>
          <w:color w:val="000000"/>
          <w:u w:val="single"/>
        </w:rPr>
        <w:t xml:space="preserve"> digna</w:t>
      </w:r>
      <w:r w:rsidRPr="00D7507B">
        <w:rPr>
          <w:rFonts w:ascii="Century Gothic" w:eastAsia="Arial" w:hAnsi="Century Gothic" w:cs="Arial"/>
          <w:color w:val="000000"/>
          <w:u w:val="single"/>
        </w:rPr>
        <w:t xml:space="preserve"> de las niñas, niños y adolescentes</w:t>
      </w:r>
      <w:r w:rsidRPr="00E12ED9">
        <w:rPr>
          <w:rFonts w:ascii="Century Gothic" w:eastAsia="Arial" w:hAnsi="Century Gothic" w:cs="Arial"/>
          <w:color w:val="000000"/>
        </w:rPr>
        <w:t xml:space="preserve">, quienes son considerados como grupo prioritario debido a su condición de vulnerabilidad y a que se encuentran sujetos a tutela. Y, </w:t>
      </w:r>
    </w:p>
    <w:p w14:paraId="40FE7BDB" w14:textId="77777777" w:rsidR="00E12ED9" w:rsidRPr="00E12ED9" w:rsidRDefault="00E12ED9" w:rsidP="00E12ED9">
      <w:pPr>
        <w:spacing w:line="360" w:lineRule="auto"/>
        <w:jc w:val="both"/>
        <w:rPr>
          <w:rFonts w:ascii="Century Gothic" w:eastAsia="Arial" w:hAnsi="Century Gothic" w:cs="Arial"/>
          <w:color w:val="000000"/>
        </w:rPr>
      </w:pPr>
    </w:p>
    <w:p w14:paraId="7DE26901" w14:textId="38FDEE22"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Segundo: el </w:t>
      </w:r>
      <w:r w:rsidRPr="003D3CE1">
        <w:rPr>
          <w:rFonts w:ascii="Century Gothic" w:eastAsia="Arial" w:hAnsi="Century Gothic" w:cs="Arial"/>
          <w:color w:val="000000"/>
          <w:u w:val="single"/>
        </w:rPr>
        <w:t>derecho de las mujeres a una vida libre de</w:t>
      </w:r>
      <w:r w:rsidR="00D7507B">
        <w:rPr>
          <w:rFonts w:ascii="Century Gothic" w:eastAsia="Arial" w:hAnsi="Century Gothic" w:cs="Arial"/>
          <w:color w:val="000000"/>
        </w:rPr>
        <w:t xml:space="preserve"> cualquier tipo de </w:t>
      </w:r>
      <w:r w:rsidRPr="00E12ED9">
        <w:rPr>
          <w:rFonts w:ascii="Century Gothic" w:eastAsia="Arial" w:hAnsi="Century Gothic" w:cs="Arial"/>
          <w:color w:val="000000"/>
        </w:rPr>
        <w:t xml:space="preserve"> </w:t>
      </w:r>
      <w:r w:rsidRPr="003D3CE1">
        <w:rPr>
          <w:rFonts w:ascii="Century Gothic" w:eastAsia="Arial" w:hAnsi="Century Gothic" w:cs="Arial"/>
          <w:color w:val="000000"/>
          <w:u w:val="single"/>
        </w:rPr>
        <w:t>violencia</w:t>
      </w:r>
      <w:r w:rsidRPr="00E12ED9">
        <w:rPr>
          <w:rFonts w:ascii="Century Gothic" w:eastAsia="Arial" w:hAnsi="Century Gothic" w:cs="Arial"/>
          <w:color w:val="000000"/>
        </w:rPr>
        <w:t xml:space="preserve">, </w:t>
      </w:r>
      <w:r w:rsidR="003D3CE1" w:rsidRPr="003D3CE1">
        <w:rPr>
          <w:rFonts w:ascii="Century Gothic" w:eastAsia="Arial" w:hAnsi="Century Gothic" w:cs="Arial"/>
          <w:color w:val="000000"/>
          <w:u w:val="single"/>
        </w:rPr>
        <w:t>incluyendo también el</w:t>
      </w:r>
      <w:r w:rsidRPr="003D3CE1">
        <w:rPr>
          <w:rFonts w:ascii="Century Gothic" w:eastAsia="Arial" w:hAnsi="Century Gothic" w:cs="Arial"/>
          <w:color w:val="000000"/>
          <w:u w:val="single"/>
        </w:rPr>
        <w:t xml:space="preserve"> tipo específico de violencia </w:t>
      </w:r>
      <w:r w:rsidR="004D0149" w:rsidRPr="004D0149">
        <w:rPr>
          <w:rFonts w:ascii="Century Gothic" w:eastAsia="Arial" w:hAnsi="Century Gothic" w:cs="Arial"/>
          <w:color w:val="000000"/>
          <w:u w:val="single"/>
        </w:rPr>
        <w:t>patrimonial</w:t>
      </w:r>
      <w:r w:rsidRPr="003D3CE1">
        <w:rPr>
          <w:rFonts w:ascii="Century Gothic" w:eastAsia="Arial" w:hAnsi="Century Gothic" w:cs="Arial"/>
          <w:color w:val="000000"/>
          <w:u w:val="single"/>
        </w:rPr>
        <w:t>.</w:t>
      </w:r>
      <w:r w:rsidRPr="00E12ED9">
        <w:rPr>
          <w:rFonts w:ascii="Century Gothic" w:eastAsia="Arial" w:hAnsi="Century Gothic" w:cs="Arial"/>
          <w:color w:val="000000"/>
        </w:rPr>
        <w:t xml:space="preserve"> </w:t>
      </w:r>
    </w:p>
    <w:p w14:paraId="71E35381" w14:textId="77777777" w:rsidR="00E12ED9" w:rsidRPr="00E12ED9" w:rsidRDefault="00E12ED9" w:rsidP="00E12ED9">
      <w:pPr>
        <w:spacing w:line="360" w:lineRule="auto"/>
        <w:jc w:val="both"/>
        <w:rPr>
          <w:rFonts w:ascii="Century Gothic" w:eastAsia="Arial" w:hAnsi="Century Gothic" w:cs="Arial"/>
          <w:color w:val="000000"/>
        </w:rPr>
      </w:pPr>
    </w:p>
    <w:p w14:paraId="39077DB7" w14:textId="78980154" w:rsidR="00E12ED9" w:rsidRPr="00E12ED9" w:rsidRDefault="003D3CE1" w:rsidP="00E12ED9">
      <w:pPr>
        <w:spacing w:line="360" w:lineRule="auto"/>
        <w:jc w:val="both"/>
        <w:rPr>
          <w:rFonts w:ascii="Century Gothic" w:eastAsia="Arial" w:hAnsi="Century Gothic" w:cs="Arial"/>
          <w:color w:val="000000"/>
        </w:rPr>
      </w:pPr>
      <w:r>
        <w:rPr>
          <w:rFonts w:ascii="Century Gothic" w:eastAsia="Arial" w:hAnsi="Century Gothic" w:cs="Arial"/>
          <w:color w:val="000000"/>
        </w:rPr>
        <w:t>El procurar el acceso a una alimentación digna para nuestras niñas,</w:t>
      </w:r>
      <w:r w:rsidRPr="003D3CE1">
        <w:t xml:space="preserve"> </w:t>
      </w:r>
      <w:r w:rsidRPr="003D3CE1">
        <w:rPr>
          <w:rFonts w:ascii="Century Gothic" w:eastAsia="Arial" w:hAnsi="Century Gothic" w:cs="Arial"/>
          <w:color w:val="000000"/>
        </w:rPr>
        <w:t>niños y adolescentes</w:t>
      </w:r>
      <w:r>
        <w:rPr>
          <w:rFonts w:ascii="Century Gothic" w:eastAsia="Arial" w:hAnsi="Century Gothic" w:cs="Arial"/>
          <w:color w:val="000000"/>
        </w:rPr>
        <w:t xml:space="preserve"> debe de ser un objetivo prioritario para cualquier gobierno, no solo por la con</w:t>
      </w:r>
      <w:r w:rsidR="00D4197A">
        <w:rPr>
          <w:rFonts w:ascii="Century Gothic" w:eastAsia="Arial" w:hAnsi="Century Gothic" w:cs="Arial"/>
          <w:color w:val="000000"/>
        </w:rPr>
        <w:t>ciencia</w:t>
      </w:r>
      <w:r>
        <w:rPr>
          <w:rFonts w:ascii="Century Gothic" w:eastAsia="Arial" w:hAnsi="Century Gothic" w:cs="Arial"/>
          <w:color w:val="000000"/>
        </w:rPr>
        <w:t xml:space="preserve"> de que nuestras niñas,</w:t>
      </w:r>
      <w:r w:rsidRPr="003D3CE1">
        <w:t xml:space="preserve"> </w:t>
      </w:r>
      <w:r w:rsidRPr="003D3CE1">
        <w:rPr>
          <w:rFonts w:ascii="Century Gothic" w:eastAsia="Arial" w:hAnsi="Century Gothic" w:cs="Arial"/>
          <w:color w:val="000000"/>
        </w:rPr>
        <w:t>niños y adolescentes</w:t>
      </w:r>
      <w:r>
        <w:rPr>
          <w:rFonts w:ascii="Century Gothic" w:eastAsia="Arial" w:hAnsi="Century Gothic" w:cs="Arial"/>
          <w:color w:val="000000"/>
        </w:rPr>
        <w:t xml:space="preserve"> son el futuro de nuestra sociedad, también, porque es </w:t>
      </w:r>
      <w:r w:rsidR="00D4197A">
        <w:rPr>
          <w:rFonts w:ascii="Century Gothic" w:eastAsia="Arial" w:hAnsi="Century Gothic" w:cs="Arial"/>
          <w:color w:val="000000"/>
        </w:rPr>
        <w:t>un</w:t>
      </w:r>
      <w:r w:rsidR="00E12ED9" w:rsidRPr="00E12ED9">
        <w:rPr>
          <w:rFonts w:ascii="Century Gothic" w:eastAsia="Arial" w:hAnsi="Century Gothic" w:cs="Arial"/>
          <w:color w:val="000000"/>
        </w:rPr>
        <w:t xml:space="preserve"> derecho fundamental que se encuentra </w:t>
      </w:r>
      <w:r>
        <w:rPr>
          <w:rFonts w:ascii="Century Gothic" w:eastAsia="Arial" w:hAnsi="Century Gothic" w:cs="Arial"/>
          <w:color w:val="000000"/>
        </w:rPr>
        <w:t xml:space="preserve">estrechamente </w:t>
      </w:r>
      <w:r w:rsidR="00E12ED9" w:rsidRPr="00E12ED9">
        <w:rPr>
          <w:rFonts w:ascii="Century Gothic" w:eastAsia="Arial" w:hAnsi="Century Gothic" w:cs="Arial"/>
          <w:color w:val="000000"/>
        </w:rPr>
        <w:t>vinculado con el ejercicio de otros derechos fundamentales como el derecho a la salud, a una vida digna, a vivir en condiciones de bienestar, entre otros.</w:t>
      </w:r>
    </w:p>
    <w:p w14:paraId="6F6EA713" w14:textId="77777777" w:rsidR="00E12ED9" w:rsidRPr="00E12ED9" w:rsidRDefault="00E12ED9" w:rsidP="00E12ED9">
      <w:pPr>
        <w:spacing w:line="360" w:lineRule="auto"/>
        <w:jc w:val="both"/>
        <w:rPr>
          <w:rFonts w:ascii="Century Gothic" w:eastAsia="Arial" w:hAnsi="Century Gothic" w:cs="Arial"/>
          <w:color w:val="000000"/>
        </w:rPr>
      </w:pPr>
    </w:p>
    <w:p w14:paraId="11183E49" w14:textId="6C24BB5D"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En la doctrina jurídica, es responsabilidad y obligación de los progenitores o en su caso</w:t>
      </w:r>
      <w:r w:rsidR="00D4197A">
        <w:rPr>
          <w:rFonts w:ascii="Century Gothic" w:eastAsia="Arial" w:hAnsi="Century Gothic" w:cs="Arial"/>
          <w:color w:val="000000"/>
        </w:rPr>
        <w:t xml:space="preserve"> </w:t>
      </w:r>
      <w:r w:rsidRPr="00E12ED9">
        <w:rPr>
          <w:rFonts w:ascii="Century Gothic" w:eastAsia="Arial" w:hAnsi="Century Gothic" w:cs="Arial"/>
          <w:color w:val="000000"/>
        </w:rPr>
        <w:t>familiares que ejerzan tutela, garantizar la alimentación adecuada y nutritiva de las niñas y niños independientemente s</w:t>
      </w:r>
      <w:r w:rsidR="00D4197A">
        <w:rPr>
          <w:rFonts w:ascii="Century Gothic" w:eastAsia="Arial" w:hAnsi="Century Gothic" w:cs="Arial"/>
          <w:color w:val="000000"/>
        </w:rPr>
        <w:t>í</w:t>
      </w:r>
      <w:r w:rsidRPr="00E12ED9">
        <w:rPr>
          <w:rFonts w:ascii="Century Gothic" w:eastAsia="Arial" w:hAnsi="Century Gothic" w:cs="Arial"/>
          <w:color w:val="000000"/>
        </w:rPr>
        <w:t xml:space="preserve"> viven o no en el mismo domicilio.</w:t>
      </w:r>
    </w:p>
    <w:p w14:paraId="6A1A41E6" w14:textId="77777777" w:rsidR="00E12ED9" w:rsidRPr="00E12ED9" w:rsidRDefault="00E12ED9" w:rsidP="00E12ED9">
      <w:pPr>
        <w:spacing w:line="360" w:lineRule="auto"/>
        <w:jc w:val="both"/>
        <w:rPr>
          <w:rFonts w:ascii="Century Gothic" w:eastAsia="Arial" w:hAnsi="Century Gothic" w:cs="Arial"/>
          <w:color w:val="000000"/>
        </w:rPr>
      </w:pPr>
    </w:p>
    <w:p w14:paraId="0C5EFB0F" w14:textId="77777777"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Como se puede observar, la violación del derecho a la alimentación no solo hace referencia a la falta de alimentos, sino a la incapacidad de sus progenitores y/o tutores para proveérselos. De igual manera, uno de los </w:t>
      </w:r>
      <w:r w:rsidRPr="00E12ED9">
        <w:rPr>
          <w:rFonts w:ascii="Century Gothic" w:eastAsia="Arial" w:hAnsi="Century Gothic" w:cs="Arial"/>
          <w:color w:val="000000"/>
        </w:rPr>
        <w:lastRenderedPageBreak/>
        <w:t>problemas que afecta la garantía de este derecho, es la disgregación familiar en el que, normalmente el padre, abandona el hogar y evade el pago de pensiones alimenticias a las hijas e hijos.</w:t>
      </w:r>
    </w:p>
    <w:p w14:paraId="32D23482" w14:textId="77777777" w:rsidR="00E12ED9" w:rsidRPr="00E12ED9" w:rsidRDefault="00E12ED9" w:rsidP="00E12ED9">
      <w:pPr>
        <w:spacing w:line="360" w:lineRule="auto"/>
        <w:jc w:val="both"/>
        <w:rPr>
          <w:rFonts w:ascii="Century Gothic" w:eastAsia="Arial" w:hAnsi="Century Gothic" w:cs="Arial"/>
          <w:color w:val="000000"/>
        </w:rPr>
      </w:pPr>
    </w:p>
    <w:p w14:paraId="453532B2" w14:textId="434B50BA"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Ahora bien, la falta de pago de las pensiones alimenticias ciertamente </w:t>
      </w:r>
      <w:r w:rsidRPr="00D4197A">
        <w:rPr>
          <w:rFonts w:ascii="Century Gothic" w:eastAsia="Arial" w:hAnsi="Century Gothic" w:cs="Arial"/>
          <w:color w:val="000000"/>
          <w:u w:val="single"/>
        </w:rPr>
        <w:t xml:space="preserve">representa una violación a los derechos de la niñez, pero constituye también, una forma de violencia contra las mujeres, la violencia </w:t>
      </w:r>
      <w:r w:rsidR="004D0149" w:rsidRPr="004D0149">
        <w:rPr>
          <w:rFonts w:ascii="Century Gothic" w:eastAsia="Arial" w:hAnsi="Century Gothic" w:cs="Arial"/>
          <w:color w:val="000000"/>
          <w:u w:val="single"/>
        </w:rPr>
        <w:t>patrimonial</w:t>
      </w:r>
      <w:r w:rsidRPr="00D4197A">
        <w:rPr>
          <w:rFonts w:ascii="Century Gothic" w:eastAsia="Arial" w:hAnsi="Century Gothic" w:cs="Arial"/>
          <w:color w:val="000000"/>
          <w:u w:val="single"/>
        </w:rPr>
        <w:t>.</w:t>
      </w:r>
      <w:r w:rsidRPr="00E12ED9">
        <w:rPr>
          <w:rFonts w:ascii="Century Gothic" w:eastAsia="Arial" w:hAnsi="Century Gothic" w:cs="Arial"/>
          <w:color w:val="000000"/>
        </w:rPr>
        <w:t xml:space="preserve"> Un alto porcentaje de los juicios en materia de pensiones alimenticias son promovidos por mujeres, madres de familia, en contra del padre que </w:t>
      </w:r>
      <w:r w:rsidR="00D4197A">
        <w:rPr>
          <w:rFonts w:ascii="Century Gothic" w:eastAsia="Arial" w:hAnsi="Century Gothic" w:cs="Arial"/>
          <w:color w:val="000000"/>
        </w:rPr>
        <w:t>in</w:t>
      </w:r>
      <w:r w:rsidRPr="00E12ED9">
        <w:rPr>
          <w:rFonts w:ascii="Century Gothic" w:eastAsia="Arial" w:hAnsi="Century Gothic" w:cs="Arial"/>
          <w:color w:val="000000"/>
        </w:rPr>
        <w:t>cumple con la obligación de proporcionar alimentos y contribuir a la manutención y desarrollo de sus hijas e hijos.</w:t>
      </w:r>
    </w:p>
    <w:p w14:paraId="24E6BDD8" w14:textId="77777777" w:rsidR="00E12ED9" w:rsidRPr="00E12ED9" w:rsidRDefault="00E12ED9" w:rsidP="00E12ED9">
      <w:pPr>
        <w:spacing w:line="360" w:lineRule="auto"/>
        <w:jc w:val="both"/>
        <w:rPr>
          <w:rFonts w:ascii="Century Gothic" w:eastAsia="Arial" w:hAnsi="Century Gothic" w:cs="Arial"/>
          <w:color w:val="000000"/>
        </w:rPr>
      </w:pPr>
    </w:p>
    <w:p w14:paraId="430DBF84" w14:textId="0023F41C"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La violencia </w:t>
      </w:r>
      <w:r w:rsidR="004D0149" w:rsidRPr="004D0149">
        <w:rPr>
          <w:rFonts w:ascii="Century Gothic" w:eastAsia="Arial" w:hAnsi="Century Gothic" w:cs="Arial"/>
          <w:color w:val="000000"/>
        </w:rPr>
        <w:t>patrimonial</w:t>
      </w:r>
      <w:r w:rsidRPr="00E12ED9">
        <w:rPr>
          <w:rFonts w:ascii="Century Gothic" w:eastAsia="Arial" w:hAnsi="Century Gothic" w:cs="Arial"/>
          <w:color w:val="000000"/>
        </w:rPr>
        <w:t xml:space="preserve"> usualmente se reproduce en el ámbito familiar, </w:t>
      </w:r>
      <w:r w:rsidRPr="00D4197A">
        <w:rPr>
          <w:rFonts w:ascii="Century Gothic" w:eastAsia="Arial" w:hAnsi="Century Gothic" w:cs="Arial"/>
          <w:color w:val="000000"/>
          <w:u w:val="single"/>
        </w:rPr>
        <w:t>siendo una forma de control en contra de las mujeres</w:t>
      </w:r>
      <w:r w:rsidRPr="00E12ED9">
        <w:rPr>
          <w:rFonts w:ascii="Century Gothic" w:eastAsia="Arial" w:hAnsi="Century Gothic" w:cs="Arial"/>
          <w:color w:val="000000"/>
        </w:rPr>
        <w:t>; se muestra a través de la agresión producida por la persona que ostenta el dominio económico, la manipulación para gestionar los gastos o la privación de recursos, lo que induce al aislamiento y la angustia por la satisfacción de las necesidades personales y/o familiares.</w:t>
      </w:r>
    </w:p>
    <w:p w14:paraId="16240EB3" w14:textId="77777777" w:rsidR="00E12ED9" w:rsidRPr="00E12ED9" w:rsidRDefault="00E12ED9" w:rsidP="00E12ED9">
      <w:pPr>
        <w:spacing w:line="360" w:lineRule="auto"/>
        <w:jc w:val="both"/>
        <w:rPr>
          <w:rFonts w:ascii="Century Gothic" w:eastAsia="Arial" w:hAnsi="Century Gothic" w:cs="Arial"/>
          <w:color w:val="000000"/>
        </w:rPr>
      </w:pPr>
    </w:p>
    <w:p w14:paraId="0054A948" w14:textId="5DF9FA66" w:rsidR="00E12ED9" w:rsidRDefault="00E12ED9" w:rsidP="00E12ED9">
      <w:pPr>
        <w:spacing w:line="360" w:lineRule="auto"/>
        <w:jc w:val="both"/>
        <w:rPr>
          <w:rFonts w:ascii="Century Gothic" w:eastAsia="Arial" w:hAnsi="Century Gothic" w:cs="Arial"/>
          <w:color w:val="000000"/>
        </w:rPr>
      </w:pPr>
      <w:r w:rsidRPr="00984FC3">
        <w:rPr>
          <w:rFonts w:ascii="Century Gothic" w:eastAsia="Arial" w:hAnsi="Century Gothic" w:cs="Arial"/>
          <w:color w:val="000000"/>
          <w:u w:val="single"/>
        </w:rPr>
        <w:t>Según los resultados de la Encuesta Nacional sobre la Dinámica de las Relaciones en los Hogares</w:t>
      </w:r>
      <w:r w:rsidRPr="00E12ED9">
        <w:rPr>
          <w:rFonts w:ascii="Century Gothic" w:eastAsia="Arial" w:hAnsi="Century Gothic" w:cs="Arial"/>
          <w:color w:val="000000"/>
        </w:rPr>
        <w:t xml:space="preserve"> (ENDIREH) 2021, </w:t>
      </w:r>
      <w:r w:rsidRPr="00984FC3">
        <w:rPr>
          <w:rFonts w:ascii="Century Gothic" w:eastAsia="Arial" w:hAnsi="Century Gothic" w:cs="Arial"/>
          <w:color w:val="000000"/>
          <w:u w:val="single"/>
        </w:rPr>
        <w:t>realizada por el Instituto Nacional de Estadística y Geografía (INEGI)</w:t>
      </w:r>
      <w:r w:rsidRPr="00E12ED9">
        <w:rPr>
          <w:rFonts w:ascii="Century Gothic" w:eastAsia="Arial" w:hAnsi="Century Gothic" w:cs="Arial"/>
          <w:color w:val="000000"/>
        </w:rPr>
        <w:t xml:space="preserve">, en México, el 70.1% de las mujeres de 15 </w:t>
      </w:r>
      <w:r w:rsidRPr="00E12ED9">
        <w:rPr>
          <w:rFonts w:ascii="Century Gothic" w:eastAsia="Arial" w:hAnsi="Century Gothic" w:cs="Arial"/>
          <w:color w:val="000000"/>
        </w:rPr>
        <w:lastRenderedPageBreak/>
        <w:t xml:space="preserve">años y más ha experimentado, al menos, una situación de violencia a lo largo de la vida.  </w:t>
      </w:r>
    </w:p>
    <w:p w14:paraId="5A07F7F7" w14:textId="77777777" w:rsidR="00D7507B" w:rsidRPr="00E12ED9" w:rsidRDefault="00D7507B" w:rsidP="00E12ED9">
      <w:pPr>
        <w:spacing w:line="360" w:lineRule="auto"/>
        <w:jc w:val="both"/>
        <w:rPr>
          <w:rFonts w:ascii="Century Gothic" w:eastAsia="Arial" w:hAnsi="Century Gothic" w:cs="Arial"/>
          <w:color w:val="000000"/>
        </w:rPr>
      </w:pPr>
    </w:p>
    <w:p w14:paraId="4AEEEC7C" w14:textId="77777777"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La violencia psicológica es la que presentó mayor prevalencia (51.6 %), seguida de la violencia sexual (49.7 %), la violencia física (34.7 %) y la violencia económica, patrimonial y/ o discriminación (27.4 %). Con respecto a 2016, los resultados de 2021 mostraron un incremento de cuatro puntos porcentuales en la violencia total contra las mujeres a lo largo de la vida.</w:t>
      </w:r>
    </w:p>
    <w:p w14:paraId="4AF33185" w14:textId="77777777" w:rsidR="00E12ED9" w:rsidRPr="00E12ED9" w:rsidRDefault="00E12ED9" w:rsidP="00E12ED9">
      <w:pPr>
        <w:spacing w:line="360" w:lineRule="auto"/>
        <w:jc w:val="both"/>
        <w:rPr>
          <w:rFonts w:ascii="Century Gothic" w:eastAsia="Arial" w:hAnsi="Century Gothic" w:cs="Arial"/>
          <w:color w:val="000000"/>
        </w:rPr>
      </w:pPr>
    </w:p>
    <w:p w14:paraId="6EBF8B0A" w14:textId="10E6BD0B"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La violencia </w:t>
      </w:r>
      <w:r w:rsidR="004D0149" w:rsidRPr="004D0149">
        <w:rPr>
          <w:rFonts w:ascii="Century Gothic" w:eastAsia="Arial" w:hAnsi="Century Gothic" w:cs="Arial"/>
          <w:color w:val="000000"/>
        </w:rPr>
        <w:t>patrimonial</w:t>
      </w:r>
      <w:r w:rsidRPr="00E12ED9">
        <w:rPr>
          <w:rFonts w:ascii="Century Gothic" w:eastAsia="Arial" w:hAnsi="Century Gothic" w:cs="Arial"/>
          <w:color w:val="000000"/>
        </w:rPr>
        <w:t xml:space="preserve"> puede pasar desapercibida debido a que no deja un rastro tan evidente como las agresiones físicas, pero tiene cifras alarmantes: 13.4 millones de mexicanas la han padecido en algún momento de su vida, es decir, 29% del total de mujeres de 15 años o más, según la Encuesta Nacional anteriormente citada. </w:t>
      </w:r>
    </w:p>
    <w:p w14:paraId="4545E2A9" w14:textId="77777777" w:rsidR="00E12ED9" w:rsidRPr="00E12ED9" w:rsidRDefault="00E12ED9" w:rsidP="00E12ED9">
      <w:pPr>
        <w:spacing w:line="360" w:lineRule="auto"/>
        <w:jc w:val="both"/>
        <w:rPr>
          <w:rFonts w:ascii="Century Gothic" w:eastAsia="Arial" w:hAnsi="Century Gothic" w:cs="Arial"/>
          <w:color w:val="000000"/>
        </w:rPr>
      </w:pPr>
    </w:p>
    <w:p w14:paraId="25155A1E" w14:textId="1EF71F1C"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La falta de pago de las pensiones y la ausencia de una parentalidad compartida equitativamente entre hombres y mujeres impacta las posibilidades reales de que las hijas e hijos puedan acceder a la educación, pues esto recae en las espaldas de las mujeres, que en muchas ocasiones encuentran serias limitaciones por razones de clase, etnia, condición social, migratoria, etc. Es necesario reflexionar sobre la necesidad de cambios en el aprendizaje social de la paternidad, encaminados a enseñar que ésta es</w:t>
      </w:r>
      <w:r w:rsidR="00D74720">
        <w:rPr>
          <w:rFonts w:ascii="Century Gothic" w:eastAsia="Arial" w:hAnsi="Century Gothic" w:cs="Arial"/>
          <w:color w:val="000000"/>
        </w:rPr>
        <w:t xml:space="preserve"> </w:t>
      </w:r>
      <w:r w:rsidR="00D74720">
        <w:rPr>
          <w:rFonts w:ascii="Century Gothic" w:eastAsia="Arial" w:hAnsi="Century Gothic" w:cs="Arial"/>
          <w:color w:val="000000"/>
        </w:rPr>
        <w:lastRenderedPageBreak/>
        <w:t>una obligación adquirida por</w:t>
      </w:r>
      <w:r w:rsidRPr="00E12ED9">
        <w:rPr>
          <w:rFonts w:ascii="Century Gothic" w:eastAsia="Arial" w:hAnsi="Century Gothic" w:cs="Arial"/>
          <w:color w:val="000000"/>
        </w:rPr>
        <w:t xml:space="preserve"> un compromiso personal de vida y no una obligación delegable.</w:t>
      </w:r>
    </w:p>
    <w:p w14:paraId="3F2EF9E1" w14:textId="77777777" w:rsidR="00E12ED9" w:rsidRPr="00E12ED9" w:rsidRDefault="00E12ED9" w:rsidP="00E12ED9">
      <w:pPr>
        <w:spacing w:line="360" w:lineRule="auto"/>
        <w:jc w:val="both"/>
        <w:rPr>
          <w:rFonts w:ascii="Century Gothic" w:eastAsia="Arial" w:hAnsi="Century Gothic" w:cs="Arial"/>
          <w:color w:val="000000"/>
        </w:rPr>
      </w:pPr>
    </w:p>
    <w:p w14:paraId="0835036F" w14:textId="2B9899D5"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Podemos afirmar que la violencia </w:t>
      </w:r>
      <w:r w:rsidR="004D0149" w:rsidRPr="004D0149">
        <w:rPr>
          <w:rFonts w:ascii="Century Gothic" w:eastAsia="Arial" w:hAnsi="Century Gothic" w:cs="Arial"/>
          <w:color w:val="000000"/>
        </w:rPr>
        <w:t>patrimonial</w:t>
      </w:r>
      <w:r w:rsidRPr="00E12ED9">
        <w:rPr>
          <w:rFonts w:ascii="Century Gothic" w:eastAsia="Arial" w:hAnsi="Century Gothic" w:cs="Arial"/>
          <w:color w:val="000000"/>
        </w:rPr>
        <w:t xml:space="preserve"> es una manifestación de la violencia de género, y una de sus dimensiones es, sin duda, el impago reiterado e injustificado de pensiones alimentarias estipuladas en caso de separación o divorcio en favor de la mujer y/o de sus hijas e hijos. </w:t>
      </w:r>
    </w:p>
    <w:p w14:paraId="74D172DE" w14:textId="77777777" w:rsidR="00E12ED9" w:rsidRPr="00E12ED9" w:rsidRDefault="00E12ED9" w:rsidP="00E12ED9">
      <w:pPr>
        <w:spacing w:line="360" w:lineRule="auto"/>
        <w:jc w:val="both"/>
        <w:rPr>
          <w:rFonts w:ascii="Century Gothic" w:eastAsia="Arial" w:hAnsi="Century Gothic" w:cs="Arial"/>
          <w:color w:val="000000"/>
        </w:rPr>
      </w:pPr>
    </w:p>
    <w:p w14:paraId="22309BAC" w14:textId="63E32A33"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 xml:space="preserve">A fin de dar una solución a esta problemática que aqueja derechos humanos fundamentales de hijas, hijos y mujeres por igual, es que propongo incluir como parte de la violencia </w:t>
      </w:r>
      <w:r w:rsidR="004D0149" w:rsidRPr="004D0149">
        <w:rPr>
          <w:rFonts w:ascii="Century Gothic" w:eastAsia="Arial" w:hAnsi="Century Gothic" w:cs="Arial"/>
          <w:color w:val="000000"/>
        </w:rPr>
        <w:t>patrimonial</w:t>
      </w:r>
      <w:r w:rsidRPr="00E12ED9">
        <w:rPr>
          <w:rFonts w:ascii="Century Gothic" w:eastAsia="Arial" w:hAnsi="Century Gothic" w:cs="Arial"/>
          <w:color w:val="000000"/>
        </w:rPr>
        <w:t xml:space="preserve"> establecida en la Ley Estatal del Derecho de las Mujeres a una Vida Libre de Violencia, el incumplimiento de obligaciones alimentarias. </w:t>
      </w:r>
    </w:p>
    <w:p w14:paraId="3DD0D40D" w14:textId="77777777" w:rsidR="00E12ED9" w:rsidRPr="00E12ED9" w:rsidRDefault="00E12ED9" w:rsidP="00E12ED9">
      <w:pPr>
        <w:spacing w:line="360" w:lineRule="auto"/>
        <w:jc w:val="both"/>
        <w:rPr>
          <w:rFonts w:ascii="Century Gothic" w:eastAsia="Arial" w:hAnsi="Century Gothic" w:cs="Arial"/>
          <w:color w:val="000000"/>
        </w:rPr>
      </w:pPr>
    </w:p>
    <w:p w14:paraId="0F63C3E7" w14:textId="77777777"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color w:val="000000"/>
        </w:rPr>
        <w:t>Por lo anteriormente expuesto, a fin de visibilizar y erradicar esta omisión que afecta a muchas mujeres y a sus hijas e hijos en su supervivencia, es que someto ante esta representación popular el siguiente Proyecto de:</w:t>
      </w:r>
    </w:p>
    <w:p w14:paraId="015F2BD8" w14:textId="77777777" w:rsidR="00E12ED9" w:rsidRPr="00E12ED9" w:rsidRDefault="00E12ED9" w:rsidP="00E12ED9">
      <w:pPr>
        <w:spacing w:line="360" w:lineRule="auto"/>
        <w:jc w:val="both"/>
        <w:rPr>
          <w:rFonts w:ascii="Century Gothic" w:eastAsia="Arial" w:hAnsi="Century Gothic" w:cs="Arial"/>
          <w:color w:val="000000"/>
        </w:rPr>
      </w:pPr>
    </w:p>
    <w:p w14:paraId="3B21B66A" w14:textId="77777777" w:rsidR="00E12ED9" w:rsidRPr="00E12ED9" w:rsidRDefault="00E12ED9" w:rsidP="00E12ED9">
      <w:pPr>
        <w:spacing w:line="360" w:lineRule="auto"/>
        <w:jc w:val="both"/>
        <w:rPr>
          <w:rFonts w:ascii="Century Gothic" w:eastAsia="Arial" w:hAnsi="Century Gothic" w:cs="Arial"/>
          <w:color w:val="000000"/>
        </w:rPr>
      </w:pPr>
    </w:p>
    <w:p w14:paraId="175FDC26" w14:textId="77777777" w:rsidR="00E12ED9" w:rsidRPr="00E12ED9" w:rsidRDefault="00E12ED9" w:rsidP="00E12ED9">
      <w:pPr>
        <w:spacing w:line="360" w:lineRule="auto"/>
        <w:jc w:val="both"/>
        <w:rPr>
          <w:rFonts w:ascii="Century Gothic" w:eastAsia="Arial" w:hAnsi="Century Gothic" w:cs="Arial"/>
          <w:color w:val="000000"/>
        </w:rPr>
      </w:pPr>
    </w:p>
    <w:p w14:paraId="538D625D" w14:textId="77777777" w:rsidR="00E12ED9" w:rsidRPr="00E12ED9" w:rsidRDefault="00E12ED9" w:rsidP="00E12ED9">
      <w:pPr>
        <w:spacing w:line="360" w:lineRule="auto"/>
        <w:jc w:val="both"/>
        <w:rPr>
          <w:rFonts w:ascii="Century Gothic" w:eastAsia="Arial" w:hAnsi="Century Gothic" w:cs="Arial"/>
          <w:color w:val="000000"/>
        </w:rPr>
      </w:pPr>
    </w:p>
    <w:p w14:paraId="72036B57" w14:textId="77777777" w:rsidR="00E12ED9" w:rsidRPr="00E12ED9" w:rsidRDefault="00E12ED9" w:rsidP="00E12ED9">
      <w:pPr>
        <w:spacing w:line="360" w:lineRule="auto"/>
        <w:jc w:val="both"/>
        <w:rPr>
          <w:rFonts w:ascii="Century Gothic" w:eastAsia="Arial" w:hAnsi="Century Gothic" w:cs="Arial"/>
          <w:color w:val="000000"/>
        </w:rPr>
      </w:pPr>
    </w:p>
    <w:p w14:paraId="0839D57B" w14:textId="77777777" w:rsidR="00E12ED9" w:rsidRPr="00E12ED9" w:rsidRDefault="00E12ED9" w:rsidP="00E12ED9">
      <w:pPr>
        <w:spacing w:line="360" w:lineRule="auto"/>
        <w:jc w:val="both"/>
        <w:rPr>
          <w:rFonts w:ascii="Century Gothic" w:eastAsia="Arial" w:hAnsi="Century Gothic" w:cs="Arial"/>
          <w:color w:val="000000"/>
        </w:rPr>
      </w:pPr>
    </w:p>
    <w:p w14:paraId="2DBF8050" w14:textId="77777777" w:rsidR="00E12ED9" w:rsidRPr="00E12ED9" w:rsidRDefault="00E12ED9" w:rsidP="00E12ED9">
      <w:pPr>
        <w:spacing w:line="360" w:lineRule="auto"/>
        <w:jc w:val="center"/>
        <w:rPr>
          <w:rFonts w:ascii="Century Gothic" w:eastAsia="Arial" w:hAnsi="Century Gothic" w:cs="Arial"/>
          <w:b/>
          <w:color w:val="000000"/>
        </w:rPr>
      </w:pPr>
      <w:r w:rsidRPr="00E12ED9">
        <w:rPr>
          <w:rFonts w:ascii="Century Gothic" w:eastAsia="Arial" w:hAnsi="Century Gothic" w:cs="Arial"/>
          <w:b/>
          <w:color w:val="000000"/>
        </w:rPr>
        <w:lastRenderedPageBreak/>
        <w:t>DECRETO</w:t>
      </w:r>
    </w:p>
    <w:p w14:paraId="6F2B1538" w14:textId="77777777" w:rsidR="00E12ED9" w:rsidRPr="00E12ED9" w:rsidRDefault="00E12ED9" w:rsidP="00E12ED9">
      <w:pPr>
        <w:spacing w:line="360" w:lineRule="auto"/>
        <w:jc w:val="both"/>
        <w:rPr>
          <w:rFonts w:ascii="Century Gothic" w:eastAsia="Arial" w:hAnsi="Century Gothic" w:cs="Arial"/>
          <w:color w:val="000000"/>
        </w:rPr>
      </w:pPr>
    </w:p>
    <w:p w14:paraId="62D9EBB2" w14:textId="4966BFF8" w:rsidR="00E12ED9" w:rsidRP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b/>
          <w:color w:val="000000"/>
        </w:rPr>
        <w:t>ARTÍCULO PRIMERO.-</w:t>
      </w:r>
      <w:r w:rsidRPr="00E12ED9">
        <w:rPr>
          <w:rFonts w:ascii="Century Gothic" w:eastAsia="Arial" w:hAnsi="Century Gothic" w:cs="Arial"/>
          <w:color w:val="000000"/>
        </w:rPr>
        <w:t xml:space="preserve"> Se reforma, el artículo 5, fracción </w:t>
      </w:r>
      <w:r w:rsidR="004D0149">
        <w:rPr>
          <w:rFonts w:ascii="Century Gothic" w:eastAsia="Arial" w:hAnsi="Century Gothic" w:cs="Arial"/>
          <w:color w:val="000000"/>
        </w:rPr>
        <w:t>I</w:t>
      </w:r>
      <w:r w:rsidRPr="00E12ED9">
        <w:rPr>
          <w:rFonts w:ascii="Century Gothic" w:eastAsia="Arial" w:hAnsi="Century Gothic" w:cs="Arial"/>
          <w:color w:val="000000"/>
        </w:rPr>
        <w:t xml:space="preserve">V, de la Ley Estatal del Derecho de las Mujeres a una Vida Libre de Violencia, para quedar redactada de la siguiente manera:  </w:t>
      </w:r>
    </w:p>
    <w:p w14:paraId="5D33EA4C" w14:textId="77777777" w:rsidR="00E12ED9" w:rsidRPr="00E12ED9" w:rsidRDefault="00E12ED9" w:rsidP="00E12ED9">
      <w:pPr>
        <w:spacing w:line="360" w:lineRule="auto"/>
        <w:jc w:val="both"/>
        <w:rPr>
          <w:rFonts w:ascii="Century Gothic" w:eastAsia="Arial" w:hAnsi="Century Gothic" w:cs="Arial"/>
          <w:color w:val="000000"/>
        </w:rPr>
      </w:pPr>
    </w:p>
    <w:p w14:paraId="0FCB380F" w14:textId="5702D7CD" w:rsidR="004D0149" w:rsidRPr="004D0149" w:rsidRDefault="004D0149" w:rsidP="004D0149">
      <w:pPr>
        <w:spacing w:line="360" w:lineRule="auto"/>
        <w:jc w:val="both"/>
        <w:rPr>
          <w:rFonts w:ascii="Century Gothic" w:eastAsia="Arial" w:hAnsi="Century Gothic" w:cs="Arial"/>
          <w:color w:val="000000"/>
        </w:rPr>
      </w:pPr>
      <w:r w:rsidRPr="004D0149">
        <w:rPr>
          <w:rFonts w:ascii="Century Gothic" w:eastAsia="Arial" w:hAnsi="Century Gothic" w:cs="Arial"/>
          <w:b/>
          <w:color w:val="000000"/>
        </w:rPr>
        <w:t xml:space="preserve">ARTÍCULO 5. </w:t>
      </w:r>
      <w:r w:rsidRPr="004D0149">
        <w:rPr>
          <w:rFonts w:ascii="Century Gothic" w:eastAsia="Arial" w:hAnsi="Century Gothic" w:cs="Arial"/>
          <w:color w:val="000000"/>
        </w:rPr>
        <w:t>Los tipos de violencia contra las mujeres son:</w:t>
      </w:r>
    </w:p>
    <w:p w14:paraId="5EAD950D" w14:textId="231DA991" w:rsidR="004D0149" w:rsidRDefault="004D0149" w:rsidP="004D0149">
      <w:pPr>
        <w:spacing w:line="360" w:lineRule="auto"/>
        <w:jc w:val="both"/>
        <w:rPr>
          <w:rFonts w:ascii="Century Gothic" w:eastAsia="Arial" w:hAnsi="Century Gothic" w:cs="Arial"/>
          <w:color w:val="000000"/>
        </w:rPr>
      </w:pPr>
      <w:r w:rsidRPr="004D0149">
        <w:rPr>
          <w:rFonts w:ascii="Century Gothic" w:eastAsia="Arial" w:hAnsi="Century Gothic" w:cs="Arial"/>
          <w:color w:val="000000"/>
        </w:rPr>
        <w:t>I.  a la  III. …</w:t>
      </w:r>
    </w:p>
    <w:p w14:paraId="43FEEE33" w14:textId="77777777" w:rsidR="004D0149" w:rsidRPr="004D0149" w:rsidRDefault="004D0149" w:rsidP="004D0149">
      <w:pPr>
        <w:spacing w:line="360" w:lineRule="auto"/>
        <w:jc w:val="both"/>
        <w:rPr>
          <w:rFonts w:ascii="Century Gothic" w:eastAsia="Arial" w:hAnsi="Century Gothic" w:cs="Arial"/>
          <w:color w:val="000000"/>
        </w:rPr>
      </w:pPr>
    </w:p>
    <w:p w14:paraId="4E4B857D" w14:textId="13DAEB84" w:rsidR="004D0149" w:rsidRPr="004D0149" w:rsidRDefault="004D0149" w:rsidP="004D0149">
      <w:pPr>
        <w:spacing w:line="360" w:lineRule="auto"/>
        <w:jc w:val="both"/>
        <w:rPr>
          <w:rFonts w:ascii="Century Gothic" w:eastAsia="Arial" w:hAnsi="Century Gothic" w:cs="Arial"/>
          <w:color w:val="000000"/>
        </w:rPr>
      </w:pPr>
      <w:r w:rsidRPr="004D0149">
        <w:rPr>
          <w:rFonts w:ascii="Century Gothic" w:eastAsia="Arial" w:hAnsi="Century Gothic" w:cs="Arial"/>
          <w:b/>
          <w:color w:val="000000"/>
        </w:rPr>
        <w:t xml:space="preserve">IV. </w:t>
      </w:r>
      <w:r w:rsidRPr="004D0149">
        <w:rPr>
          <w:rFonts w:ascii="Century Gothic" w:eastAsia="Arial" w:hAnsi="Century Gothic" w:cs="Arial"/>
          <w:color w:val="000000"/>
        </w:rPr>
        <w:t xml:space="preserve">Violencia patrimonial: Es cualquier acto u omisión del agresor que afecta la supervivencia de la víctima. Se manifiesta en la transformación, sustracción, destrucción, limitación, retención o distracción de objetos, documentos personales, bienes y valores, derechos patrimoniales o recursos económicos destinados a satisfacer sus necesidades, </w:t>
      </w:r>
      <w:r w:rsidRPr="004D0149">
        <w:rPr>
          <w:rFonts w:ascii="Century Gothic" w:eastAsia="Arial" w:hAnsi="Century Gothic" w:cs="Arial"/>
          <w:b/>
          <w:color w:val="000000"/>
        </w:rPr>
        <w:t>incluyendo aquellos que atentan en contra del cumplimiento de la obligación alimentaria</w:t>
      </w:r>
      <w:r w:rsidRPr="004D0149">
        <w:rPr>
          <w:rFonts w:ascii="Century Gothic" w:eastAsia="Arial" w:hAnsi="Century Gothic" w:cs="Arial"/>
          <w:color w:val="000000"/>
        </w:rPr>
        <w:t xml:space="preserve"> y puede abarcar los daños a los bienes comunes o propios de la víctima.</w:t>
      </w:r>
    </w:p>
    <w:p w14:paraId="32174D87" w14:textId="424CF83B" w:rsidR="00E12ED9" w:rsidRPr="004D0149" w:rsidRDefault="004D0149" w:rsidP="004D0149">
      <w:pPr>
        <w:spacing w:line="360" w:lineRule="auto"/>
        <w:jc w:val="both"/>
        <w:rPr>
          <w:rFonts w:ascii="Century Gothic" w:eastAsia="Arial" w:hAnsi="Century Gothic" w:cs="Arial"/>
          <w:color w:val="000000"/>
        </w:rPr>
      </w:pPr>
      <w:r w:rsidRPr="004D0149">
        <w:rPr>
          <w:rFonts w:ascii="Century Gothic" w:eastAsia="Arial" w:hAnsi="Century Gothic" w:cs="Arial"/>
          <w:color w:val="000000"/>
        </w:rPr>
        <w:t>V a VII…</w:t>
      </w:r>
    </w:p>
    <w:p w14:paraId="5337CE84" w14:textId="63B18F80" w:rsidR="00E12ED9" w:rsidRPr="00E12ED9" w:rsidRDefault="00E12ED9" w:rsidP="004D0149">
      <w:pPr>
        <w:spacing w:line="360" w:lineRule="auto"/>
        <w:jc w:val="center"/>
        <w:rPr>
          <w:rFonts w:ascii="Century Gothic" w:eastAsia="Arial" w:hAnsi="Century Gothic" w:cs="Arial"/>
          <w:b/>
          <w:color w:val="000000"/>
        </w:rPr>
      </w:pPr>
      <w:r w:rsidRPr="00E12ED9">
        <w:rPr>
          <w:rFonts w:ascii="Century Gothic" w:eastAsia="Arial" w:hAnsi="Century Gothic" w:cs="Arial"/>
          <w:b/>
          <w:color w:val="000000"/>
        </w:rPr>
        <w:t>TRANSITORIOS</w:t>
      </w:r>
    </w:p>
    <w:p w14:paraId="688726DF" w14:textId="03F67EB1" w:rsidR="00E12ED9" w:rsidRDefault="00E12ED9" w:rsidP="00E12ED9">
      <w:pPr>
        <w:spacing w:line="360" w:lineRule="auto"/>
        <w:jc w:val="both"/>
        <w:rPr>
          <w:rFonts w:ascii="Century Gothic" w:eastAsia="Arial" w:hAnsi="Century Gothic" w:cs="Arial"/>
          <w:color w:val="000000"/>
        </w:rPr>
      </w:pPr>
      <w:r w:rsidRPr="00E12ED9">
        <w:rPr>
          <w:rFonts w:ascii="Century Gothic" w:eastAsia="Arial" w:hAnsi="Century Gothic" w:cs="Arial"/>
          <w:b/>
          <w:color w:val="000000"/>
        </w:rPr>
        <w:t>ARTÍCULO ÚNICO.-</w:t>
      </w:r>
      <w:r w:rsidRPr="00E12ED9">
        <w:rPr>
          <w:rFonts w:ascii="Century Gothic" w:eastAsia="Arial" w:hAnsi="Century Gothic" w:cs="Arial"/>
          <w:color w:val="000000"/>
        </w:rPr>
        <w:t xml:space="preserve">  El presente Decreto entrará en vigor al día siguiente de su publicación en el Periódico Oficial del Estado.</w:t>
      </w:r>
    </w:p>
    <w:p w14:paraId="2266FAD5" w14:textId="77777777" w:rsidR="004D0149" w:rsidRPr="00E12ED9" w:rsidRDefault="004D0149" w:rsidP="00E12ED9">
      <w:pPr>
        <w:spacing w:line="360" w:lineRule="auto"/>
        <w:jc w:val="both"/>
        <w:rPr>
          <w:rFonts w:ascii="Century Gothic" w:eastAsia="Arial" w:hAnsi="Century Gothic" w:cs="Arial"/>
          <w:color w:val="000000"/>
        </w:rPr>
      </w:pPr>
    </w:p>
    <w:p w14:paraId="651CDEA7" w14:textId="0A19A12A" w:rsidR="005D08CC" w:rsidRDefault="00E12ED9" w:rsidP="00E12ED9">
      <w:pPr>
        <w:spacing w:line="360" w:lineRule="auto"/>
        <w:jc w:val="both"/>
        <w:rPr>
          <w:rFonts w:ascii="Century Gothic" w:eastAsia="Arial" w:hAnsi="Century Gothic" w:cs="Arial"/>
          <w:b/>
        </w:rPr>
      </w:pPr>
      <w:r w:rsidRPr="00E12ED9">
        <w:rPr>
          <w:rFonts w:ascii="Century Gothic" w:eastAsia="Arial" w:hAnsi="Century Gothic" w:cs="Arial"/>
          <w:color w:val="000000"/>
        </w:rPr>
        <w:t xml:space="preserve">Dado en el Palacio del Poder Legislativo, a los </w:t>
      </w:r>
      <w:r>
        <w:rPr>
          <w:rFonts w:ascii="Century Gothic" w:eastAsia="Arial" w:hAnsi="Century Gothic" w:cs="Arial"/>
          <w:color w:val="000000"/>
        </w:rPr>
        <w:t>1</w:t>
      </w:r>
      <w:r w:rsidR="00027D20">
        <w:rPr>
          <w:rFonts w:ascii="Century Gothic" w:eastAsia="Arial" w:hAnsi="Century Gothic" w:cs="Arial"/>
          <w:color w:val="000000"/>
        </w:rPr>
        <w:t>9</w:t>
      </w:r>
      <w:r w:rsidRPr="00E12ED9">
        <w:rPr>
          <w:rFonts w:ascii="Century Gothic" w:eastAsia="Arial" w:hAnsi="Century Gothic" w:cs="Arial"/>
          <w:color w:val="000000"/>
        </w:rPr>
        <w:t xml:space="preserve"> días de</w:t>
      </w:r>
      <w:r w:rsidR="00355848">
        <w:rPr>
          <w:rFonts w:ascii="Century Gothic" w:eastAsia="Arial" w:hAnsi="Century Gothic" w:cs="Arial"/>
          <w:color w:val="000000"/>
        </w:rPr>
        <w:t>l</w:t>
      </w:r>
      <w:r w:rsidRPr="00E12ED9">
        <w:rPr>
          <w:rFonts w:ascii="Century Gothic" w:eastAsia="Arial" w:hAnsi="Century Gothic" w:cs="Arial"/>
          <w:color w:val="000000"/>
        </w:rPr>
        <w:t xml:space="preserve"> mes de septiembre del año dos mil veintitrés.   </w:t>
      </w:r>
    </w:p>
    <w:p w14:paraId="1F968EE7" w14:textId="77777777" w:rsidR="00186193" w:rsidRDefault="00186193" w:rsidP="00E12ED9">
      <w:pPr>
        <w:spacing w:line="360" w:lineRule="auto"/>
        <w:jc w:val="both"/>
        <w:rPr>
          <w:rFonts w:ascii="Century Gothic" w:eastAsia="Arial" w:hAnsi="Century Gothic" w:cs="Arial"/>
          <w:b/>
        </w:rPr>
      </w:pPr>
    </w:p>
    <w:p w14:paraId="6DF4EC69" w14:textId="77777777" w:rsidR="00E91489" w:rsidRDefault="00E91489" w:rsidP="00E12ED9">
      <w:pPr>
        <w:spacing w:line="360" w:lineRule="auto"/>
        <w:jc w:val="both"/>
        <w:rPr>
          <w:rFonts w:ascii="Century Gothic" w:eastAsia="Arial" w:hAnsi="Century Gothic" w:cs="Arial"/>
          <w:b/>
        </w:rPr>
      </w:pPr>
    </w:p>
    <w:p w14:paraId="681E76B2" w14:textId="6C4DB855" w:rsidR="00186193" w:rsidRDefault="00186193" w:rsidP="00B21B2E">
      <w:pPr>
        <w:spacing w:line="360" w:lineRule="auto"/>
        <w:rPr>
          <w:rFonts w:ascii="Century Gothic" w:eastAsia="Arial" w:hAnsi="Century Gothic" w:cs="Arial"/>
          <w:b/>
        </w:rPr>
      </w:pPr>
    </w:p>
    <w:p w14:paraId="7CA5924E" w14:textId="76EABD3C" w:rsidR="00355848" w:rsidRDefault="00355848" w:rsidP="00B21B2E">
      <w:pPr>
        <w:spacing w:line="360" w:lineRule="auto"/>
        <w:rPr>
          <w:rFonts w:ascii="Century Gothic" w:eastAsia="Arial" w:hAnsi="Century Gothic" w:cs="Arial"/>
          <w:b/>
        </w:rPr>
      </w:pPr>
    </w:p>
    <w:p w14:paraId="266A8D3A" w14:textId="60B8A93C" w:rsidR="00355848" w:rsidRDefault="00355848" w:rsidP="00B21B2E">
      <w:pPr>
        <w:spacing w:line="360" w:lineRule="auto"/>
        <w:rPr>
          <w:rFonts w:ascii="Century Gothic" w:eastAsia="Arial" w:hAnsi="Century Gothic" w:cs="Arial"/>
          <w:b/>
        </w:rPr>
      </w:pPr>
    </w:p>
    <w:p w14:paraId="2741415C" w14:textId="0D7522BE" w:rsidR="00355848" w:rsidRDefault="00355848" w:rsidP="00B21B2E">
      <w:pPr>
        <w:spacing w:line="360" w:lineRule="auto"/>
        <w:rPr>
          <w:rFonts w:ascii="Century Gothic" w:eastAsia="Arial" w:hAnsi="Century Gothic" w:cs="Arial"/>
          <w:b/>
        </w:rPr>
      </w:pPr>
    </w:p>
    <w:p w14:paraId="61C28EF7" w14:textId="77777777" w:rsidR="00355848" w:rsidRDefault="00355848" w:rsidP="00B21B2E">
      <w:pPr>
        <w:spacing w:line="360" w:lineRule="auto"/>
        <w:rPr>
          <w:rFonts w:ascii="Century Gothic" w:eastAsia="Arial" w:hAnsi="Century Gothic" w:cs="Arial"/>
          <w:b/>
        </w:rPr>
      </w:pPr>
    </w:p>
    <w:p w14:paraId="73BC82EC" w14:textId="77777777" w:rsidR="00186193" w:rsidRDefault="00186193" w:rsidP="00EF6228">
      <w:pPr>
        <w:spacing w:line="360" w:lineRule="auto"/>
        <w:jc w:val="center"/>
        <w:rPr>
          <w:rFonts w:ascii="Century Gothic" w:eastAsia="Arial" w:hAnsi="Century Gothic" w:cs="Arial"/>
          <w:b/>
        </w:rPr>
      </w:pPr>
    </w:p>
    <w:p w14:paraId="21F78608" w14:textId="77777777" w:rsidR="00EF6228" w:rsidRPr="008C79C6" w:rsidRDefault="00EF6228" w:rsidP="00EF6228">
      <w:pPr>
        <w:spacing w:line="360" w:lineRule="auto"/>
        <w:jc w:val="center"/>
        <w:rPr>
          <w:rFonts w:ascii="Century Gothic" w:eastAsia="Arial" w:hAnsi="Century Gothic" w:cs="Arial"/>
          <w:b/>
        </w:rPr>
      </w:pPr>
      <w:r w:rsidRPr="008C79C6">
        <w:rPr>
          <w:rFonts w:ascii="Century Gothic" w:eastAsia="Arial" w:hAnsi="Century Gothic" w:cs="Arial"/>
          <w:b/>
        </w:rPr>
        <w:t>ATENTAMENTE.</w:t>
      </w:r>
    </w:p>
    <w:p w14:paraId="2FDDA2C5" w14:textId="77777777" w:rsidR="00EF6228" w:rsidRPr="008C79C6" w:rsidRDefault="00EF6228" w:rsidP="00EF6228">
      <w:pPr>
        <w:spacing w:line="360" w:lineRule="auto"/>
        <w:jc w:val="center"/>
        <w:rPr>
          <w:rFonts w:ascii="Century Gothic" w:eastAsia="Arial" w:hAnsi="Century Gothic" w:cs="Arial"/>
          <w:b/>
        </w:rPr>
      </w:pPr>
      <w:r w:rsidRPr="008C79C6">
        <w:rPr>
          <w:rFonts w:ascii="Century Gothic" w:eastAsia="Arial" w:hAnsi="Century Gothic" w:cs="Arial"/>
          <w:b/>
        </w:rPr>
        <w:t>POR EL GRUPO PARLAMENTARIO DEL PARTIDO ACCIÓN NACIONAL</w:t>
      </w:r>
    </w:p>
    <w:p w14:paraId="64BA2C71" w14:textId="77777777" w:rsidR="00EF6228" w:rsidRPr="008C79C6" w:rsidRDefault="00EF6228" w:rsidP="00EF6228">
      <w:pPr>
        <w:spacing w:line="360" w:lineRule="auto"/>
        <w:jc w:val="both"/>
        <w:rPr>
          <w:rFonts w:ascii="Century Gothic" w:eastAsia="Arial" w:hAnsi="Century Gothic" w:cs="Arial"/>
          <w:b/>
        </w:rPr>
      </w:pPr>
    </w:p>
    <w:p w14:paraId="5547D2D3" w14:textId="77777777" w:rsidR="00EF6228" w:rsidRPr="008C79C6" w:rsidRDefault="00EF6228" w:rsidP="00EF6228">
      <w:pPr>
        <w:spacing w:line="276" w:lineRule="auto"/>
        <w:jc w:val="both"/>
        <w:rPr>
          <w:rFonts w:ascii="Century Gothic" w:eastAsia="Arial" w:hAnsi="Century Gothic" w:cs="Arial"/>
          <w:b/>
        </w:rPr>
      </w:pPr>
    </w:p>
    <w:p w14:paraId="3F6FD872" w14:textId="77777777" w:rsidR="00EF6228" w:rsidRPr="008C79C6" w:rsidRDefault="00EF6228" w:rsidP="00EF6228">
      <w:pPr>
        <w:spacing w:line="276" w:lineRule="auto"/>
        <w:jc w:val="both"/>
        <w:rPr>
          <w:rFonts w:ascii="Century Gothic" w:eastAsia="Arial" w:hAnsi="Century Gothic" w:cs="Arial"/>
          <w:b/>
        </w:rPr>
      </w:pPr>
    </w:p>
    <w:p w14:paraId="40CF678E" w14:textId="77777777" w:rsidR="00EF6228" w:rsidRDefault="00EF6228" w:rsidP="00EF6228">
      <w:pPr>
        <w:shd w:val="clear" w:color="auto" w:fill="FFFFFF"/>
        <w:spacing w:line="360" w:lineRule="auto"/>
        <w:ind w:firstLine="709"/>
        <w:jc w:val="center"/>
        <w:rPr>
          <w:rFonts w:ascii="Century Gothic" w:eastAsia="Arial" w:hAnsi="Century Gothic" w:cs="Arial"/>
          <w:b/>
          <w:u w:val="single"/>
        </w:rPr>
      </w:pPr>
      <w:r w:rsidRPr="008C79C6">
        <w:rPr>
          <w:rFonts w:ascii="Century Gothic" w:eastAsia="Arial" w:hAnsi="Century Gothic" w:cs="Arial"/>
          <w:b/>
          <w:u w:val="single"/>
        </w:rPr>
        <w:t>Dip. Yesenia Guadalupe Reyes Calzadías</w:t>
      </w:r>
    </w:p>
    <w:p w14:paraId="6FC479C4" w14:textId="77777777" w:rsidR="005D08CC" w:rsidRDefault="005D08CC" w:rsidP="00EF6228">
      <w:pPr>
        <w:shd w:val="clear" w:color="auto" w:fill="FFFFFF"/>
        <w:spacing w:line="360" w:lineRule="auto"/>
        <w:ind w:firstLine="709"/>
        <w:jc w:val="center"/>
        <w:rPr>
          <w:rFonts w:ascii="Century Gothic" w:eastAsia="Arial" w:hAnsi="Century Gothic" w:cs="Arial"/>
          <w:b/>
          <w:u w:val="single"/>
        </w:rPr>
      </w:pPr>
    </w:p>
    <w:p w14:paraId="5F804378" w14:textId="77777777" w:rsidR="005D08CC" w:rsidRDefault="005D08CC" w:rsidP="00EF6228">
      <w:pPr>
        <w:shd w:val="clear" w:color="auto" w:fill="FFFFFF"/>
        <w:spacing w:line="360" w:lineRule="auto"/>
        <w:ind w:firstLine="709"/>
        <w:jc w:val="center"/>
        <w:rPr>
          <w:rFonts w:ascii="Century Gothic" w:eastAsia="Arial" w:hAnsi="Century Gothic" w:cs="Arial"/>
          <w:b/>
          <w:u w:val="single"/>
        </w:rPr>
      </w:pPr>
    </w:p>
    <w:p w14:paraId="56A948C1" w14:textId="77777777" w:rsidR="005D08CC" w:rsidRDefault="005D08CC" w:rsidP="00EF6228">
      <w:pPr>
        <w:shd w:val="clear" w:color="auto" w:fill="FFFFFF"/>
        <w:spacing w:line="360" w:lineRule="auto"/>
        <w:ind w:firstLine="709"/>
        <w:jc w:val="center"/>
        <w:rPr>
          <w:rFonts w:ascii="Century Gothic" w:eastAsia="Arial" w:hAnsi="Century Gothic" w:cs="Arial"/>
          <w:b/>
          <w:u w:val="single"/>
        </w:rPr>
      </w:pPr>
    </w:p>
    <w:p w14:paraId="3758FF1D" w14:textId="77777777" w:rsidR="005D08CC" w:rsidRDefault="005D08CC" w:rsidP="00221553">
      <w:pPr>
        <w:shd w:val="clear" w:color="auto" w:fill="FFFFFF"/>
        <w:spacing w:line="360" w:lineRule="auto"/>
        <w:rPr>
          <w:rFonts w:ascii="Century Gothic" w:eastAsia="Arial" w:hAnsi="Century Gothic" w:cs="Arial"/>
          <w:b/>
          <w:u w:val="single"/>
        </w:rPr>
      </w:pPr>
    </w:p>
    <w:p w14:paraId="6C3FBDB2" w14:textId="77777777" w:rsidR="005D08CC" w:rsidRDefault="005D08CC" w:rsidP="00EF6228">
      <w:pPr>
        <w:shd w:val="clear" w:color="auto" w:fill="FFFFFF"/>
        <w:spacing w:line="360" w:lineRule="auto"/>
        <w:ind w:firstLine="709"/>
        <w:jc w:val="center"/>
        <w:rPr>
          <w:rFonts w:ascii="Century Gothic" w:eastAsia="Arial" w:hAnsi="Century Gothic" w:cs="Arial"/>
          <w:b/>
          <w:u w:val="single"/>
        </w:rPr>
      </w:pPr>
    </w:p>
    <w:p w14:paraId="645D3E69" w14:textId="77777777" w:rsidR="008B4931" w:rsidRDefault="008B4931" w:rsidP="00EF6228">
      <w:pPr>
        <w:shd w:val="clear" w:color="auto" w:fill="FFFFFF"/>
        <w:spacing w:line="360" w:lineRule="auto"/>
        <w:ind w:firstLine="709"/>
        <w:jc w:val="center"/>
        <w:rPr>
          <w:rFonts w:ascii="Century Gothic" w:eastAsia="Arial" w:hAnsi="Century Gothic" w:cs="Arial"/>
          <w:b/>
          <w:u w:val="single"/>
        </w:rPr>
      </w:pPr>
    </w:p>
    <w:p w14:paraId="68303FF2" w14:textId="77777777" w:rsidR="000B6C1B" w:rsidRDefault="000B6C1B" w:rsidP="00EF6228">
      <w:pPr>
        <w:shd w:val="clear" w:color="auto" w:fill="FFFFFF"/>
        <w:spacing w:line="360" w:lineRule="auto"/>
        <w:ind w:firstLine="709"/>
        <w:jc w:val="center"/>
        <w:rPr>
          <w:rFonts w:ascii="Century Gothic" w:eastAsia="Arial" w:hAnsi="Century Gothic" w:cs="Arial"/>
          <w:b/>
          <w:u w:val="single"/>
        </w:rPr>
      </w:pPr>
    </w:p>
    <w:p w14:paraId="1E122625" w14:textId="77777777" w:rsidR="000B6C1B" w:rsidRDefault="000B6C1B" w:rsidP="00EF6228">
      <w:pPr>
        <w:shd w:val="clear" w:color="auto" w:fill="FFFFFF"/>
        <w:spacing w:line="360" w:lineRule="auto"/>
        <w:ind w:firstLine="709"/>
        <w:jc w:val="center"/>
        <w:rPr>
          <w:rFonts w:ascii="Century Gothic" w:eastAsia="Arial" w:hAnsi="Century Gothic" w:cs="Arial"/>
          <w:b/>
          <w:u w:val="single"/>
        </w:rPr>
      </w:pPr>
    </w:p>
    <w:p w14:paraId="394E1D41" w14:textId="77777777" w:rsidR="00E5491F" w:rsidRDefault="00E5491F" w:rsidP="00EF6228">
      <w:pPr>
        <w:shd w:val="clear" w:color="auto" w:fill="FFFFFF"/>
        <w:spacing w:line="360" w:lineRule="auto"/>
        <w:ind w:firstLine="709"/>
        <w:jc w:val="center"/>
        <w:rPr>
          <w:rFonts w:ascii="Century Gothic" w:eastAsia="Arial" w:hAnsi="Century Gothic" w:cs="Arial"/>
          <w:b/>
          <w:u w:val="single"/>
        </w:rPr>
      </w:pPr>
    </w:p>
    <w:p w14:paraId="1016CDFF" w14:textId="77777777" w:rsidR="00186193" w:rsidRDefault="00186193" w:rsidP="00EF6228">
      <w:pPr>
        <w:shd w:val="clear" w:color="auto" w:fill="FFFFFF"/>
        <w:spacing w:line="360" w:lineRule="auto"/>
        <w:ind w:firstLine="709"/>
        <w:jc w:val="center"/>
        <w:rPr>
          <w:rFonts w:ascii="Century Gothic" w:eastAsia="Arial" w:hAnsi="Century Gothic" w:cs="Arial"/>
          <w:b/>
          <w:u w:val="single"/>
        </w:rPr>
      </w:pPr>
    </w:p>
    <w:p w14:paraId="55E9782B" w14:textId="77777777" w:rsidR="00186193" w:rsidRPr="008C79C6" w:rsidRDefault="00186193" w:rsidP="00EF6228">
      <w:pPr>
        <w:shd w:val="clear" w:color="auto" w:fill="FFFFFF"/>
        <w:spacing w:line="360" w:lineRule="auto"/>
        <w:ind w:firstLine="709"/>
        <w:jc w:val="center"/>
        <w:rPr>
          <w:rFonts w:ascii="Century Gothic" w:eastAsia="Arial" w:hAnsi="Century Gothic" w:cs="Arial"/>
          <w:b/>
          <w:u w:val="single"/>
        </w:rPr>
      </w:pPr>
    </w:p>
    <w:tbl>
      <w:tblPr>
        <w:tblW w:w="9889" w:type="dxa"/>
        <w:tblLayout w:type="fixed"/>
        <w:tblLook w:val="0400" w:firstRow="0" w:lastRow="0" w:firstColumn="0" w:lastColumn="0" w:noHBand="0" w:noVBand="1"/>
      </w:tblPr>
      <w:tblGrid>
        <w:gridCol w:w="4489"/>
        <w:gridCol w:w="5400"/>
      </w:tblGrid>
      <w:tr w:rsidR="00EF6228" w:rsidRPr="008C79C6" w14:paraId="04D5DC4C" w14:textId="77777777" w:rsidTr="00E969C6">
        <w:trPr>
          <w:trHeight w:val="1108"/>
        </w:trPr>
        <w:tc>
          <w:tcPr>
            <w:tcW w:w="4489" w:type="dxa"/>
          </w:tcPr>
          <w:p w14:paraId="78B3DCDD"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Ismael Pérez Pavía</w:t>
            </w:r>
          </w:p>
        </w:tc>
        <w:tc>
          <w:tcPr>
            <w:tcW w:w="5400" w:type="dxa"/>
          </w:tcPr>
          <w:p w14:paraId="272D02EC"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 xml:space="preserve">Dip. </w:t>
            </w:r>
            <w:r w:rsidR="00692C23">
              <w:rPr>
                <w:rFonts w:ascii="Century Gothic" w:eastAsia="Arial" w:hAnsi="Century Gothic" w:cs="Arial"/>
                <w:b/>
                <w:u w:val="single"/>
              </w:rPr>
              <w:t>Georgina Alejandra Bujanda Ríos</w:t>
            </w:r>
          </w:p>
        </w:tc>
      </w:tr>
      <w:tr w:rsidR="00EF6228" w:rsidRPr="008C79C6" w14:paraId="5425854D" w14:textId="77777777" w:rsidTr="00E969C6">
        <w:trPr>
          <w:trHeight w:val="1136"/>
        </w:trPr>
        <w:tc>
          <w:tcPr>
            <w:tcW w:w="4489" w:type="dxa"/>
          </w:tcPr>
          <w:p w14:paraId="1B710ACE" w14:textId="77777777" w:rsidR="00EF6228" w:rsidRPr="008C79C6" w:rsidRDefault="00EF6228" w:rsidP="00E969C6">
            <w:pPr>
              <w:spacing w:line="360" w:lineRule="auto"/>
              <w:ind w:left="-284" w:firstLine="284"/>
              <w:rPr>
                <w:rFonts w:ascii="Century Gothic" w:eastAsia="Arial" w:hAnsi="Century Gothic" w:cs="Arial"/>
                <w:b/>
                <w:u w:val="single"/>
              </w:rPr>
            </w:pPr>
          </w:p>
          <w:p w14:paraId="5AB84758" w14:textId="77777777" w:rsidR="00EF6228" w:rsidRPr="008C79C6" w:rsidRDefault="00EF6228" w:rsidP="00E969C6">
            <w:pPr>
              <w:spacing w:line="360" w:lineRule="auto"/>
              <w:ind w:left="-1276" w:firstLine="1276"/>
              <w:rPr>
                <w:rFonts w:ascii="Century Gothic" w:eastAsia="Arial" w:hAnsi="Century Gothic" w:cs="Arial"/>
                <w:b/>
                <w:u w:val="single"/>
              </w:rPr>
            </w:pPr>
            <w:r w:rsidRPr="008C79C6">
              <w:rPr>
                <w:rFonts w:ascii="Century Gothic" w:eastAsia="Arial" w:hAnsi="Century Gothic" w:cs="Arial"/>
                <w:b/>
                <w:u w:val="single"/>
              </w:rPr>
              <w:t>Dip. Rocío Guadalupe Sarmiento Rufino</w:t>
            </w:r>
          </w:p>
          <w:p w14:paraId="6A95D1E2" w14:textId="77777777" w:rsidR="00EF6228" w:rsidRPr="008C79C6" w:rsidRDefault="00EF6228" w:rsidP="00E969C6">
            <w:pPr>
              <w:spacing w:line="360" w:lineRule="auto"/>
              <w:rPr>
                <w:rFonts w:ascii="Century Gothic" w:eastAsia="Arial" w:hAnsi="Century Gothic" w:cs="Arial"/>
                <w:b/>
                <w:u w:val="single"/>
              </w:rPr>
            </w:pPr>
          </w:p>
        </w:tc>
        <w:tc>
          <w:tcPr>
            <w:tcW w:w="5400" w:type="dxa"/>
          </w:tcPr>
          <w:p w14:paraId="10A1BFEB" w14:textId="77777777" w:rsidR="00EF6228" w:rsidRPr="008C79C6" w:rsidRDefault="00EF6228" w:rsidP="00E969C6">
            <w:pPr>
              <w:spacing w:line="360" w:lineRule="auto"/>
              <w:jc w:val="right"/>
              <w:rPr>
                <w:rFonts w:ascii="Century Gothic" w:eastAsia="Arial" w:hAnsi="Century Gothic" w:cs="Arial"/>
                <w:b/>
                <w:u w:val="single"/>
              </w:rPr>
            </w:pPr>
          </w:p>
          <w:p w14:paraId="284C54AB"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Saúl Mireles Corral</w:t>
            </w:r>
          </w:p>
          <w:p w14:paraId="1358E3BD" w14:textId="77777777" w:rsidR="00EF6228" w:rsidRPr="008C79C6" w:rsidRDefault="00EF6228" w:rsidP="00E969C6">
            <w:pPr>
              <w:spacing w:line="360" w:lineRule="auto"/>
              <w:jc w:val="right"/>
              <w:rPr>
                <w:rFonts w:ascii="Century Gothic" w:eastAsia="Arial" w:hAnsi="Century Gothic" w:cs="Arial"/>
                <w:b/>
                <w:u w:val="single"/>
              </w:rPr>
            </w:pPr>
          </w:p>
        </w:tc>
      </w:tr>
      <w:tr w:rsidR="00EF6228" w:rsidRPr="008C79C6" w14:paraId="104AFF36" w14:textId="77777777" w:rsidTr="00E969C6">
        <w:trPr>
          <w:trHeight w:val="1112"/>
        </w:trPr>
        <w:tc>
          <w:tcPr>
            <w:tcW w:w="4489" w:type="dxa"/>
          </w:tcPr>
          <w:p w14:paraId="3E77CB4A" w14:textId="77777777" w:rsidR="00EF6228" w:rsidRPr="008C79C6" w:rsidRDefault="00EF6228" w:rsidP="00E969C6">
            <w:pPr>
              <w:spacing w:line="360" w:lineRule="auto"/>
              <w:rPr>
                <w:rFonts w:ascii="Century Gothic" w:eastAsia="Arial" w:hAnsi="Century Gothic" w:cs="Arial"/>
                <w:b/>
                <w:u w:val="single"/>
              </w:rPr>
            </w:pPr>
          </w:p>
          <w:p w14:paraId="14BEBA71"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José Alfredo Chávez Madrid</w:t>
            </w:r>
          </w:p>
        </w:tc>
        <w:tc>
          <w:tcPr>
            <w:tcW w:w="5400" w:type="dxa"/>
          </w:tcPr>
          <w:p w14:paraId="74032B62" w14:textId="77777777" w:rsidR="00EF6228" w:rsidRPr="008C79C6" w:rsidRDefault="00EF6228" w:rsidP="00E969C6">
            <w:pPr>
              <w:spacing w:line="360" w:lineRule="auto"/>
              <w:jc w:val="right"/>
              <w:rPr>
                <w:rFonts w:ascii="Century Gothic" w:eastAsia="Arial" w:hAnsi="Century Gothic" w:cs="Arial"/>
                <w:b/>
                <w:u w:val="single"/>
              </w:rPr>
            </w:pPr>
          </w:p>
          <w:p w14:paraId="38A4407E"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Ismael Mario Rodríguez Saldaña</w:t>
            </w:r>
          </w:p>
        </w:tc>
      </w:tr>
      <w:tr w:rsidR="00EF6228" w:rsidRPr="008C79C6" w14:paraId="5A2CB0AB" w14:textId="77777777" w:rsidTr="00E969C6">
        <w:trPr>
          <w:trHeight w:val="1115"/>
        </w:trPr>
        <w:tc>
          <w:tcPr>
            <w:tcW w:w="4489" w:type="dxa"/>
          </w:tcPr>
          <w:p w14:paraId="282D8180" w14:textId="77777777" w:rsidR="00EF6228" w:rsidRPr="008C79C6" w:rsidRDefault="00EF6228" w:rsidP="00E969C6">
            <w:pPr>
              <w:spacing w:line="360" w:lineRule="auto"/>
              <w:rPr>
                <w:rFonts w:ascii="Century Gothic" w:eastAsia="Arial" w:hAnsi="Century Gothic" w:cs="Arial"/>
                <w:b/>
                <w:u w:val="single"/>
              </w:rPr>
            </w:pPr>
          </w:p>
          <w:p w14:paraId="74CDDEE4" w14:textId="77777777" w:rsidR="00EF6228" w:rsidRPr="008C79C6" w:rsidRDefault="00EF6228" w:rsidP="00E969C6">
            <w:pPr>
              <w:spacing w:line="360" w:lineRule="auto"/>
              <w:rPr>
                <w:rFonts w:ascii="Century Gothic" w:eastAsia="Arial" w:hAnsi="Century Gothic" w:cs="Arial"/>
                <w:b/>
                <w:u w:val="single"/>
              </w:rPr>
            </w:pPr>
          </w:p>
          <w:p w14:paraId="18ECD767"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Carlos Alfredo Olson San Vicente</w:t>
            </w:r>
          </w:p>
        </w:tc>
        <w:tc>
          <w:tcPr>
            <w:tcW w:w="5400" w:type="dxa"/>
          </w:tcPr>
          <w:p w14:paraId="51104696" w14:textId="77777777" w:rsidR="00EF6228" w:rsidRPr="008C79C6" w:rsidRDefault="00EF6228" w:rsidP="00E969C6">
            <w:pPr>
              <w:spacing w:line="360" w:lineRule="auto"/>
              <w:jc w:val="right"/>
              <w:rPr>
                <w:rFonts w:ascii="Century Gothic" w:eastAsia="Arial" w:hAnsi="Century Gothic" w:cs="Arial"/>
                <w:b/>
                <w:u w:val="single"/>
              </w:rPr>
            </w:pPr>
          </w:p>
          <w:p w14:paraId="7870BCDC" w14:textId="77777777" w:rsidR="00EF6228" w:rsidRPr="008C79C6" w:rsidRDefault="00EF6228" w:rsidP="00E969C6">
            <w:pPr>
              <w:spacing w:line="360" w:lineRule="auto"/>
              <w:jc w:val="right"/>
              <w:rPr>
                <w:rFonts w:ascii="Century Gothic" w:eastAsia="Arial" w:hAnsi="Century Gothic" w:cs="Arial"/>
                <w:b/>
                <w:u w:val="single"/>
              </w:rPr>
            </w:pPr>
          </w:p>
          <w:p w14:paraId="180A31FF"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Andrea Daniela Flores Chacón</w:t>
            </w:r>
          </w:p>
        </w:tc>
      </w:tr>
      <w:tr w:rsidR="00EF6228" w:rsidRPr="008C79C6" w14:paraId="375D3CFF" w14:textId="77777777" w:rsidTr="00E969C6">
        <w:trPr>
          <w:trHeight w:val="1272"/>
        </w:trPr>
        <w:tc>
          <w:tcPr>
            <w:tcW w:w="4489" w:type="dxa"/>
          </w:tcPr>
          <w:p w14:paraId="7F827053" w14:textId="77777777" w:rsidR="00EF6228" w:rsidRPr="008C79C6" w:rsidRDefault="00EF6228" w:rsidP="00E969C6">
            <w:pPr>
              <w:spacing w:line="360" w:lineRule="auto"/>
              <w:rPr>
                <w:rFonts w:ascii="Century Gothic" w:eastAsia="Arial" w:hAnsi="Century Gothic" w:cs="Arial"/>
                <w:b/>
                <w:u w:val="single"/>
              </w:rPr>
            </w:pPr>
          </w:p>
          <w:p w14:paraId="4A1C290C"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Roberto Marcelino Carreón Huitrón</w:t>
            </w:r>
          </w:p>
        </w:tc>
        <w:tc>
          <w:tcPr>
            <w:tcW w:w="5400" w:type="dxa"/>
          </w:tcPr>
          <w:p w14:paraId="355F85CE" w14:textId="77777777" w:rsidR="00EF6228" w:rsidRPr="008C79C6" w:rsidRDefault="00EF6228" w:rsidP="00E969C6">
            <w:pPr>
              <w:spacing w:line="360" w:lineRule="auto"/>
              <w:rPr>
                <w:rFonts w:ascii="Century Gothic" w:eastAsia="Arial" w:hAnsi="Century Gothic" w:cs="Arial"/>
                <w:b/>
                <w:u w:val="single"/>
              </w:rPr>
            </w:pPr>
          </w:p>
          <w:p w14:paraId="2C9CFE83" w14:textId="77777777" w:rsidR="00EF6228" w:rsidRPr="008C79C6" w:rsidRDefault="00EF6228" w:rsidP="00E969C6">
            <w:pPr>
              <w:spacing w:line="360" w:lineRule="auto"/>
              <w:jc w:val="right"/>
              <w:rPr>
                <w:rFonts w:ascii="Century Gothic" w:eastAsia="Arial" w:hAnsi="Century Gothic" w:cs="Arial"/>
                <w:b/>
                <w:u w:val="single"/>
              </w:rPr>
            </w:pPr>
          </w:p>
          <w:p w14:paraId="1DDCB6CB"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Luis Alberto Aguilar Lozoya</w:t>
            </w:r>
          </w:p>
        </w:tc>
      </w:tr>
      <w:tr w:rsidR="00EF6228" w:rsidRPr="008C79C6" w14:paraId="06CBC351" w14:textId="77777777" w:rsidTr="00E969C6">
        <w:trPr>
          <w:trHeight w:val="1272"/>
        </w:trPr>
        <w:tc>
          <w:tcPr>
            <w:tcW w:w="4489" w:type="dxa"/>
          </w:tcPr>
          <w:p w14:paraId="0EF9E5C5" w14:textId="77777777" w:rsidR="00EF6228" w:rsidRPr="008C79C6" w:rsidRDefault="00EF6228" w:rsidP="00E969C6">
            <w:pPr>
              <w:spacing w:line="360" w:lineRule="auto"/>
              <w:rPr>
                <w:rFonts w:ascii="Century Gothic" w:eastAsia="Arial" w:hAnsi="Century Gothic" w:cs="Arial"/>
                <w:b/>
                <w:u w:val="single"/>
              </w:rPr>
            </w:pPr>
          </w:p>
          <w:p w14:paraId="23F075F5" w14:textId="77777777" w:rsidR="00EF6228" w:rsidRPr="008C79C6" w:rsidRDefault="00EF6228" w:rsidP="00E969C6">
            <w:pPr>
              <w:spacing w:line="360" w:lineRule="auto"/>
              <w:rPr>
                <w:rFonts w:ascii="Century Gothic" w:eastAsia="Arial" w:hAnsi="Century Gothic" w:cs="Arial"/>
                <w:b/>
                <w:u w:val="single"/>
              </w:rPr>
            </w:pPr>
          </w:p>
          <w:p w14:paraId="5AEA051B"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Diana Ivette Pereda Gutiérrez</w:t>
            </w:r>
          </w:p>
        </w:tc>
        <w:tc>
          <w:tcPr>
            <w:tcW w:w="5400" w:type="dxa"/>
          </w:tcPr>
          <w:p w14:paraId="5ED2B320" w14:textId="77777777" w:rsidR="00EF6228" w:rsidRPr="008C79C6" w:rsidRDefault="00EF6228" w:rsidP="00E969C6">
            <w:pPr>
              <w:spacing w:line="360" w:lineRule="auto"/>
              <w:jc w:val="right"/>
              <w:rPr>
                <w:rFonts w:ascii="Century Gothic" w:eastAsia="Arial" w:hAnsi="Century Gothic" w:cs="Arial"/>
                <w:b/>
                <w:u w:val="single"/>
              </w:rPr>
            </w:pPr>
          </w:p>
          <w:p w14:paraId="542EB60E" w14:textId="77777777" w:rsidR="00EF6228" w:rsidRPr="008C79C6" w:rsidRDefault="00EF6228" w:rsidP="00E969C6">
            <w:pPr>
              <w:spacing w:line="360" w:lineRule="auto"/>
              <w:jc w:val="right"/>
              <w:rPr>
                <w:rFonts w:ascii="Century Gothic" w:eastAsia="Arial" w:hAnsi="Century Gothic" w:cs="Arial"/>
                <w:b/>
                <w:u w:val="single"/>
              </w:rPr>
            </w:pPr>
          </w:p>
          <w:p w14:paraId="1F0B125A"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Gabriel Ángel García Cantú</w:t>
            </w:r>
          </w:p>
        </w:tc>
      </w:tr>
      <w:tr w:rsidR="00EF6228" w:rsidRPr="008C79C6" w14:paraId="7B538252" w14:textId="77777777" w:rsidTr="00E969C6">
        <w:trPr>
          <w:trHeight w:val="1272"/>
        </w:trPr>
        <w:tc>
          <w:tcPr>
            <w:tcW w:w="4489" w:type="dxa"/>
          </w:tcPr>
          <w:p w14:paraId="5210ABE1" w14:textId="77777777" w:rsidR="00EF6228" w:rsidRPr="008C79C6" w:rsidRDefault="00EF6228" w:rsidP="00E969C6">
            <w:pPr>
              <w:spacing w:line="360" w:lineRule="auto"/>
              <w:rPr>
                <w:rFonts w:ascii="Century Gothic" w:eastAsia="Arial" w:hAnsi="Century Gothic" w:cs="Arial"/>
                <w:b/>
                <w:u w:val="single"/>
              </w:rPr>
            </w:pPr>
          </w:p>
          <w:p w14:paraId="649EAC14" w14:textId="77777777" w:rsidR="00EF6228" w:rsidRPr="008C79C6" w:rsidRDefault="00EF6228" w:rsidP="00E969C6">
            <w:pPr>
              <w:spacing w:line="360" w:lineRule="auto"/>
              <w:rPr>
                <w:rFonts w:ascii="Century Gothic" w:eastAsia="Arial" w:hAnsi="Century Gothic" w:cs="Arial"/>
                <w:b/>
                <w:u w:val="single"/>
              </w:rPr>
            </w:pPr>
            <w:r w:rsidRPr="008C79C6">
              <w:rPr>
                <w:rFonts w:ascii="Century Gothic" w:eastAsia="Arial" w:hAnsi="Century Gothic" w:cs="Arial"/>
                <w:b/>
                <w:u w:val="single"/>
              </w:rPr>
              <w:t>Dip. Rosa Isela Martínez Díaz</w:t>
            </w:r>
          </w:p>
        </w:tc>
        <w:tc>
          <w:tcPr>
            <w:tcW w:w="5400" w:type="dxa"/>
          </w:tcPr>
          <w:p w14:paraId="363C7733" w14:textId="77777777" w:rsidR="00EF6228" w:rsidRPr="008C79C6" w:rsidRDefault="00EF6228" w:rsidP="00E969C6">
            <w:pPr>
              <w:spacing w:line="360" w:lineRule="auto"/>
              <w:jc w:val="right"/>
              <w:rPr>
                <w:rFonts w:ascii="Century Gothic" w:eastAsia="Arial" w:hAnsi="Century Gothic" w:cs="Arial"/>
                <w:b/>
                <w:u w:val="single"/>
              </w:rPr>
            </w:pPr>
          </w:p>
          <w:p w14:paraId="48B5A3A3" w14:textId="77777777" w:rsidR="00EF6228" w:rsidRPr="008C79C6" w:rsidRDefault="00EF6228" w:rsidP="00E969C6">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Marisela Terrazas Muñoz</w:t>
            </w:r>
          </w:p>
        </w:tc>
      </w:tr>
    </w:tbl>
    <w:p w14:paraId="4DBB8963" w14:textId="77777777" w:rsidR="00EF6228" w:rsidRPr="008C79C6" w:rsidRDefault="00EF6228" w:rsidP="00EF6228">
      <w:pPr>
        <w:jc w:val="both"/>
        <w:rPr>
          <w:rFonts w:ascii="Century Gothic" w:hAnsi="Century Gothic"/>
          <w:b/>
          <w:i/>
        </w:rPr>
      </w:pPr>
    </w:p>
    <w:p w14:paraId="2E926FB6" w14:textId="77777777" w:rsidR="00EF6228" w:rsidRDefault="00EF6228" w:rsidP="00EF6228">
      <w:pPr>
        <w:jc w:val="both"/>
        <w:rPr>
          <w:rFonts w:ascii="Century Gothic" w:eastAsia="Arial" w:hAnsi="Century Gothic" w:cs="Arial"/>
          <w:color w:val="000000"/>
          <w:sz w:val="14"/>
          <w:szCs w:val="14"/>
        </w:rPr>
      </w:pPr>
    </w:p>
    <w:p w14:paraId="42D45D4D" w14:textId="77777777" w:rsidR="008042F5" w:rsidRDefault="008042F5" w:rsidP="00EF6228">
      <w:pPr>
        <w:jc w:val="both"/>
        <w:rPr>
          <w:rFonts w:ascii="Century Gothic" w:eastAsia="Arial" w:hAnsi="Century Gothic" w:cs="Arial"/>
          <w:color w:val="000000"/>
          <w:sz w:val="14"/>
          <w:szCs w:val="14"/>
        </w:rPr>
      </w:pPr>
    </w:p>
    <w:p w14:paraId="680C380C" w14:textId="77777777" w:rsidR="00EF6228" w:rsidRDefault="00EF6228" w:rsidP="00EF6228">
      <w:pPr>
        <w:jc w:val="both"/>
        <w:rPr>
          <w:rFonts w:ascii="Century Gothic" w:eastAsia="Arial" w:hAnsi="Century Gothic" w:cs="Arial"/>
          <w:color w:val="000000"/>
          <w:sz w:val="14"/>
          <w:szCs w:val="14"/>
        </w:rPr>
      </w:pPr>
    </w:p>
    <w:p w14:paraId="37CF25D6" w14:textId="77777777" w:rsidR="00EF6228" w:rsidRDefault="00EF6228" w:rsidP="00EF6228">
      <w:pPr>
        <w:jc w:val="both"/>
        <w:rPr>
          <w:rFonts w:ascii="Century Gothic" w:eastAsia="Arial" w:hAnsi="Century Gothic" w:cs="Arial"/>
          <w:color w:val="000000"/>
          <w:sz w:val="14"/>
          <w:szCs w:val="14"/>
        </w:rPr>
      </w:pPr>
    </w:p>
    <w:p w14:paraId="20EB57CA" w14:textId="39F6A188" w:rsidR="00710A36" w:rsidRPr="00452848" w:rsidRDefault="00EF6228" w:rsidP="00452848">
      <w:pPr>
        <w:jc w:val="both"/>
        <w:rPr>
          <w:rFonts w:ascii="Century Gothic" w:eastAsia="Arial" w:hAnsi="Century Gothic" w:cs="Arial"/>
          <w:color w:val="000000"/>
          <w:sz w:val="14"/>
          <w:szCs w:val="14"/>
        </w:rPr>
      </w:pPr>
      <w:r w:rsidRPr="008C79C6">
        <w:rPr>
          <w:rFonts w:ascii="Century Gothic" w:eastAsia="Arial" w:hAnsi="Century Gothic" w:cs="Arial"/>
          <w:color w:val="000000"/>
          <w:sz w:val="14"/>
          <w:szCs w:val="14"/>
        </w:rPr>
        <w:t>La presente hoja de firma</w:t>
      </w:r>
      <w:r w:rsidR="00B21B2E">
        <w:rPr>
          <w:rFonts w:ascii="Century Gothic" w:eastAsia="Arial" w:hAnsi="Century Gothic" w:cs="Arial"/>
          <w:color w:val="000000"/>
          <w:sz w:val="14"/>
          <w:szCs w:val="14"/>
        </w:rPr>
        <w:t>s</w:t>
      </w:r>
      <w:r w:rsidRPr="008C79C6">
        <w:rPr>
          <w:rFonts w:ascii="Century Gothic" w:eastAsia="Arial" w:hAnsi="Century Gothic" w:cs="Arial"/>
          <w:color w:val="000000"/>
          <w:sz w:val="14"/>
          <w:szCs w:val="14"/>
        </w:rPr>
        <w:t xml:space="preserve"> corresponde a</w:t>
      </w:r>
      <w:r>
        <w:rPr>
          <w:rFonts w:ascii="Century Gothic" w:eastAsia="Arial" w:hAnsi="Century Gothic" w:cs="Arial"/>
          <w:color w:val="000000"/>
          <w:sz w:val="14"/>
          <w:szCs w:val="14"/>
        </w:rPr>
        <w:t xml:space="preserve"> </w:t>
      </w:r>
      <w:r w:rsidR="00E12ED9" w:rsidRPr="00E12ED9">
        <w:rPr>
          <w:rFonts w:ascii="Century Gothic" w:eastAsia="Arial" w:hAnsi="Century Gothic" w:cs="Arial"/>
          <w:color w:val="000000"/>
          <w:sz w:val="14"/>
          <w:szCs w:val="14"/>
        </w:rPr>
        <w:t xml:space="preserve">Iniciativa con carácter de Decreto que reforma el artículo 5, fracción </w:t>
      </w:r>
      <w:r w:rsidR="004D0149">
        <w:rPr>
          <w:rFonts w:ascii="Century Gothic" w:eastAsia="Arial" w:hAnsi="Century Gothic" w:cs="Arial"/>
          <w:color w:val="000000"/>
          <w:sz w:val="14"/>
          <w:szCs w:val="14"/>
        </w:rPr>
        <w:t>I</w:t>
      </w:r>
      <w:r w:rsidR="00E12ED9" w:rsidRPr="00E12ED9">
        <w:rPr>
          <w:rFonts w:ascii="Century Gothic" w:eastAsia="Arial" w:hAnsi="Century Gothic" w:cs="Arial"/>
          <w:color w:val="000000"/>
          <w:sz w:val="14"/>
          <w:szCs w:val="14"/>
        </w:rPr>
        <w:t xml:space="preserve">V, de la Ley Estatal del Derecho de las Mujeres a una Vida Libre de Violencia, a fin de adicionar el incumplimiento de la obligación alimentaria como parte de la violencia </w:t>
      </w:r>
      <w:r w:rsidR="004D0149" w:rsidRPr="004D0149">
        <w:rPr>
          <w:rFonts w:ascii="Century Gothic" w:eastAsia="Arial" w:hAnsi="Century Gothic" w:cs="Arial"/>
          <w:color w:val="000000"/>
          <w:sz w:val="14"/>
          <w:szCs w:val="14"/>
        </w:rPr>
        <w:t>patrimonial</w:t>
      </w:r>
      <w:r w:rsidR="00E12ED9" w:rsidRPr="00E12ED9">
        <w:rPr>
          <w:rFonts w:ascii="Century Gothic" w:eastAsia="Arial" w:hAnsi="Century Gothic" w:cs="Arial"/>
          <w:color w:val="000000"/>
          <w:sz w:val="14"/>
          <w:szCs w:val="14"/>
        </w:rPr>
        <w:t xml:space="preserve"> en contra de las mujeres</w:t>
      </w:r>
      <w:r w:rsidR="00B30EA8">
        <w:rPr>
          <w:rFonts w:ascii="Century Gothic" w:eastAsia="Arial" w:hAnsi="Century Gothic" w:cs="Arial"/>
          <w:color w:val="000000"/>
          <w:sz w:val="14"/>
          <w:szCs w:val="14"/>
        </w:rPr>
        <w:t xml:space="preserve">. </w:t>
      </w:r>
      <w:r>
        <w:rPr>
          <w:rFonts w:ascii="Century Gothic" w:eastAsia="Arial" w:hAnsi="Century Gothic" w:cs="Arial"/>
          <w:color w:val="000000"/>
          <w:sz w:val="14"/>
          <w:szCs w:val="14"/>
        </w:rPr>
        <w:t>D</w:t>
      </w:r>
      <w:r w:rsidRPr="008C79C6">
        <w:rPr>
          <w:rFonts w:ascii="Century Gothic" w:eastAsia="Arial" w:hAnsi="Century Gothic" w:cs="Arial"/>
          <w:color w:val="000000"/>
          <w:sz w:val="14"/>
          <w:szCs w:val="14"/>
        </w:rPr>
        <w:t xml:space="preserve">e fecha  </w:t>
      </w:r>
      <w:r w:rsidR="00E12ED9">
        <w:rPr>
          <w:rFonts w:ascii="Century Gothic" w:eastAsia="Arial" w:hAnsi="Century Gothic" w:cs="Arial"/>
          <w:color w:val="000000"/>
          <w:sz w:val="14"/>
          <w:szCs w:val="14"/>
        </w:rPr>
        <w:t>1</w:t>
      </w:r>
      <w:r w:rsidR="00027D20">
        <w:rPr>
          <w:rFonts w:ascii="Century Gothic" w:eastAsia="Arial" w:hAnsi="Century Gothic" w:cs="Arial"/>
          <w:color w:val="000000"/>
          <w:sz w:val="14"/>
          <w:szCs w:val="14"/>
        </w:rPr>
        <w:t>9</w:t>
      </w:r>
      <w:r w:rsidR="006540A9">
        <w:rPr>
          <w:rFonts w:ascii="Century Gothic" w:eastAsia="Arial" w:hAnsi="Century Gothic" w:cs="Arial"/>
          <w:color w:val="000000"/>
          <w:sz w:val="14"/>
          <w:szCs w:val="14"/>
        </w:rPr>
        <w:t xml:space="preserve"> de</w:t>
      </w:r>
      <w:r w:rsidR="00452848">
        <w:rPr>
          <w:rFonts w:ascii="Century Gothic" w:eastAsia="Arial" w:hAnsi="Century Gothic" w:cs="Arial"/>
          <w:color w:val="000000"/>
          <w:sz w:val="14"/>
          <w:szCs w:val="14"/>
        </w:rPr>
        <w:t xml:space="preserve"> </w:t>
      </w:r>
      <w:r w:rsidR="00E12ED9">
        <w:rPr>
          <w:rFonts w:ascii="Century Gothic" w:eastAsia="Arial" w:hAnsi="Century Gothic" w:cs="Arial"/>
          <w:color w:val="000000"/>
          <w:sz w:val="14"/>
          <w:szCs w:val="14"/>
        </w:rPr>
        <w:t>septiembre</w:t>
      </w:r>
      <w:r w:rsidR="00452848">
        <w:rPr>
          <w:rFonts w:ascii="Century Gothic" w:eastAsia="Arial" w:hAnsi="Century Gothic" w:cs="Arial"/>
          <w:color w:val="000000"/>
          <w:sz w:val="14"/>
          <w:szCs w:val="14"/>
        </w:rPr>
        <w:t xml:space="preserve"> del 2023.</w:t>
      </w:r>
    </w:p>
    <w:p w14:paraId="7F939A13" w14:textId="77777777" w:rsidR="00CB20E9" w:rsidRDefault="00CB20E9"/>
    <w:p w14:paraId="5C8AC5DC" w14:textId="77777777" w:rsidR="00CB20E9" w:rsidRDefault="00CB20E9"/>
    <w:p w14:paraId="52D5659B" w14:textId="77777777" w:rsidR="00CB20E9" w:rsidRDefault="00CB20E9"/>
    <w:p w14:paraId="5FA7DF98" w14:textId="77777777" w:rsidR="00CB20E9" w:rsidRDefault="00CB20E9"/>
    <w:p w14:paraId="4639C6D3" w14:textId="77777777" w:rsidR="00CB20E9" w:rsidRDefault="00CB20E9"/>
    <w:p w14:paraId="318D691D" w14:textId="77777777" w:rsidR="00CB20E9" w:rsidRDefault="00CB20E9"/>
    <w:p w14:paraId="19065CEC" w14:textId="77777777" w:rsidR="00CB20E9" w:rsidRDefault="00CB20E9"/>
    <w:p w14:paraId="242785FB" w14:textId="77777777" w:rsidR="00CB20E9" w:rsidRDefault="00CB20E9"/>
    <w:p w14:paraId="1B4BA329" w14:textId="77777777" w:rsidR="00CB20E9" w:rsidRDefault="00CB20E9"/>
    <w:p w14:paraId="3FBF1F7B" w14:textId="77777777" w:rsidR="00CB20E9" w:rsidRDefault="00CB20E9"/>
    <w:p w14:paraId="22278561" w14:textId="77777777" w:rsidR="00CB20E9" w:rsidRDefault="00CB20E9"/>
    <w:p w14:paraId="6134AFF4" w14:textId="77777777" w:rsidR="00CB20E9" w:rsidRDefault="00CB20E9"/>
    <w:p w14:paraId="3D4F1C0D" w14:textId="77777777" w:rsidR="00CB20E9" w:rsidRDefault="00CB20E9"/>
    <w:sectPr w:rsidR="00CB20E9">
      <w:headerReference w:type="even" r:id="rId6"/>
      <w:headerReference w:type="default" r:id="rId7"/>
      <w:footerReference w:type="even" r:id="rId8"/>
      <w:footerReference w:type="default" r:id="rId9"/>
      <w:headerReference w:type="first" r:id="rId10"/>
      <w:footerReference w:type="first" r:id="rId11"/>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C775" w14:textId="77777777" w:rsidR="00B23708" w:rsidRDefault="00B23708">
      <w:r>
        <w:separator/>
      </w:r>
    </w:p>
  </w:endnote>
  <w:endnote w:type="continuationSeparator" w:id="0">
    <w:p w14:paraId="5F708287" w14:textId="77777777" w:rsidR="00B23708" w:rsidRDefault="00B2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3772543"/>
      <w:docPartObj>
        <w:docPartGallery w:val="Page Numbers (Bottom of Page)"/>
        <w:docPartUnique/>
      </w:docPartObj>
    </w:sdtPr>
    <w:sdtEndPr>
      <w:rPr>
        <w:rStyle w:val="Nmerodepgina"/>
      </w:rPr>
    </w:sdtEndPr>
    <w:sdtContent>
      <w:p w14:paraId="5903FEAE" w14:textId="77777777" w:rsidR="00DB1447" w:rsidRDefault="005D08CC" w:rsidP="000B76E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4E3DFE" w14:textId="77777777" w:rsidR="00DB1447" w:rsidRDefault="00DB1447" w:rsidP="000B76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6235275"/>
      <w:docPartObj>
        <w:docPartGallery w:val="Page Numbers (Bottom of Page)"/>
        <w:docPartUnique/>
      </w:docPartObj>
    </w:sdtPr>
    <w:sdtEndPr>
      <w:rPr>
        <w:rStyle w:val="Nmerodepgina"/>
      </w:rPr>
    </w:sdtEndPr>
    <w:sdtContent>
      <w:p w14:paraId="1BC69F1F" w14:textId="77777777" w:rsidR="00DB1447" w:rsidRDefault="005D08CC" w:rsidP="000B76E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B6C1B">
          <w:rPr>
            <w:rStyle w:val="Nmerodepgina"/>
            <w:noProof/>
          </w:rPr>
          <w:t>6</w:t>
        </w:r>
        <w:r>
          <w:rPr>
            <w:rStyle w:val="Nmerodepgina"/>
          </w:rPr>
          <w:fldChar w:fldCharType="end"/>
        </w:r>
      </w:p>
    </w:sdtContent>
  </w:sdt>
  <w:p w14:paraId="2DD32076" w14:textId="77777777" w:rsidR="00DB1447" w:rsidRDefault="00DB1447" w:rsidP="000B76E5">
    <w:pPr>
      <w:pBdr>
        <w:top w:val="nil"/>
        <w:left w:val="nil"/>
        <w:bottom w:val="nil"/>
        <w:right w:val="nil"/>
        <w:between w:val="nil"/>
      </w:pBdr>
      <w:tabs>
        <w:tab w:val="center" w:pos="4419"/>
        <w:tab w:val="right" w:pos="88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FF3F" w14:textId="77777777" w:rsidR="00DB1447" w:rsidRDefault="00DB144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2928" w14:textId="77777777" w:rsidR="00B23708" w:rsidRDefault="00B23708">
      <w:r>
        <w:separator/>
      </w:r>
    </w:p>
  </w:footnote>
  <w:footnote w:type="continuationSeparator" w:id="0">
    <w:p w14:paraId="79DE1BF8" w14:textId="77777777" w:rsidR="00B23708" w:rsidRDefault="00B2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A41C" w14:textId="77777777" w:rsidR="00DB1447" w:rsidRDefault="00DB144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0664" w14:textId="77777777" w:rsidR="00DB1447" w:rsidRDefault="005D08CC">
    <w:pPr>
      <w:pBdr>
        <w:top w:val="nil"/>
        <w:left w:val="nil"/>
        <w:bottom w:val="nil"/>
        <w:right w:val="nil"/>
        <w:between w:val="nil"/>
      </w:pBdr>
      <w:tabs>
        <w:tab w:val="center" w:pos="4419"/>
        <w:tab w:val="right" w:pos="8838"/>
      </w:tabs>
      <w:rPr>
        <w:color w:val="000000"/>
      </w:rPr>
    </w:pPr>
    <w:r>
      <w:rPr>
        <w:noProof/>
        <w:lang w:eastAsia="es-MX"/>
      </w:rPr>
      <w:drawing>
        <wp:anchor distT="0" distB="0" distL="0" distR="0" simplePos="0" relativeHeight="251659264" behindDoc="1" locked="0" layoutInCell="1" hidden="0" allowOverlap="1" wp14:anchorId="5E2C5510" wp14:editId="65C83BA0">
          <wp:simplePos x="0" y="0"/>
          <wp:positionH relativeFrom="column">
            <wp:posOffset>-1080134</wp:posOffset>
          </wp:positionH>
          <wp:positionV relativeFrom="paragraph">
            <wp:posOffset>-448309</wp:posOffset>
          </wp:positionV>
          <wp:extent cx="7772400" cy="1005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EC62" w14:textId="77777777" w:rsidR="00DB1447" w:rsidRDefault="00DB1447">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82"/>
    <w:rsid w:val="00007126"/>
    <w:rsid w:val="0002319A"/>
    <w:rsid w:val="00025A19"/>
    <w:rsid w:val="00026C70"/>
    <w:rsid w:val="00027D20"/>
    <w:rsid w:val="0008248A"/>
    <w:rsid w:val="00087D39"/>
    <w:rsid w:val="00091CC0"/>
    <w:rsid w:val="00092710"/>
    <w:rsid w:val="000A04D9"/>
    <w:rsid w:val="000A23EC"/>
    <w:rsid w:val="000A7E07"/>
    <w:rsid w:val="000B6C1B"/>
    <w:rsid w:val="000C46A8"/>
    <w:rsid w:val="000D537E"/>
    <w:rsid w:val="000D6CD2"/>
    <w:rsid w:val="000E043B"/>
    <w:rsid w:val="000E2E5A"/>
    <w:rsid w:val="000E63CA"/>
    <w:rsid w:val="000F09D5"/>
    <w:rsid w:val="000F7330"/>
    <w:rsid w:val="00101060"/>
    <w:rsid w:val="00101FEB"/>
    <w:rsid w:val="001232B9"/>
    <w:rsid w:val="0012331C"/>
    <w:rsid w:val="00127B30"/>
    <w:rsid w:val="00127F8A"/>
    <w:rsid w:val="00141978"/>
    <w:rsid w:val="00147D23"/>
    <w:rsid w:val="00156EB0"/>
    <w:rsid w:val="00165905"/>
    <w:rsid w:val="00173874"/>
    <w:rsid w:val="00186193"/>
    <w:rsid w:val="00190679"/>
    <w:rsid w:val="001C46BA"/>
    <w:rsid w:val="001D3D07"/>
    <w:rsid w:val="001F550A"/>
    <w:rsid w:val="00210D51"/>
    <w:rsid w:val="00211003"/>
    <w:rsid w:val="002151DC"/>
    <w:rsid w:val="002204BA"/>
    <w:rsid w:val="00221553"/>
    <w:rsid w:val="0023046F"/>
    <w:rsid w:val="00234BFF"/>
    <w:rsid w:val="00235353"/>
    <w:rsid w:val="002440F9"/>
    <w:rsid w:val="0026197B"/>
    <w:rsid w:val="00265FBC"/>
    <w:rsid w:val="002669BC"/>
    <w:rsid w:val="002723AB"/>
    <w:rsid w:val="002A4E28"/>
    <w:rsid w:val="002B3BA6"/>
    <w:rsid w:val="002E24F3"/>
    <w:rsid w:val="002E689D"/>
    <w:rsid w:val="00302CD3"/>
    <w:rsid w:val="0030398B"/>
    <w:rsid w:val="00321740"/>
    <w:rsid w:val="003260C2"/>
    <w:rsid w:val="00345B9A"/>
    <w:rsid w:val="00355848"/>
    <w:rsid w:val="0036724F"/>
    <w:rsid w:val="003720B3"/>
    <w:rsid w:val="00377799"/>
    <w:rsid w:val="00383D54"/>
    <w:rsid w:val="00386A25"/>
    <w:rsid w:val="00386E23"/>
    <w:rsid w:val="0038794A"/>
    <w:rsid w:val="00395D1E"/>
    <w:rsid w:val="003A324A"/>
    <w:rsid w:val="003B04C0"/>
    <w:rsid w:val="003B74FA"/>
    <w:rsid w:val="003B7C2D"/>
    <w:rsid w:val="003C3196"/>
    <w:rsid w:val="003C7B3D"/>
    <w:rsid w:val="003D3CE1"/>
    <w:rsid w:val="003D3F31"/>
    <w:rsid w:val="003D608B"/>
    <w:rsid w:val="003E7307"/>
    <w:rsid w:val="003F3C9E"/>
    <w:rsid w:val="00411DCF"/>
    <w:rsid w:val="00422FF7"/>
    <w:rsid w:val="0042590A"/>
    <w:rsid w:val="004324BE"/>
    <w:rsid w:val="00452848"/>
    <w:rsid w:val="00453D6A"/>
    <w:rsid w:val="004649C5"/>
    <w:rsid w:val="004727E2"/>
    <w:rsid w:val="004820E6"/>
    <w:rsid w:val="004D0149"/>
    <w:rsid w:val="004D07E2"/>
    <w:rsid w:val="004D144E"/>
    <w:rsid w:val="004D2F57"/>
    <w:rsid w:val="004D4F52"/>
    <w:rsid w:val="00502C3A"/>
    <w:rsid w:val="00506E7D"/>
    <w:rsid w:val="00522149"/>
    <w:rsid w:val="00523B72"/>
    <w:rsid w:val="00527F68"/>
    <w:rsid w:val="0053164E"/>
    <w:rsid w:val="005427BE"/>
    <w:rsid w:val="00545E62"/>
    <w:rsid w:val="005539D6"/>
    <w:rsid w:val="005631BB"/>
    <w:rsid w:val="00563263"/>
    <w:rsid w:val="005674CC"/>
    <w:rsid w:val="00583AD1"/>
    <w:rsid w:val="0059623D"/>
    <w:rsid w:val="0059736B"/>
    <w:rsid w:val="005C07E2"/>
    <w:rsid w:val="005C3FE3"/>
    <w:rsid w:val="005D08CC"/>
    <w:rsid w:val="005D1384"/>
    <w:rsid w:val="005E65E6"/>
    <w:rsid w:val="0060482D"/>
    <w:rsid w:val="00633E0A"/>
    <w:rsid w:val="00635EA7"/>
    <w:rsid w:val="00641F88"/>
    <w:rsid w:val="00643569"/>
    <w:rsid w:val="00653550"/>
    <w:rsid w:val="006540A9"/>
    <w:rsid w:val="0069091E"/>
    <w:rsid w:val="006920CC"/>
    <w:rsid w:val="00692C23"/>
    <w:rsid w:val="006B53B1"/>
    <w:rsid w:val="006C174F"/>
    <w:rsid w:val="006C6724"/>
    <w:rsid w:val="006D510F"/>
    <w:rsid w:val="006F683D"/>
    <w:rsid w:val="00710A36"/>
    <w:rsid w:val="00713555"/>
    <w:rsid w:val="00744657"/>
    <w:rsid w:val="007529CE"/>
    <w:rsid w:val="00765735"/>
    <w:rsid w:val="00765E28"/>
    <w:rsid w:val="00781415"/>
    <w:rsid w:val="00782822"/>
    <w:rsid w:val="0078384C"/>
    <w:rsid w:val="0078465B"/>
    <w:rsid w:val="00787FB7"/>
    <w:rsid w:val="007B42FB"/>
    <w:rsid w:val="007B5958"/>
    <w:rsid w:val="007C1EF0"/>
    <w:rsid w:val="007C2C62"/>
    <w:rsid w:val="007C358B"/>
    <w:rsid w:val="007C43E5"/>
    <w:rsid w:val="007C6525"/>
    <w:rsid w:val="007E1A51"/>
    <w:rsid w:val="007E4AC7"/>
    <w:rsid w:val="008042F5"/>
    <w:rsid w:val="0080545A"/>
    <w:rsid w:val="008061E9"/>
    <w:rsid w:val="008078C9"/>
    <w:rsid w:val="00823E92"/>
    <w:rsid w:val="00825D6E"/>
    <w:rsid w:val="00836E7D"/>
    <w:rsid w:val="0084627D"/>
    <w:rsid w:val="00850F07"/>
    <w:rsid w:val="00854473"/>
    <w:rsid w:val="008550E1"/>
    <w:rsid w:val="0086328F"/>
    <w:rsid w:val="00866B85"/>
    <w:rsid w:val="00870AB5"/>
    <w:rsid w:val="00870ED4"/>
    <w:rsid w:val="0087398A"/>
    <w:rsid w:val="008A0DD3"/>
    <w:rsid w:val="008A6F94"/>
    <w:rsid w:val="008B4931"/>
    <w:rsid w:val="008B50B3"/>
    <w:rsid w:val="008B6CBD"/>
    <w:rsid w:val="008C72B1"/>
    <w:rsid w:val="008E675A"/>
    <w:rsid w:val="00910C51"/>
    <w:rsid w:val="00941BF1"/>
    <w:rsid w:val="00944F72"/>
    <w:rsid w:val="00960E3B"/>
    <w:rsid w:val="00970584"/>
    <w:rsid w:val="00984FC3"/>
    <w:rsid w:val="009857D8"/>
    <w:rsid w:val="009902FA"/>
    <w:rsid w:val="00995596"/>
    <w:rsid w:val="00995A4D"/>
    <w:rsid w:val="009B3A82"/>
    <w:rsid w:val="009C50B4"/>
    <w:rsid w:val="009D5982"/>
    <w:rsid w:val="009E2B7E"/>
    <w:rsid w:val="009E433F"/>
    <w:rsid w:val="009F1B4E"/>
    <w:rsid w:val="009F3441"/>
    <w:rsid w:val="009F3BC0"/>
    <w:rsid w:val="009F40FB"/>
    <w:rsid w:val="00A16A4C"/>
    <w:rsid w:val="00A22910"/>
    <w:rsid w:val="00A330D9"/>
    <w:rsid w:val="00A35FA3"/>
    <w:rsid w:val="00A4681B"/>
    <w:rsid w:val="00A71159"/>
    <w:rsid w:val="00A72651"/>
    <w:rsid w:val="00A72FC6"/>
    <w:rsid w:val="00A73344"/>
    <w:rsid w:val="00A83BF0"/>
    <w:rsid w:val="00AC2559"/>
    <w:rsid w:val="00AE2614"/>
    <w:rsid w:val="00AE46AA"/>
    <w:rsid w:val="00B02EA4"/>
    <w:rsid w:val="00B07BC0"/>
    <w:rsid w:val="00B21B2E"/>
    <w:rsid w:val="00B21FA0"/>
    <w:rsid w:val="00B23708"/>
    <w:rsid w:val="00B30EA8"/>
    <w:rsid w:val="00B368D7"/>
    <w:rsid w:val="00B36D17"/>
    <w:rsid w:val="00B43A53"/>
    <w:rsid w:val="00B50B2C"/>
    <w:rsid w:val="00B6042A"/>
    <w:rsid w:val="00B819FA"/>
    <w:rsid w:val="00B84A35"/>
    <w:rsid w:val="00BA04CB"/>
    <w:rsid w:val="00BA7848"/>
    <w:rsid w:val="00BB5DAB"/>
    <w:rsid w:val="00BC0943"/>
    <w:rsid w:val="00BC0FCA"/>
    <w:rsid w:val="00BD29FA"/>
    <w:rsid w:val="00BD423D"/>
    <w:rsid w:val="00BD5569"/>
    <w:rsid w:val="00BD7731"/>
    <w:rsid w:val="00BE2CC9"/>
    <w:rsid w:val="00BE789F"/>
    <w:rsid w:val="00C03134"/>
    <w:rsid w:val="00C0397C"/>
    <w:rsid w:val="00C04612"/>
    <w:rsid w:val="00C10483"/>
    <w:rsid w:val="00C1187A"/>
    <w:rsid w:val="00C12A8A"/>
    <w:rsid w:val="00C41027"/>
    <w:rsid w:val="00C41FD7"/>
    <w:rsid w:val="00C56614"/>
    <w:rsid w:val="00C60B89"/>
    <w:rsid w:val="00C61AD5"/>
    <w:rsid w:val="00C654A2"/>
    <w:rsid w:val="00C65DEB"/>
    <w:rsid w:val="00C8317B"/>
    <w:rsid w:val="00C867DE"/>
    <w:rsid w:val="00C904CB"/>
    <w:rsid w:val="00C94DA7"/>
    <w:rsid w:val="00CB20E9"/>
    <w:rsid w:val="00CB331D"/>
    <w:rsid w:val="00CC1D3E"/>
    <w:rsid w:val="00CC305B"/>
    <w:rsid w:val="00CD2B96"/>
    <w:rsid w:val="00CD5A6B"/>
    <w:rsid w:val="00CE6534"/>
    <w:rsid w:val="00CF09AB"/>
    <w:rsid w:val="00CF384B"/>
    <w:rsid w:val="00D010A3"/>
    <w:rsid w:val="00D1218A"/>
    <w:rsid w:val="00D17740"/>
    <w:rsid w:val="00D214BE"/>
    <w:rsid w:val="00D36345"/>
    <w:rsid w:val="00D4197A"/>
    <w:rsid w:val="00D439E3"/>
    <w:rsid w:val="00D5071F"/>
    <w:rsid w:val="00D63FC5"/>
    <w:rsid w:val="00D67003"/>
    <w:rsid w:val="00D72593"/>
    <w:rsid w:val="00D74720"/>
    <w:rsid w:val="00D7507B"/>
    <w:rsid w:val="00D878C0"/>
    <w:rsid w:val="00D91B25"/>
    <w:rsid w:val="00D93E81"/>
    <w:rsid w:val="00DB1447"/>
    <w:rsid w:val="00DB1DCF"/>
    <w:rsid w:val="00DB7829"/>
    <w:rsid w:val="00DC5066"/>
    <w:rsid w:val="00DC7871"/>
    <w:rsid w:val="00DC79E7"/>
    <w:rsid w:val="00DE6EEA"/>
    <w:rsid w:val="00DE74C5"/>
    <w:rsid w:val="00DF1782"/>
    <w:rsid w:val="00DF776B"/>
    <w:rsid w:val="00E014E8"/>
    <w:rsid w:val="00E03605"/>
    <w:rsid w:val="00E1047E"/>
    <w:rsid w:val="00E12ED9"/>
    <w:rsid w:val="00E13A29"/>
    <w:rsid w:val="00E161CF"/>
    <w:rsid w:val="00E24C51"/>
    <w:rsid w:val="00E2555C"/>
    <w:rsid w:val="00E41F8C"/>
    <w:rsid w:val="00E4275F"/>
    <w:rsid w:val="00E4324D"/>
    <w:rsid w:val="00E50868"/>
    <w:rsid w:val="00E5491F"/>
    <w:rsid w:val="00E664FF"/>
    <w:rsid w:val="00E7005B"/>
    <w:rsid w:val="00E75973"/>
    <w:rsid w:val="00E91489"/>
    <w:rsid w:val="00E97148"/>
    <w:rsid w:val="00EA7086"/>
    <w:rsid w:val="00EB1E05"/>
    <w:rsid w:val="00EC0B8C"/>
    <w:rsid w:val="00EC6A17"/>
    <w:rsid w:val="00ED6471"/>
    <w:rsid w:val="00EE0B25"/>
    <w:rsid w:val="00EF3C42"/>
    <w:rsid w:val="00EF575B"/>
    <w:rsid w:val="00EF6228"/>
    <w:rsid w:val="00F00425"/>
    <w:rsid w:val="00F04BC0"/>
    <w:rsid w:val="00F050E5"/>
    <w:rsid w:val="00F11AF8"/>
    <w:rsid w:val="00F23F16"/>
    <w:rsid w:val="00F33112"/>
    <w:rsid w:val="00F42824"/>
    <w:rsid w:val="00F514ED"/>
    <w:rsid w:val="00F550E2"/>
    <w:rsid w:val="00F55249"/>
    <w:rsid w:val="00F65645"/>
    <w:rsid w:val="00FC0EBA"/>
    <w:rsid w:val="00FC1D48"/>
    <w:rsid w:val="00FE2BA5"/>
    <w:rsid w:val="00FE7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63A3"/>
  <w15:chartTrackingRefBased/>
  <w15:docId w15:val="{DC9ED0A9-DEAA-5D4E-A870-32A746D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28"/>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F6228"/>
    <w:pPr>
      <w:tabs>
        <w:tab w:val="center" w:pos="4419"/>
        <w:tab w:val="right" w:pos="8838"/>
      </w:tabs>
    </w:pPr>
    <w:rPr>
      <w:rFonts w:ascii="Calibri" w:eastAsia="Calibri" w:hAnsi="Calibri" w:cs="Calibri"/>
      <w:sz w:val="22"/>
      <w:szCs w:val="22"/>
      <w:lang w:eastAsia="es-MX"/>
    </w:rPr>
  </w:style>
  <w:style w:type="character" w:customStyle="1" w:styleId="PiedepginaCar">
    <w:name w:val="Pie de página Car"/>
    <w:basedOn w:val="Fuentedeprrafopredeter"/>
    <w:link w:val="Piedepgina"/>
    <w:uiPriority w:val="99"/>
    <w:rsid w:val="00EF6228"/>
    <w:rPr>
      <w:rFonts w:ascii="Calibri" w:eastAsia="Calibri" w:hAnsi="Calibri" w:cs="Calibri"/>
      <w:sz w:val="22"/>
      <w:szCs w:val="22"/>
      <w:lang w:eastAsia="es-MX"/>
    </w:rPr>
  </w:style>
  <w:style w:type="character" w:styleId="Nmerodepgina">
    <w:name w:val="page number"/>
    <w:basedOn w:val="Fuentedeprrafopredeter"/>
    <w:uiPriority w:val="99"/>
    <w:semiHidden/>
    <w:unhideWhenUsed/>
    <w:rsid w:val="00EF6228"/>
  </w:style>
  <w:style w:type="paragraph" w:styleId="NormalWeb">
    <w:name w:val="Normal (Web)"/>
    <w:basedOn w:val="Normal"/>
    <w:uiPriority w:val="99"/>
    <w:semiHidden/>
    <w:unhideWhenUsed/>
    <w:rsid w:val="002E689D"/>
    <w:pPr>
      <w:spacing w:before="100" w:beforeAutospacing="1" w:after="100" w:afterAutospacing="1"/>
    </w:pPr>
  </w:style>
  <w:style w:type="paragraph" w:styleId="Textodeglobo">
    <w:name w:val="Balloon Text"/>
    <w:basedOn w:val="Normal"/>
    <w:link w:val="TextodegloboCar"/>
    <w:uiPriority w:val="99"/>
    <w:semiHidden/>
    <w:unhideWhenUsed/>
    <w:rsid w:val="00823E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E92"/>
    <w:rPr>
      <w:rFonts w:ascii="Segoe UI" w:eastAsia="Times New Roman" w:hAnsi="Segoe UI" w:cs="Segoe UI"/>
      <w:sz w:val="18"/>
      <w:szCs w:val="18"/>
      <w:lang w:eastAsia="es-ES_tradnl"/>
    </w:rPr>
  </w:style>
  <w:style w:type="paragraph" w:styleId="Prrafodelista">
    <w:name w:val="List Paragraph"/>
    <w:basedOn w:val="Normal"/>
    <w:uiPriority w:val="34"/>
    <w:qFormat/>
    <w:rsid w:val="004D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6013">
      <w:bodyDiv w:val="1"/>
      <w:marLeft w:val="0"/>
      <w:marRight w:val="0"/>
      <w:marTop w:val="0"/>
      <w:marBottom w:val="0"/>
      <w:divBdr>
        <w:top w:val="none" w:sz="0" w:space="0" w:color="auto"/>
        <w:left w:val="none" w:sz="0" w:space="0" w:color="auto"/>
        <w:bottom w:val="none" w:sz="0" w:space="0" w:color="auto"/>
        <w:right w:val="none" w:sz="0" w:space="0" w:color="auto"/>
      </w:divBdr>
    </w:div>
    <w:div w:id="96101977">
      <w:bodyDiv w:val="1"/>
      <w:marLeft w:val="0"/>
      <w:marRight w:val="0"/>
      <w:marTop w:val="0"/>
      <w:marBottom w:val="0"/>
      <w:divBdr>
        <w:top w:val="none" w:sz="0" w:space="0" w:color="auto"/>
        <w:left w:val="none" w:sz="0" w:space="0" w:color="auto"/>
        <w:bottom w:val="none" w:sz="0" w:space="0" w:color="auto"/>
        <w:right w:val="none" w:sz="0" w:space="0" w:color="auto"/>
      </w:divBdr>
    </w:div>
    <w:div w:id="403264221">
      <w:bodyDiv w:val="1"/>
      <w:marLeft w:val="0"/>
      <w:marRight w:val="0"/>
      <w:marTop w:val="0"/>
      <w:marBottom w:val="0"/>
      <w:divBdr>
        <w:top w:val="none" w:sz="0" w:space="0" w:color="auto"/>
        <w:left w:val="none" w:sz="0" w:space="0" w:color="auto"/>
        <w:bottom w:val="none" w:sz="0" w:space="0" w:color="auto"/>
        <w:right w:val="none" w:sz="0" w:space="0" w:color="auto"/>
      </w:divBdr>
      <w:divsChild>
        <w:div w:id="1717392714">
          <w:marLeft w:val="0"/>
          <w:marRight w:val="0"/>
          <w:marTop w:val="0"/>
          <w:marBottom w:val="0"/>
          <w:divBdr>
            <w:top w:val="none" w:sz="0" w:space="0" w:color="auto"/>
            <w:left w:val="none" w:sz="0" w:space="0" w:color="auto"/>
            <w:bottom w:val="none" w:sz="0" w:space="0" w:color="auto"/>
            <w:right w:val="none" w:sz="0" w:space="0" w:color="auto"/>
          </w:divBdr>
        </w:div>
      </w:divsChild>
    </w:div>
    <w:div w:id="708839936">
      <w:bodyDiv w:val="1"/>
      <w:marLeft w:val="0"/>
      <w:marRight w:val="0"/>
      <w:marTop w:val="0"/>
      <w:marBottom w:val="0"/>
      <w:divBdr>
        <w:top w:val="none" w:sz="0" w:space="0" w:color="auto"/>
        <w:left w:val="none" w:sz="0" w:space="0" w:color="auto"/>
        <w:bottom w:val="none" w:sz="0" w:space="0" w:color="auto"/>
        <w:right w:val="none" w:sz="0" w:space="0" w:color="auto"/>
      </w:divBdr>
    </w:div>
    <w:div w:id="7402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1212</Words>
  <Characters>6668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Priscila Soto Jimenez</cp:lastModifiedBy>
  <cp:revision>2</cp:revision>
  <cp:lastPrinted>2023-07-06T17:31:00Z</cp:lastPrinted>
  <dcterms:created xsi:type="dcterms:W3CDTF">2023-09-18T19:29:00Z</dcterms:created>
  <dcterms:modified xsi:type="dcterms:W3CDTF">2023-09-18T19:29:00Z</dcterms:modified>
</cp:coreProperties>
</file>