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905DD" w14:textId="77777777" w:rsidR="005E1C7A" w:rsidRDefault="00C00EF2">
      <w:pPr>
        <w:pBdr>
          <w:top w:val="nil"/>
          <w:left w:val="nil"/>
          <w:bottom w:val="nil"/>
          <w:right w:val="nil"/>
          <w:between w:val="nil"/>
        </w:pBdr>
        <w:spacing w:after="160" w:line="360" w:lineRule="auto"/>
        <w:jc w:val="both"/>
        <w:rPr>
          <w:rFonts w:ascii="Century Gothic" w:eastAsia="Century Gothic" w:hAnsi="Century Gothic" w:cs="Century Gothic"/>
          <w:b/>
          <w:color w:val="000000"/>
        </w:rPr>
      </w:pPr>
      <w:bookmarkStart w:id="0" w:name="_gjdgxs" w:colFirst="0" w:colLast="0"/>
      <w:bookmarkEnd w:id="0"/>
      <w:r>
        <w:rPr>
          <w:rFonts w:ascii="Century Gothic" w:eastAsia="Century Gothic" w:hAnsi="Century Gothic" w:cs="Century Gothic"/>
          <w:b/>
        </w:rPr>
        <w:t>H. DIPUTACIÓN PERMANENTE</w:t>
      </w:r>
    </w:p>
    <w:p w14:paraId="6DC2CEAB" w14:textId="77777777" w:rsidR="005E1C7A" w:rsidRDefault="00C00EF2">
      <w:pPr>
        <w:pBdr>
          <w:top w:val="nil"/>
          <w:left w:val="nil"/>
          <w:bottom w:val="nil"/>
          <w:right w:val="nil"/>
          <w:between w:val="nil"/>
        </w:pBdr>
        <w:spacing w:after="160" w:line="360" w:lineRule="auto"/>
        <w:jc w:val="both"/>
        <w:rPr>
          <w:rFonts w:ascii="Century Gothic" w:eastAsia="Century Gothic" w:hAnsi="Century Gothic" w:cs="Century Gothic"/>
          <w:b/>
        </w:rPr>
      </w:pPr>
      <w:r>
        <w:rPr>
          <w:rFonts w:ascii="Century Gothic" w:eastAsia="Century Gothic" w:hAnsi="Century Gothic" w:cs="Century Gothic"/>
          <w:b/>
          <w:color w:val="000000"/>
        </w:rPr>
        <w:t>P R E S E N T E.-</w:t>
      </w:r>
    </w:p>
    <w:p w14:paraId="657F58BA" w14:textId="77777777" w:rsidR="005E1C7A" w:rsidRDefault="00C00EF2">
      <w:pPr>
        <w:pBdr>
          <w:top w:val="nil"/>
          <w:left w:val="nil"/>
          <w:bottom w:val="nil"/>
          <w:right w:val="nil"/>
          <w:between w:val="nil"/>
        </w:pBdr>
        <w:spacing w:after="160" w:line="360" w:lineRule="auto"/>
        <w:ind w:firstLine="720"/>
        <w:jc w:val="both"/>
        <w:rPr>
          <w:rFonts w:ascii="Century Gothic" w:eastAsia="Century Gothic" w:hAnsi="Century Gothic" w:cs="Century Gothic"/>
        </w:rPr>
      </w:pPr>
      <w:r>
        <w:rPr>
          <w:rFonts w:ascii="Century Gothic" w:eastAsia="Century Gothic" w:hAnsi="Century Gothic" w:cs="Century Gothic"/>
          <w:color w:val="000000"/>
        </w:rPr>
        <w:t xml:space="preserve">Quien suscribe, </w:t>
      </w:r>
      <w:r>
        <w:rPr>
          <w:rFonts w:ascii="Century Gothic" w:eastAsia="Century Gothic" w:hAnsi="Century Gothic" w:cs="Century Gothic"/>
          <w:b/>
          <w:color w:val="000000"/>
        </w:rPr>
        <w:t xml:space="preserve">Isela Martínez Díaz, </w:t>
      </w:r>
      <w:r>
        <w:rPr>
          <w:rFonts w:ascii="Century Gothic" w:eastAsia="Century Gothic" w:hAnsi="Century Gothic" w:cs="Century Gothic"/>
          <w:color w:val="000000"/>
        </w:rPr>
        <w:t xml:space="preserve">Diputada en la Sexagésima Séptima Legislatura e integrante del Grupo Parlamentario del Partido Acción Nacional y en su representación, con fundamento en el artículo 167, fracción I de la Ley Orgánica del Poder Legislativo del Estado y los correlativos 75, 76 y 77 del Reglamento Interior y de Prácticas Parlamentarias, someto a consideración de esta Honorable Asamblea, la presente </w:t>
      </w:r>
      <w:r>
        <w:rPr>
          <w:rFonts w:ascii="Century Gothic" w:eastAsia="Century Gothic" w:hAnsi="Century Gothic" w:cs="Century Gothic"/>
          <w:b/>
          <w:i/>
          <w:color w:val="000000"/>
        </w:rPr>
        <w:t>I</w:t>
      </w:r>
      <w:r>
        <w:rPr>
          <w:rFonts w:ascii="Century Gothic" w:eastAsia="Century Gothic" w:hAnsi="Century Gothic" w:cs="Century Gothic"/>
          <w:b/>
          <w:i/>
          <w:color w:val="000000"/>
          <w:highlight w:val="white"/>
        </w:rPr>
        <w:t>NICIATIVA CON CAR</w:t>
      </w:r>
      <w:r>
        <w:rPr>
          <w:rFonts w:ascii="Century Gothic" w:eastAsia="Century Gothic" w:hAnsi="Century Gothic" w:cs="Century Gothic"/>
          <w:b/>
          <w:i/>
          <w:highlight w:val="white"/>
        </w:rPr>
        <w:t xml:space="preserve">ÁCTER </w:t>
      </w:r>
      <w:r>
        <w:rPr>
          <w:rFonts w:ascii="Century Gothic" w:eastAsia="Century Gothic" w:hAnsi="Century Gothic" w:cs="Century Gothic"/>
          <w:b/>
          <w:i/>
          <w:color w:val="000000"/>
          <w:highlight w:val="white"/>
        </w:rPr>
        <w:t>DE DECRETO</w:t>
      </w:r>
      <w:r>
        <w:rPr>
          <w:rFonts w:ascii="Century Gothic" w:eastAsia="Century Gothic" w:hAnsi="Century Gothic" w:cs="Century Gothic"/>
          <w:b/>
          <w:i/>
          <w:color w:val="000000"/>
        </w:rPr>
        <w:t xml:space="preserve"> </w:t>
      </w:r>
      <w:r>
        <w:rPr>
          <w:rFonts w:ascii="Century Gothic" w:eastAsia="Century Gothic" w:hAnsi="Century Gothic" w:cs="Century Gothic"/>
          <w:b/>
          <w:i/>
          <w:color w:val="000000"/>
          <w:highlight w:val="white"/>
        </w:rPr>
        <w:t xml:space="preserve">POR EL QUE SE </w:t>
      </w:r>
      <w:r>
        <w:rPr>
          <w:rFonts w:ascii="Century Gothic" w:eastAsia="Century Gothic" w:hAnsi="Century Gothic" w:cs="Century Gothic"/>
          <w:b/>
          <w:i/>
          <w:highlight w:val="white"/>
        </w:rPr>
        <w:t>ADICIONA LA FRACCIÓN IV AL ARTÍCULO 89 DE LA LEY DE LOS DERECHOS DE NIÑAS, NIÑOS Y ADOLESCENTES DEL ESTADO DE CHIHUAHUA</w:t>
      </w:r>
      <w:r>
        <w:rPr>
          <w:rFonts w:ascii="Century Gothic" w:eastAsia="Century Gothic" w:hAnsi="Century Gothic" w:cs="Century Gothic"/>
          <w:b/>
          <w:i/>
        </w:rPr>
        <w:t xml:space="preserve">, </w:t>
      </w:r>
      <w:r>
        <w:rPr>
          <w:rFonts w:ascii="Century Gothic" w:eastAsia="Century Gothic" w:hAnsi="Century Gothic" w:cs="Century Gothic"/>
        </w:rPr>
        <w:t xml:space="preserve">con el propósito de establecer que las autoridades estatales y municipales que sustancien procedimientos jurisdiccionales o administrativos, incluyan formatos accesibles de fácil comprensión y lectura, sobre la sentencia judicial o resolución administrativa donde se decidan los derechos de niñas, niños y adolescentes; lo que realizo al  tenor de la siguiente: </w:t>
      </w:r>
    </w:p>
    <w:p w14:paraId="617BB2E8" w14:textId="77777777" w:rsidR="005E1C7A" w:rsidRDefault="005E1C7A">
      <w:pPr>
        <w:pBdr>
          <w:top w:val="nil"/>
          <w:left w:val="nil"/>
          <w:bottom w:val="nil"/>
          <w:right w:val="nil"/>
          <w:between w:val="nil"/>
        </w:pBdr>
        <w:spacing w:after="160" w:line="360" w:lineRule="auto"/>
        <w:jc w:val="center"/>
        <w:rPr>
          <w:rFonts w:ascii="Century Gothic" w:eastAsia="Century Gothic" w:hAnsi="Century Gothic" w:cs="Century Gothic"/>
          <w:b/>
        </w:rPr>
      </w:pPr>
    </w:p>
    <w:p w14:paraId="618B583A" w14:textId="77777777" w:rsidR="005E1C7A" w:rsidRDefault="00C00EF2">
      <w:pPr>
        <w:pBdr>
          <w:top w:val="nil"/>
          <w:left w:val="nil"/>
          <w:bottom w:val="nil"/>
          <w:right w:val="nil"/>
          <w:between w:val="nil"/>
        </w:pBdr>
        <w:spacing w:after="160" w:line="360" w:lineRule="auto"/>
        <w:jc w:val="center"/>
        <w:rPr>
          <w:rFonts w:ascii="Century Gothic" w:eastAsia="Century Gothic" w:hAnsi="Century Gothic" w:cs="Century Gothic"/>
          <w:b/>
        </w:rPr>
      </w:pPr>
      <w:r>
        <w:rPr>
          <w:rFonts w:ascii="Century Gothic" w:eastAsia="Century Gothic" w:hAnsi="Century Gothic" w:cs="Century Gothic"/>
          <w:b/>
          <w:color w:val="000000"/>
        </w:rPr>
        <w:t>EXPOSICIÓN DE MOTIVOS</w:t>
      </w:r>
    </w:p>
    <w:p w14:paraId="39C4A321" w14:textId="77777777" w:rsidR="005E1C7A" w:rsidRDefault="00C00EF2">
      <w:pPr>
        <w:pBdr>
          <w:top w:val="nil"/>
          <w:left w:val="nil"/>
          <w:bottom w:val="nil"/>
          <w:right w:val="nil"/>
          <w:between w:val="nil"/>
        </w:pBdr>
        <w:spacing w:after="160" w:line="360" w:lineRule="auto"/>
        <w:jc w:val="both"/>
        <w:rPr>
          <w:rFonts w:ascii="Century Gothic" w:eastAsia="Century Gothic" w:hAnsi="Century Gothic" w:cs="Century Gothic"/>
        </w:rPr>
      </w:pPr>
      <w:r>
        <w:rPr>
          <w:rFonts w:ascii="Century Gothic" w:eastAsia="Century Gothic" w:hAnsi="Century Gothic" w:cs="Century Gothic"/>
        </w:rPr>
        <w:t xml:space="preserve">       “Lo que se les dé a los niños, los niños darán a la sociedad”. Karl. A. Menninger</w:t>
      </w:r>
    </w:p>
    <w:p w14:paraId="47B2FEB5" w14:textId="77777777" w:rsidR="005E1C7A" w:rsidRDefault="00C00EF2">
      <w:pPr>
        <w:shd w:val="clear" w:color="auto" w:fill="FFFFFF"/>
        <w:spacing w:before="240" w:after="240" w:line="360" w:lineRule="auto"/>
        <w:ind w:firstLine="720"/>
        <w:jc w:val="both"/>
        <w:rPr>
          <w:rFonts w:ascii="Century Gothic" w:eastAsia="Century Gothic" w:hAnsi="Century Gothic" w:cs="Century Gothic"/>
        </w:rPr>
      </w:pPr>
      <w:r>
        <w:rPr>
          <w:rFonts w:ascii="Century Gothic" w:eastAsia="Century Gothic" w:hAnsi="Century Gothic" w:cs="Century Gothic"/>
        </w:rPr>
        <w:t xml:space="preserve">Constitucionalmente, el artículo 4to, enuncia que la acción del gobierno debe encaminarse y tener como prioridad el Interés Superior de la Niñez, debiendo reconocer a niñas, niños y adolescentes como titulares de derechos, y también garantizar el pleno ejercicio, a través de los principios de universalidad, indivisibilidad, interdependencia y progresividad. </w:t>
      </w:r>
    </w:p>
    <w:p w14:paraId="38E237CD" w14:textId="65EF310A" w:rsidR="005E1C7A" w:rsidRDefault="00C00EF2">
      <w:pPr>
        <w:shd w:val="clear" w:color="auto" w:fill="FFFFFF"/>
        <w:spacing w:before="240" w:after="240" w:line="360" w:lineRule="auto"/>
        <w:ind w:firstLine="720"/>
        <w:jc w:val="both"/>
        <w:rPr>
          <w:rFonts w:ascii="Century Gothic" w:eastAsia="Century Gothic" w:hAnsi="Century Gothic" w:cs="Century Gothic"/>
        </w:rPr>
      </w:pPr>
      <w:r>
        <w:rPr>
          <w:rFonts w:ascii="Century Gothic" w:eastAsia="Century Gothic" w:hAnsi="Century Gothic" w:cs="Century Gothic"/>
        </w:rPr>
        <w:lastRenderedPageBreak/>
        <w:t xml:space="preserve">El trato digno hacia las niñas, niños y adolescentes es una tarea que inicia desde la identificación de las condiciones actuales de sus derechos y oportunidades de desarrollo. Hablar de dignidad infantil y adolescente resulta complejo cuando, según información de UNICEF de 2018, en nuestro país 6 de cada 10 niñas y niños entre la edad de 1 a 14 años, han experimentado algún método violento de disciplina; 1 de cada 2, ha experimentado una agresión psicológica; 1 de cada 10 </w:t>
      </w:r>
      <w:r w:rsidR="00502015">
        <w:rPr>
          <w:rFonts w:ascii="Century Gothic" w:eastAsia="Century Gothic" w:hAnsi="Century Gothic" w:cs="Century Gothic"/>
        </w:rPr>
        <w:t>presentó desnutrición</w:t>
      </w:r>
      <w:r>
        <w:rPr>
          <w:rFonts w:ascii="Century Gothic" w:eastAsia="Century Gothic" w:hAnsi="Century Gothic" w:cs="Century Gothic"/>
        </w:rPr>
        <w:t xml:space="preserve"> crónica antes de los 5 años; 1 de cada 3 de niñas y niños entre 6 y 11 años presentan sobrepeso y 3 de cada 10 adolescentes no van a la escuela. </w:t>
      </w:r>
    </w:p>
    <w:p w14:paraId="59838957" w14:textId="77777777" w:rsidR="005E1C7A" w:rsidRDefault="00C00EF2">
      <w:pPr>
        <w:shd w:val="clear" w:color="auto" w:fill="FFFFFF"/>
        <w:spacing w:before="240" w:after="240" w:line="360" w:lineRule="auto"/>
        <w:ind w:firstLine="720"/>
        <w:jc w:val="both"/>
        <w:rPr>
          <w:rFonts w:ascii="Century Gothic" w:eastAsia="Century Gothic" w:hAnsi="Century Gothic" w:cs="Century Gothic"/>
        </w:rPr>
      </w:pPr>
      <w:r>
        <w:rPr>
          <w:rFonts w:ascii="Century Gothic" w:eastAsia="Century Gothic" w:hAnsi="Century Gothic" w:cs="Century Gothic"/>
        </w:rPr>
        <w:t xml:space="preserve">La esencia de un sentido de dignidad humana es dotarlos de mejores condiciones para su desenvolvimiento, así como priorizarlos en la agenda gubernamental, presupuestal y política. </w:t>
      </w:r>
    </w:p>
    <w:p w14:paraId="2638AE97" w14:textId="77777777" w:rsidR="005E1C7A" w:rsidRDefault="00C00EF2">
      <w:pPr>
        <w:shd w:val="clear" w:color="auto" w:fill="FFFFFF"/>
        <w:spacing w:before="240" w:after="240" w:line="360" w:lineRule="auto"/>
        <w:ind w:firstLine="720"/>
        <w:jc w:val="both"/>
        <w:rPr>
          <w:rFonts w:ascii="Century Gothic" w:eastAsia="Century Gothic" w:hAnsi="Century Gothic" w:cs="Century Gothic"/>
        </w:rPr>
      </w:pPr>
      <w:r>
        <w:rPr>
          <w:rFonts w:ascii="Century Gothic" w:eastAsia="Century Gothic" w:hAnsi="Century Gothic" w:cs="Century Gothic"/>
        </w:rPr>
        <w:t xml:space="preserve">Para que niñas, niños y adolescentes entiendan qué es la dignidad, es necesario que las personas adultas reconozcamos, protejamos y garanticemos todos sus derechos humanos. </w:t>
      </w:r>
    </w:p>
    <w:p w14:paraId="678EA47B" w14:textId="77777777" w:rsidR="005E1C7A" w:rsidRDefault="00C00EF2">
      <w:pPr>
        <w:shd w:val="clear" w:color="auto" w:fill="FFFFFF"/>
        <w:spacing w:before="240" w:after="240" w:line="360" w:lineRule="auto"/>
        <w:ind w:firstLine="720"/>
        <w:jc w:val="both"/>
        <w:rPr>
          <w:rFonts w:ascii="Century Gothic" w:eastAsia="Century Gothic" w:hAnsi="Century Gothic" w:cs="Century Gothic"/>
        </w:rPr>
      </w:pPr>
      <w:r>
        <w:rPr>
          <w:rFonts w:ascii="Century Gothic" w:eastAsia="Century Gothic" w:hAnsi="Century Gothic" w:cs="Century Gothic"/>
        </w:rPr>
        <w:t>Como ya lo mencioné, el Interés Superior de la niñez, busca la mayor satisfacción de todas las necesidades de las niñas, niños y adolescentes, debiendo garantizar el respeto y protección a su dignidad e integridad física, psicológica y moral.</w:t>
      </w:r>
    </w:p>
    <w:p w14:paraId="6648E36A" w14:textId="77777777" w:rsidR="005E1C7A" w:rsidRDefault="00C00EF2">
      <w:pPr>
        <w:shd w:val="clear" w:color="auto" w:fill="FFFFFF"/>
        <w:spacing w:before="240" w:after="240" w:line="360" w:lineRule="auto"/>
        <w:ind w:firstLine="720"/>
        <w:jc w:val="both"/>
        <w:rPr>
          <w:rFonts w:ascii="Century Gothic" w:eastAsia="Century Gothic" w:hAnsi="Century Gothic" w:cs="Century Gothic"/>
        </w:rPr>
      </w:pPr>
      <w:r>
        <w:rPr>
          <w:rFonts w:ascii="Century Gothic" w:eastAsia="Century Gothic" w:hAnsi="Century Gothic" w:cs="Century Gothic"/>
        </w:rPr>
        <w:t xml:space="preserve">Asimismo, es importante destacar que, en la toma de decisiones que los involucre, debe considerarse primordialmente este principio y conceder mayor importancia a beneficiar a las y los niñas, niños y adolescentes involucrados. </w:t>
      </w:r>
    </w:p>
    <w:p w14:paraId="15494675" w14:textId="77777777" w:rsidR="005E1C7A" w:rsidRDefault="00C00EF2">
      <w:pPr>
        <w:shd w:val="clear" w:color="auto" w:fill="FFFFFF"/>
        <w:spacing w:before="240" w:after="240" w:line="360" w:lineRule="auto"/>
        <w:jc w:val="both"/>
        <w:rPr>
          <w:rFonts w:ascii="Century Gothic" w:eastAsia="Century Gothic" w:hAnsi="Century Gothic" w:cs="Century Gothic"/>
        </w:rPr>
      </w:pPr>
      <w:r>
        <w:rPr>
          <w:rFonts w:ascii="Century Gothic" w:eastAsia="Century Gothic" w:hAnsi="Century Gothic" w:cs="Century Gothic"/>
        </w:rPr>
        <w:lastRenderedPageBreak/>
        <w:t>La Convención sobre los Derechos del Niño, instrumento ratificado por casi todos los países del mundo, excepto dos, donde se incorporan todos los derechos humanos civiles, políticos, sociales y culturales de los niños, menciona en su Artículo 12:</w:t>
      </w:r>
    </w:p>
    <w:p w14:paraId="3720AE07" w14:textId="77777777" w:rsidR="005E1C7A" w:rsidRDefault="00C00EF2">
      <w:pPr>
        <w:shd w:val="clear" w:color="auto" w:fill="FFFFFF"/>
        <w:spacing w:before="240" w:after="240" w:line="360" w:lineRule="auto"/>
        <w:ind w:firstLine="720"/>
        <w:jc w:val="both"/>
        <w:rPr>
          <w:rFonts w:ascii="Century Gothic" w:eastAsia="Century Gothic" w:hAnsi="Century Gothic" w:cs="Century Gothic"/>
          <w:i/>
        </w:rPr>
      </w:pPr>
      <w:r>
        <w:rPr>
          <w:rFonts w:ascii="Century Gothic" w:eastAsia="Century Gothic" w:hAnsi="Century Gothic" w:cs="Century Gothic"/>
          <w:i/>
        </w:rPr>
        <w:t>“Artículo 12:</w:t>
      </w:r>
    </w:p>
    <w:p w14:paraId="7BC10CDE" w14:textId="77777777" w:rsidR="005E1C7A" w:rsidRDefault="00C00EF2">
      <w:pPr>
        <w:numPr>
          <w:ilvl w:val="0"/>
          <w:numId w:val="1"/>
        </w:numPr>
        <w:shd w:val="clear" w:color="auto" w:fill="FFFFFF"/>
        <w:spacing w:before="240" w:line="360" w:lineRule="auto"/>
        <w:jc w:val="both"/>
        <w:rPr>
          <w:rFonts w:ascii="Century Gothic" w:eastAsia="Century Gothic" w:hAnsi="Century Gothic" w:cs="Century Gothic"/>
          <w:i/>
        </w:rPr>
      </w:pPr>
      <w:r>
        <w:rPr>
          <w:rFonts w:ascii="Century Gothic" w:eastAsia="Century Gothic" w:hAnsi="Century Gothic" w:cs="Century Gothic"/>
          <w:i/>
        </w:rPr>
        <w:t xml:space="preserve">Los Estados Partes garantizarán al Niño que esté en condiciones de formarse un juicio propio, el derecho de expresar su opinión en todos los asuntos que afectan al Niño, teniéndose debidamente en cuenta las opiniones, en función de la edad y madurez del Niño. </w:t>
      </w:r>
    </w:p>
    <w:p w14:paraId="3817A80B" w14:textId="77777777" w:rsidR="005E1C7A" w:rsidRDefault="00C00EF2">
      <w:pPr>
        <w:numPr>
          <w:ilvl w:val="0"/>
          <w:numId w:val="1"/>
        </w:numPr>
        <w:shd w:val="clear" w:color="auto" w:fill="FFFFFF"/>
        <w:spacing w:after="240" w:line="360" w:lineRule="auto"/>
        <w:jc w:val="both"/>
        <w:rPr>
          <w:rFonts w:ascii="Century Gothic" w:eastAsia="Century Gothic" w:hAnsi="Century Gothic" w:cs="Century Gothic"/>
          <w:i/>
        </w:rPr>
      </w:pPr>
      <w:r>
        <w:rPr>
          <w:rFonts w:ascii="Century Gothic" w:eastAsia="Century Gothic" w:hAnsi="Century Gothic" w:cs="Century Gothic"/>
          <w:i/>
        </w:rPr>
        <w:t>Con tal fin, se dará en particular al Niño, oportunidad de ser escuchado, en todo procedimiento judicial o administrativo un afecte al Niño, ya sea directamente o por medio de un representante o de un órgano apropiado, en consonancia con las normas de procedimiento de la ley nacional.”</w:t>
      </w:r>
    </w:p>
    <w:p w14:paraId="7E969086" w14:textId="77777777" w:rsidR="005E1C7A" w:rsidRDefault="00C00EF2">
      <w:pPr>
        <w:shd w:val="clear" w:color="auto" w:fill="FFFFFF"/>
        <w:spacing w:before="240" w:after="240" w:line="360" w:lineRule="auto"/>
        <w:ind w:firstLine="720"/>
        <w:jc w:val="both"/>
        <w:rPr>
          <w:rFonts w:ascii="Century Gothic" w:eastAsia="Century Gothic" w:hAnsi="Century Gothic" w:cs="Century Gothic"/>
          <w:highlight w:val="yellow"/>
        </w:rPr>
      </w:pPr>
      <w:r>
        <w:rPr>
          <w:rFonts w:ascii="Century Gothic" w:eastAsia="Century Gothic" w:hAnsi="Century Gothic" w:cs="Century Gothic"/>
        </w:rPr>
        <w:t xml:space="preserve">El hacer cumplir este derecho recae en manos de la autoridad correspondiente, así como en quienes ejercen la representación procesal de los menores de edad. </w:t>
      </w:r>
    </w:p>
    <w:p w14:paraId="71335F69" w14:textId="77777777" w:rsidR="005E1C7A" w:rsidRDefault="00C00EF2">
      <w:pPr>
        <w:shd w:val="clear" w:color="auto" w:fill="FFFFFF"/>
        <w:spacing w:before="240" w:after="240" w:line="360" w:lineRule="auto"/>
        <w:ind w:firstLine="720"/>
        <w:jc w:val="both"/>
        <w:rPr>
          <w:rFonts w:ascii="Century Gothic" w:eastAsia="Century Gothic" w:hAnsi="Century Gothic" w:cs="Century Gothic"/>
        </w:rPr>
      </w:pPr>
      <w:r>
        <w:rPr>
          <w:rFonts w:ascii="Century Gothic" w:eastAsia="Century Gothic" w:hAnsi="Century Gothic" w:cs="Century Gothic"/>
        </w:rPr>
        <w:t xml:space="preserve">Los tutores y quienes ejerzan la patria potestad de las niñas, niños y adolescentes, tienen la obligación de asegurarse de que su tutelado sea informado adecuadamente sobre los procedimientos en los que sus derechos se cruzan, principalmente a través de métodos accesibles y comprensibles acordes a su edad. </w:t>
      </w:r>
    </w:p>
    <w:p w14:paraId="5AE02D5D" w14:textId="77777777" w:rsidR="005E1C7A" w:rsidRDefault="00C00EF2">
      <w:pPr>
        <w:shd w:val="clear" w:color="auto" w:fill="FFFFFF"/>
        <w:spacing w:before="240" w:after="240" w:line="360" w:lineRule="auto"/>
        <w:ind w:firstLine="720"/>
        <w:jc w:val="both"/>
        <w:rPr>
          <w:rFonts w:ascii="Century Gothic" w:eastAsia="Century Gothic" w:hAnsi="Century Gothic" w:cs="Century Gothic"/>
        </w:rPr>
      </w:pPr>
      <w:r>
        <w:rPr>
          <w:rFonts w:ascii="Century Gothic" w:eastAsia="Century Gothic" w:hAnsi="Century Gothic" w:cs="Century Gothic"/>
        </w:rPr>
        <w:t xml:space="preserve">Del lado del Estado, la autoridad competente, debe garantizar que todos los derechos de las niñas, niños y adolescentes sean respetados, </w:t>
      </w:r>
      <w:r>
        <w:rPr>
          <w:rFonts w:ascii="Century Gothic" w:eastAsia="Century Gothic" w:hAnsi="Century Gothic" w:cs="Century Gothic"/>
        </w:rPr>
        <w:lastRenderedPageBreak/>
        <w:t xml:space="preserve">otorgándole información clara, sencilla y fácil de comprender sobre el proceso en el que se deciden sus derechos, así como de conocer la sentencia judicial con las mismas características enunciadas para el proceso. </w:t>
      </w:r>
    </w:p>
    <w:p w14:paraId="65392A1D" w14:textId="77777777" w:rsidR="005E1C7A" w:rsidRDefault="00C00EF2">
      <w:pPr>
        <w:shd w:val="clear" w:color="auto" w:fill="FFFFFF"/>
        <w:spacing w:before="240" w:after="240" w:line="360" w:lineRule="auto"/>
        <w:ind w:firstLine="720"/>
        <w:jc w:val="both"/>
        <w:rPr>
          <w:rFonts w:ascii="Century Gothic" w:eastAsia="Century Gothic" w:hAnsi="Century Gothic" w:cs="Century Gothic"/>
        </w:rPr>
      </w:pPr>
      <w:r>
        <w:rPr>
          <w:rFonts w:ascii="Century Gothic" w:eastAsia="Century Gothic" w:hAnsi="Century Gothic" w:cs="Century Gothic"/>
        </w:rPr>
        <w:t xml:space="preserve">Todas y todos tenemos el derecho de acceso a la información, la cuál debe ser veraz, clara y completa, específicamente hablando, sobre las decisiones que son tomadas en un juicio y que involucran nuestros derechos; además de la seguridad de que nuestras opiniones, solicitudes y necesidades son tomadas en cuenta; la oportunidad de hacer preguntas y que estas sean resueltas; por ello, resulta imprescindible el reconocimiento del mencionado derecho, buscando en todo momento la dignificación de este grupo etario tan importante en nuestra sociedad. </w:t>
      </w:r>
    </w:p>
    <w:p w14:paraId="5D1198DD" w14:textId="4179EB20" w:rsidR="005E1C7A" w:rsidRDefault="00C00EF2">
      <w:pPr>
        <w:shd w:val="clear" w:color="auto" w:fill="FFFFFF"/>
        <w:spacing w:before="240" w:after="240" w:line="360" w:lineRule="auto"/>
        <w:ind w:firstLine="720"/>
        <w:jc w:val="both"/>
        <w:rPr>
          <w:rFonts w:ascii="Century Gothic" w:eastAsia="Century Gothic" w:hAnsi="Century Gothic" w:cs="Century Gothic"/>
        </w:rPr>
      </w:pPr>
      <w:r>
        <w:rPr>
          <w:rFonts w:ascii="Century Gothic" w:eastAsia="Century Gothic" w:hAnsi="Century Gothic" w:cs="Century Gothic"/>
        </w:rPr>
        <w:t xml:space="preserve">El acceso a la información y la transparencia en los procesos judiciales son esenciales para asegurar la protección efectiva de los derechos de los </w:t>
      </w:r>
      <w:r w:rsidR="00502015">
        <w:rPr>
          <w:rFonts w:ascii="Century Gothic" w:eastAsia="Century Gothic" w:hAnsi="Century Gothic" w:cs="Century Gothic"/>
        </w:rPr>
        <w:t>infantes y</w:t>
      </w:r>
      <w:r>
        <w:rPr>
          <w:rFonts w:ascii="Century Gothic" w:eastAsia="Century Gothic" w:hAnsi="Century Gothic" w:cs="Century Gothic"/>
        </w:rPr>
        <w:t xml:space="preserve"> adolescentes.  El acceso a sentencias con formatos de fácil comprensión y lectura para niñas, niños y adolescentes, es un derecho fundamental que debe ser garantizado en todo momento. </w:t>
      </w:r>
    </w:p>
    <w:p w14:paraId="07223992" w14:textId="77777777" w:rsidR="005E1C7A" w:rsidRDefault="00C00EF2">
      <w:pPr>
        <w:shd w:val="clear" w:color="auto" w:fill="FFFFFF"/>
        <w:spacing w:before="240" w:after="240" w:line="360" w:lineRule="auto"/>
        <w:ind w:firstLine="720"/>
        <w:jc w:val="both"/>
        <w:rPr>
          <w:rFonts w:ascii="Century Gothic" w:eastAsia="Century Gothic" w:hAnsi="Century Gothic" w:cs="Century Gothic"/>
        </w:rPr>
      </w:pPr>
      <w:r>
        <w:rPr>
          <w:rFonts w:ascii="Century Gothic" w:eastAsia="Century Gothic" w:hAnsi="Century Gothic" w:cs="Century Gothic"/>
        </w:rPr>
        <w:t>Comunicar acertadamente es una necesidad que debe ser atendida, llevar a cabo la personalización del proceso, es garantizar realmente al acceso a la justicia para todas y todos los niños, que si bien ellos obtienen la información que sus tutores o padres les proveen, es importante implantar estos modelos de sentencias, nos da la tranquilidad de que el infante involucrado tendrá información real y fácil de digerir, evitando así, que la realidad sea alterada por quienes las o los representan.</w:t>
      </w:r>
    </w:p>
    <w:p w14:paraId="47073D00" w14:textId="77777777" w:rsidR="005E1C7A" w:rsidRDefault="00C00EF2">
      <w:pPr>
        <w:spacing w:after="160" w:line="360" w:lineRule="auto"/>
        <w:ind w:firstLine="720"/>
        <w:jc w:val="both"/>
        <w:rPr>
          <w:rFonts w:ascii="Century Gothic" w:eastAsia="Century Gothic" w:hAnsi="Century Gothic" w:cs="Century Gothic"/>
          <w:b/>
        </w:rPr>
      </w:pPr>
      <w:r>
        <w:rPr>
          <w:rFonts w:ascii="Century Gothic" w:eastAsia="Century Gothic" w:hAnsi="Century Gothic" w:cs="Century Gothic"/>
        </w:rPr>
        <w:lastRenderedPageBreak/>
        <w:t xml:space="preserve">En virtud de todo lo previamente mencionado, es que pongo a consideración de esta soberanía, la siguiente iniciativa con carácter decreto: </w:t>
      </w:r>
    </w:p>
    <w:p w14:paraId="7BBC1438" w14:textId="77777777" w:rsidR="005E1C7A" w:rsidRDefault="00C00EF2">
      <w:pPr>
        <w:spacing w:after="160" w:line="360" w:lineRule="auto"/>
        <w:jc w:val="center"/>
        <w:rPr>
          <w:rFonts w:ascii="Century Gothic" w:eastAsia="Century Gothic" w:hAnsi="Century Gothic" w:cs="Century Gothic"/>
          <w:b/>
        </w:rPr>
      </w:pPr>
      <w:r>
        <w:rPr>
          <w:rFonts w:ascii="Century Gothic" w:eastAsia="Century Gothic" w:hAnsi="Century Gothic" w:cs="Century Gothic"/>
          <w:b/>
        </w:rPr>
        <w:t>DECRETO</w:t>
      </w:r>
    </w:p>
    <w:p w14:paraId="7960A5C5" w14:textId="1669C8D7" w:rsidR="005E1C7A" w:rsidRDefault="00C00EF2">
      <w:pPr>
        <w:spacing w:before="280" w:after="280" w:line="360" w:lineRule="auto"/>
        <w:jc w:val="both"/>
        <w:rPr>
          <w:rFonts w:ascii="Century Gothic" w:eastAsia="Century Gothic" w:hAnsi="Century Gothic" w:cs="Century Gothic"/>
        </w:rPr>
      </w:pPr>
      <w:r>
        <w:rPr>
          <w:rFonts w:ascii="Century Gothic" w:eastAsia="Century Gothic" w:hAnsi="Century Gothic" w:cs="Century Gothic"/>
          <w:b/>
        </w:rPr>
        <w:t xml:space="preserve">ARTÍCULO </w:t>
      </w:r>
      <w:r w:rsidR="00502015">
        <w:rPr>
          <w:rFonts w:ascii="Century Gothic" w:eastAsia="Century Gothic" w:hAnsi="Century Gothic" w:cs="Century Gothic"/>
          <w:b/>
        </w:rPr>
        <w:t>ÚNICO. -</w:t>
      </w:r>
      <w:r>
        <w:rPr>
          <w:rFonts w:ascii="Century Gothic" w:eastAsia="Century Gothic" w:hAnsi="Century Gothic" w:cs="Century Gothic"/>
          <w:b/>
        </w:rPr>
        <w:t xml:space="preserve"> </w:t>
      </w:r>
      <w:r>
        <w:rPr>
          <w:rFonts w:ascii="Century Gothic" w:eastAsia="Century Gothic" w:hAnsi="Century Gothic" w:cs="Century Gothic"/>
        </w:rPr>
        <w:t xml:space="preserve">Se adiciona la fracción IV al Artículo 89 de la </w:t>
      </w:r>
      <w:r>
        <w:rPr>
          <w:rFonts w:ascii="Century Gothic" w:eastAsia="Century Gothic" w:hAnsi="Century Gothic" w:cs="Century Gothic"/>
          <w:b/>
        </w:rPr>
        <w:t>Ley de los Derechos de las Niñas, Niños y Adolescentes del Estado de Chihuahua,</w:t>
      </w:r>
      <w:r>
        <w:rPr>
          <w:rFonts w:ascii="Century Gothic" w:eastAsia="Century Gothic" w:hAnsi="Century Gothic" w:cs="Century Gothic"/>
        </w:rPr>
        <w:t xml:space="preserve"> recorriendo las subsecuentes, para quedar redactado de la siguiente manera:</w:t>
      </w:r>
    </w:p>
    <w:p w14:paraId="0BC47978" w14:textId="122E88B9" w:rsidR="005E1C7A" w:rsidRDefault="00502015">
      <w:pPr>
        <w:spacing w:before="240" w:after="240" w:line="360" w:lineRule="auto"/>
        <w:jc w:val="both"/>
        <w:rPr>
          <w:rFonts w:ascii="Century Gothic" w:eastAsia="Century Gothic" w:hAnsi="Century Gothic" w:cs="Century Gothic"/>
        </w:rPr>
      </w:pPr>
      <w:r>
        <w:rPr>
          <w:rFonts w:ascii="Century Gothic" w:eastAsia="Century Gothic" w:hAnsi="Century Gothic" w:cs="Century Gothic"/>
        </w:rPr>
        <w:t>Artículo</w:t>
      </w:r>
      <w:r w:rsidR="00C00EF2">
        <w:rPr>
          <w:rFonts w:ascii="Century Gothic" w:eastAsia="Century Gothic" w:hAnsi="Century Gothic" w:cs="Century Gothic"/>
        </w:rPr>
        <w:t xml:space="preserve"> 89. Las autoridades estatales y municipales que sustancien procedimientos de carácter jurisdiccional o administrativo o que realicen cualquier acto de autoridad en los que estén relacionados niñas, niños o adolescentes, de conformidad con su edad, desarrollo evolutivo, cognoscitivo y grado de madurez estarán obligadas, como mínimo a:</w:t>
      </w:r>
    </w:p>
    <w:p w14:paraId="0B74B0A9" w14:textId="77777777" w:rsidR="005E1C7A" w:rsidRDefault="00C00EF2">
      <w:pPr>
        <w:spacing w:before="240" w:after="240" w:line="360" w:lineRule="auto"/>
        <w:jc w:val="both"/>
        <w:rPr>
          <w:rFonts w:ascii="Century Gothic" w:eastAsia="Century Gothic" w:hAnsi="Century Gothic" w:cs="Century Gothic"/>
        </w:rPr>
      </w:pPr>
      <w:r>
        <w:rPr>
          <w:rFonts w:ascii="Century Gothic" w:eastAsia="Century Gothic" w:hAnsi="Century Gothic" w:cs="Century Gothic"/>
        </w:rPr>
        <w:t>I a III…</w:t>
      </w:r>
    </w:p>
    <w:p w14:paraId="16AA027D" w14:textId="77777777" w:rsidR="005E1C7A" w:rsidRDefault="00C00EF2">
      <w:pPr>
        <w:spacing w:before="240" w:after="240" w:line="360" w:lineRule="auto"/>
        <w:ind w:left="720"/>
        <w:jc w:val="both"/>
        <w:rPr>
          <w:rFonts w:ascii="Century Gothic" w:eastAsia="Century Gothic" w:hAnsi="Century Gothic" w:cs="Century Gothic"/>
          <w:b/>
          <w:sz w:val="22"/>
          <w:szCs w:val="22"/>
        </w:rPr>
      </w:pPr>
      <w:r>
        <w:rPr>
          <w:rFonts w:ascii="Century Gothic" w:eastAsia="Century Gothic" w:hAnsi="Century Gothic" w:cs="Century Gothic"/>
          <w:b/>
        </w:rPr>
        <w:t xml:space="preserve">IV. </w:t>
      </w:r>
      <w:r>
        <w:rPr>
          <w:rFonts w:ascii="Century Gothic" w:eastAsia="Century Gothic" w:hAnsi="Century Gothic" w:cs="Century Gothic"/>
          <w:b/>
          <w:sz w:val="22"/>
          <w:szCs w:val="22"/>
        </w:rPr>
        <w:t>Incluir, a petición de parte, formatos accesibles de fácil comprensión y lectura, proporcionando información clara y sencilla, sobre la sentencia judicial o resolución administrativa que se emita en un proceso jurisdiccional donde se decidan los derechos de niñas, niños y adolescentes.</w:t>
      </w:r>
    </w:p>
    <w:p w14:paraId="132E26A4" w14:textId="77777777" w:rsidR="005E1C7A" w:rsidRDefault="00C00EF2">
      <w:pPr>
        <w:spacing w:before="240" w:after="240" w:line="360" w:lineRule="auto"/>
        <w:jc w:val="both"/>
        <w:rPr>
          <w:rFonts w:ascii="Century Gothic" w:eastAsia="Century Gothic" w:hAnsi="Century Gothic" w:cs="Century Gothic"/>
          <w:sz w:val="22"/>
          <w:szCs w:val="22"/>
        </w:rPr>
      </w:pPr>
      <w:r>
        <w:rPr>
          <w:rFonts w:ascii="Century Gothic" w:eastAsia="Century Gothic" w:hAnsi="Century Gothic" w:cs="Century Gothic"/>
          <w:sz w:val="22"/>
          <w:szCs w:val="22"/>
        </w:rPr>
        <w:t>V a XIV…</w:t>
      </w:r>
    </w:p>
    <w:p w14:paraId="6C8D2204" w14:textId="77777777" w:rsidR="005E1C7A" w:rsidRDefault="00C00EF2">
      <w:pPr>
        <w:spacing w:after="160" w:line="360" w:lineRule="auto"/>
        <w:jc w:val="center"/>
        <w:rPr>
          <w:rFonts w:ascii="Century Gothic" w:eastAsia="Century Gothic" w:hAnsi="Century Gothic" w:cs="Century Gothic"/>
          <w:b/>
        </w:rPr>
      </w:pPr>
      <w:r>
        <w:rPr>
          <w:rFonts w:ascii="Century Gothic" w:eastAsia="Century Gothic" w:hAnsi="Century Gothic" w:cs="Century Gothic"/>
          <w:b/>
        </w:rPr>
        <w:t>TRANSITORIOS</w:t>
      </w:r>
    </w:p>
    <w:p w14:paraId="7D5ED562" w14:textId="77777777" w:rsidR="005E1C7A" w:rsidRDefault="005E1C7A">
      <w:pPr>
        <w:spacing w:after="160" w:line="360" w:lineRule="auto"/>
        <w:jc w:val="center"/>
        <w:rPr>
          <w:rFonts w:ascii="Century Gothic" w:eastAsia="Century Gothic" w:hAnsi="Century Gothic" w:cs="Century Gothic"/>
          <w:b/>
        </w:rPr>
      </w:pPr>
    </w:p>
    <w:p w14:paraId="3A2CFA07" w14:textId="1E48E02F" w:rsidR="005E1C7A" w:rsidRDefault="00C00EF2">
      <w:pPr>
        <w:spacing w:after="160" w:line="360" w:lineRule="auto"/>
        <w:jc w:val="both"/>
        <w:rPr>
          <w:rFonts w:ascii="Century Gothic" w:eastAsia="Century Gothic" w:hAnsi="Century Gothic" w:cs="Century Gothic"/>
        </w:rPr>
      </w:pPr>
      <w:r>
        <w:rPr>
          <w:rFonts w:ascii="Century Gothic" w:eastAsia="Century Gothic" w:hAnsi="Century Gothic" w:cs="Century Gothic"/>
          <w:b/>
        </w:rPr>
        <w:t xml:space="preserve">ARTÍCULO </w:t>
      </w:r>
      <w:r w:rsidR="00502015">
        <w:rPr>
          <w:rFonts w:ascii="Century Gothic" w:eastAsia="Century Gothic" w:hAnsi="Century Gothic" w:cs="Century Gothic"/>
          <w:b/>
        </w:rPr>
        <w:t>ÚNICO. -</w:t>
      </w:r>
      <w:r>
        <w:rPr>
          <w:rFonts w:ascii="Century Gothic" w:eastAsia="Century Gothic" w:hAnsi="Century Gothic" w:cs="Century Gothic"/>
          <w:b/>
        </w:rPr>
        <w:t xml:space="preserve"> </w:t>
      </w:r>
      <w:r>
        <w:rPr>
          <w:rFonts w:ascii="Century Gothic" w:eastAsia="Century Gothic" w:hAnsi="Century Gothic" w:cs="Century Gothic"/>
        </w:rPr>
        <w:t xml:space="preserve"> El presente decreto entrará en vigor al día siguiente de su publicación en el Periódico Oficial del Estado.</w:t>
      </w:r>
    </w:p>
    <w:p w14:paraId="6A80A7E5" w14:textId="77777777" w:rsidR="005E1C7A" w:rsidRDefault="005E1C7A">
      <w:pPr>
        <w:spacing w:after="160" w:line="360" w:lineRule="auto"/>
        <w:jc w:val="both"/>
        <w:rPr>
          <w:rFonts w:ascii="Century Gothic" w:eastAsia="Century Gothic" w:hAnsi="Century Gothic" w:cs="Century Gothic"/>
          <w:b/>
        </w:rPr>
      </w:pPr>
    </w:p>
    <w:p w14:paraId="64B5F5B9" w14:textId="77777777" w:rsidR="005E1C7A" w:rsidRDefault="00C00EF2">
      <w:pPr>
        <w:spacing w:after="160" w:line="360" w:lineRule="auto"/>
        <w:jc w:val="both"/>
        <w:rPr>
          <w:rFonts w:ascii="Century Gothic" w:eastAsia="Century Gothic" w:hAnsi="Century Gothic" w:cs="Century Gothic"/>
          <w:b/>
        </w:rPr>
      </w:pPr>
      <w:r>
        <w:rPr>
          <w:rFonts w:ascii="Century Gothic" w:eastAsia="Century Gothic" w:hAnsi="Century Gothic" w:cs="Century Gothic"/>
          <w:b/>
        </w:rPr>
        <w:t>ECONÓMICO</w:t>
      </w:r>
      <w:r>
        <w:rPr>
          <w:rFonts w:ascii="Century Gothic" w:eastAsia="Century Gothic" w:hAnsi="Century Gothic" w:cs="Century Gothic"/>
        </w:rPr>
        <w:t>.  Aprobado que sea túrnese a la secretaría para que elabore la minuta correspondiente.</w:t>
      </w:r>
      <w:r>
        <w:rPr>
          <w:rFonts w:ascii="Century Gothic" w:eastAsia="Century Gothic" w:hAnsi="Century Gothic" w:cs="Century Gothic"/>
          <w:b/>
        </w:rPr>
        <w:t xml:space="preserve"> </w:t>
      </w:r>
    </w:p>
    <w:p w14:paraId="33A0ABE0" w14:textId="77777777" w:rsidR="005E1C7A" w:rsidRDefault="005E1C7A">
      <w:pPr>
        <w:spacing w:after="160" w:line="360" w:lineRule="auto"/>
        <w:jc w:val="both"/>
        <w:rPr>
          <w:rFonts w:ascii="Century Gothic" w:eastAsia="Century Gothic" w:hAnsi="Century Gothic" w:cs="Century Gothic"/>
          <w:b/>
        </w:rPr>
      </w:pPr>
    </w:p>
    <w:p w14:paraId="35EE78E8" w14:textId="77777777" w:rsidR="005E1C7A" w:rsidRDefault="00C00EF2">
      <w:pPr>
        <w:spacing w:after="160" w:line="360" w:lineRule="auto"/>
        <w:jc w:val="both"/>
        <w:rPr>
          <w:rFonts w:ascii="Century Gothic" w:eastAsia="Century Gothic" w:hAnsi="Century Gothic" w:cs="Century Gothic"/>
        </w:rPr>
      </w:pPr>
      <w:r>
        <w:rPr>
          <w:rFonts w:ascii="Century Gothic" w:eastAsia="Century Gothic" w:hAnsi="Century Gothic" w:cs="Century Gothic"/>
        </w:rPr>
        <w:t>Dado en el Salón de Sesiones a los 25 días del mes de agosto del año dos mil veintitrés.</w:t>
      </w:r>
    </w:p>
    <w:p w14:paraId="18A12F88" w14:textId="77777777" w:rsidR="005E1C7A" w:rsidRDefault="00C00EF2">
      <w:pPr>
        <w:spacing w:after="160" w:line="360" w:lineRule="auto"/>
        <w:jc w:val="center"/>
        <w:rPr>
          <w:rFonts w:ascii="Century Gothic" w:eastAsia="Century Gothic" w:hAnsi="Century Gothic" w:cs="Century Gothic"/>
        </w:rPr>
      </w:pPr>
      <w:r>
        <w:rPr>
          <w:rFonts w:ascii="Century Gothic" w:eastAsia="Century Gothic" w:hAnsi="Century Gothic" w:cs="Century Gothic"/>
          <w:b/>
        </w:rPr>
        <w:t>ATENTAMENTE</w:t>
      </w:r>
    </w:p>
    <w:p w14:paraId="7AA92050" w14:textId="77777777" w:rsidR="005E1C7A" w:rsidRDefault="005E1C7A">
      <w:pPr>
        <w:spacing w:after="160" w:line="360" w:lineRule="auto"/>
        <w:rPr>
          <w:rFonts w:ascii="Century Gothic" w:eastAsia="Century Gothic" w:hAnsi="Century Gothic" w:cs="Century Gothic"/>
        </w:rPr>
      </w:pPr>
    </w:p>
    <w:p w14:paraId="454987D6" w14:textId="77777777" w:rsidR="005E1C7A" w:rsidRDefault="00C00EF2">
      <w:pPr>
        <w:spacing w:after="160" w:line="360" w:lineRule="auto"/>
        <w:jc w:val="center"/>
        <w:rPr>
          <w:rFonts w:ascii="Calibri" w:eastAsia="Calibri" w:hAnsi="Calibri" w:cs="Calibri"/>
          <w:sz w:val="22"/>
          <w:szCs w:val="22"/>
        </w:rPr>
      </w:pPr>
      <w:r>
        <w:rPr>
          <w:rFonts w:ascii="Century Gothic" w:eastAsia="Century Gothic" w:hAnsi="Century Gothic" w:cs="Century Gothic"/>
          <w:b/>
        </w:rPr>
        <w:t>DIP. ISELA MARTÍNEZ DÍAZ</w:t>
      </w:r>
    </w:p>
    <w:tbl>
      <w:tblPr>
        <w:tblStyle w:val="a"/>
        <w:tblW w:w="9161" w:type="dxa"/>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4586"/>
        <w:gridCol w:w="4575"/>
      </w:tblGrid>
      <w:tr w:rsidR="005E1C7A" w14:paraId="6613A021" w14:textId="77777777">
        <w:trPr>
          <w:trHeight w:val="1307"/>
          <w:jc w:val="center"/>
        </w:trPr>
        <w:tc>
          <w:tcPr>
            <w:tcW w:w="4586" w:type="dxa"/>
            <w:tcBorders>
              <w:top w:val="nil"/>
              <w:left w:val="nil"/>
              <w:bottom w:val="nil"/>
              <w:right w:val="nil"/>
            </w:tcBorders>
            <w:shd w:val="clear" w:color="auto" w:fill="auto"/>
            <w:tcMar>
              <w:top w:w="80" w:type="dxa"/>
              <w:left w:w="80" w:type="dxa"/>
              <w:bottom w:w="80" w:type="dxa"/>
              <w:right w:w="80" w:type="dxa"/>
            </w:tcMar>
          </w:tcPr>
          <w:p w14:paraId="30ECF070" w14:textId="77777777" w:rsidR="005E1C7A" w:rsidRDefault="005E1C7A">
            <w:pPr>
              <w:spacing w:after="160" w:line="259" w:lineRule="auto"/>
              <w:rPr>
                <w:rFonts w:ascii="Century Gothic" w:eastAsia="Century Gothic" w:hAnsi="Century Gothic" w:cs="Century Gothic"/>
                <w:b/>
              </w:rPr>
            </w:pPr>
          </w:p>
          <w:p w14:paraId="0CD0CE69" w14:textId="77777777" w:rsidR="005E1C7A" w:rsidRDefault="005E1C7A">
            <w:pPr>
              <w:spacing w:after="160" w:line="259" w:lineRule="auto"/>
              <w:rPr>
                <w:rFonts w:ascii="Century Gothic" w:eastAsia="Century Gothic" w:hAnsi="Century Gothic" w:cs="Century Gothic"/>
                <w:b/>
              </w:rPr>
            </w:pPr>
          </w:p>
          <w:p w14:paraId="418B3DD4" w14:textId="77777777" w:rsidR="005E1C7A" w:rsidRDefault="00C00EF2">
            <w:pPr>
              <w:spacing w:after="160" w:line="259" w:lineRule="auto"/>
              <w:jc w:val="center"/>
              <w:rPr>
                <w:rFonts w:ascii="Calibri" w:eastAsia="Calibri" w:hAnsi="Calibri" w:cs="Calibri"/>
                <w:sz w:val="22"/>
                <w:szCs w:val="22"/>
              </w:rPr>
            </w:pPr>
            <w:r>
              <w:rPr>
                <w:rFonts w:ascii="Century Gothic" w:eastAsia="Century Gothic" w:hAnsi="Century Gothic" w:cs="Century Gothic"/>
                <w:b/>
              </w:rPr>
              <w:t>DIP. MARISELA TERRAZAS MUÑOZ</w:t>
            </w:r>
          </w:p>
        </w:tc>
        <w:tc>
          <w:tcPr>
            <w:tcW w:w="4575" w:type="dxa"/>
            <w:tcBorders>
              <w:top w:val="nil"/>
              <w:left w:val="nil"/>
              <w:bottom w:val="nil"/>
              <w:right w:val="nil"/>
            </w:tcBorders>
            <w:shd w:val="clear" w:color="auto" w:fill="auto"/>
            <w:tcMar>
              <w:top w:w="80" w:type="dxa"/>
              <w:left w:w="80" w:type="dxa"/>
              <w:bottom w:w="80" w:type="dxa"/>
              <w:right w:w="80" w:type="dxa"/>
            </w:tcMar>
          </w:tcPr>
          <w:p w14:paraId="15CFC3E3" w14:textId="77777777" w:rsidR="005E1C7A" w:rsidRDefault="005E1C7A">
            <w:pPr>
              <w:spacing w:after="160" w:line="259" w:lineRule="auto"/>
              <w:rPr>
                <w:rFonts w:ascii="Century Gothic" w:eastAsia="Century Gothic" w:hAnsi="Century Gothic" w:cs="Century Gothic"/>
                <w:b/>
              </w:rPr>
            </w:pPr>
          </w:p>
          <w:p w14:paraId="5E9A9515" w14:textId="77777777" w:rsidR="005E1C7A" w:rsidRDefault="005E1C7A">
            <w:pPr>
              <w:spacing w:after="160" w:line="259" w:lineRule="auto"/>
              <w:rPr>
                <w:rFonts w:ascii="Century Gothic" w:eastAsia="Century Gothic" w:hAnsi="Century Gothic" w:cs="Century Gothic"/>
                <w:b/>
              </w:rPr>
            </w:pPr>
          </w:p>
          <w:p w14:paraId="6B563A9E" w14:textId="77777777" w:rsidR="005E1C7A" w:rsidRDefault="00C00EF2">
            <w:pPr>
              <w:spacing w:after="160" w:line="259" w:lineRule="auto"/>
              <w:jc w:val="center"/>
              <w:rPr>
                <w:rFonts w:ascii="Calibri" w:eastAsia="Calibri" w:hAnsi="Calibri" w:cs="Calibri"/>
                <w:sz w:val="22"/>
                <w:szCs w:val="22"/>
              </w:rPr>
            </w:pPr>
            <w:r>
              <w:rPr>
                <w:rFonts w:ascii="Century Gothic" w:eastAsia="Century Gothic" w:hAnsi="Century Gothic" w:cs="Century Gothic"/>
                <w:b/>
              </w:rPr>
              <w:t xml:space="preserve">           DIP. ISMAEL PÉREZ PAVÍA</w:t>
            </w:r>
          </w:p>
        </w:tc>
      </w:tr>
      <w:tr w:rsidR="005E1C7A" w14:paraId="1E0C77A4" w14:textId="77777777">
        <w:trPr>
          <w:trHeight w:val="2133"/>
          <w:jc w:val="center"/>
        </w:trPr>
        <w:tc>
          <w:tcPr>
            <w:tcW w:w="4586" w:type="dxa"/>
            <w:tcBorders>
              <w:top w:val="nil"/>
              <w:left w:val="nil"/>
              <w:bottom w:val="nil"/>
              <w:right w:val="nil"/>
            </w:tcBorders>
            <w:shd w:val="clear" w:color="auto" w:fill="auto"/>
            <w:tcMar>
              <w:top w:w="80" w:type="dxa"/>
              <w:left w:w="80" w:type="dxa"/>
              <w:bottom w:w="80" w:type="dxa"/>
              <w:right w:w="80" w:type="dxa"/>
            </w:tcMar>
          </w:tcPr>
          <w:p w14:paraId="19F2FF03" w14:textId="77777777" w:rsidR="005E1C7A" w:rsidRDefault="005E1C7A">
            <w:pPr>
              <w:spacing w:after="160" w:line="259" w:lineRule="auto"/>
              <w:rPr>
                <w:rFonts w:ascii="Century Gothic" w:eastAsia="Century Gothic" w:hAnsi="Century Gothic" w:cs="Century Gothic"/>
                <w:b/>
              </w:rPr>
            </w:pPr>
          </w:p>
          <w:p w14:paraId="1A2DD495" w14:textId="77777777" w:rsidR="005E1C7A" w:rsidRDefault="005E1C7A">
            <w:pPr>
              <w:spacing w:after="160" w:line="259" w:lineRule="auto"/>
              <w:rPr>
                <w:rFonts w:ascii="Century Gothic" w:eastAsia="Century Gothic" w:hAnsi="Century Gothic" w:cs="Century Gothic"/>
                <w:b/>
              </w:rPr>
            </w:pPr>
          </w:p>
          <w:p w14:paraId="6B411E56" w14:textId="77777777" w:rsidR="005E1C7A" w:rsidRDefault="00C00EF2">
            <w:pPr>
              <w:spacing w:after="160" w:line="259" w:lineRule="auto"/>
              <w:jc w:val="center"/>
              <w:rPr>
                <w:rFonts w:ascii="Calibri" w:eastAsia="Calibri" w:hAnsi="Calibri" w:cs="Calibri"/>
                <w:sz w:val="22"/>
                <w:szCs w:val="22"/>
              </w:rPr>
            </w:pPr>
            <w:r>
              <w:rPr>
                <w:rFonts w:ascii="Century Gothic" w:eastAsia="Century Gothic" w:hAnsi="Century Gothic" w:cs="Century Gothic"/>
                <w:b/>
              </w:rPr>
              <w:t>DIP. ROCÍO GUADALUPE SARMIENTO RUFINO</w:t>
            </w:r>
          </w:p>
        </w:tc>
        <w:tc>
          <w:tcPr>
            <w:tcW w:w="4575" w:type="dxa"/>
            <w:tcBorders>
              <w:top w:val="nil"/>
              <w:left w:val="nil"/>
              <w:bottom w:val="nil"/>
              <w:right w:val="nil"/>
            </w:tcBorders>
            <w:shd w:val="clear" w:color="auto" w:fill="auto"/>
            <w:tcMar>
              <w:top w:w="80" w:type="dxa"/>
              <w:left w:w="80" w:type="dxa"/>
              <w:bottom w:w="80" w:type="dxa"/>
              <w:right w:w="80" w:type="dxa"/>
            </w:tcMar>
          </w:tcPr>
          <w:p w14:paraId="3C35AAA6" w14:textId="77777777" w:rsidR="005E1C7A" w:rsidRDefault="005E1C7A">
            <w:pPr>
              <w:spacing w:after="160" w:line="259" w:lineRule="auto"/>
              <w:jc w:val="center"/>
              <w:rPr>
                <w:rFonts w:ascii="Century Gothic" w:eastAsia="Century Gothic" w:hAnsi="Century Gothic" w:cs="Century Gothic"/>
                <w:b/>
              </w:rPr>
            </w:pPr>
          </w:p>
          <w:p w14:paraId="71E0813C" w14:textId="77777777" w:rsidR="005E1C7A" w:rsidRDefault="005E1C7A">
            <w:pPr>
              <w:spacing w:after="160" w:line="259" w:lineRule="auto"/>
              <w:jc w:val="center"/>
              <w:rPr>
                <w:rFonts w:ascii="Century Gothic" w:eastAsia="Century Gothic" w:hAnsi="Century Gothic" w:cs="Century Gothic"/>
                <w:b/>
              </w:rPr>
            </w:pPr>
          </w:p>
          <w:p w14:paraId="4CCAE052" w14:textId="77777777" w:rsidR="005E1C7A" w:rsidRDefault="00C00EF2">
            <w:pPr>
              <w:spacing w:after="160" w:line="259" w:lineRule="auto"/>
              <w:jc w:val="center"/>
              <w:rPr>
                <w:rFonts w:ascii="Calibri" w:eastAsia="Calibri" w:hAnsi="Calibri" w:cs="Calibri"/>
                <w:sz w:val="22"/>
                <w:szCs w:val="22"/>
              </w:rPr>
            </w:pPr>
            <w:r>
              <w:rPr>
                <w:rFonts w:ascii="Century Gothic" w:eastAsia="Century Gothic" w:hAnsi="Century Gothic" w:cs="Century Gothic"/>
                <w:b/>
              </w:rPr>
              <w:t xml:space="preserve">             DIP. SAÚL MIRELES CORRAL</w:t>
            </w:r>
          </w:p>
        </w:tc>
      </w:tr>
      <w:tr w:rsidR="005E1C7A" w14:paraId="5D4994FD" w14:textId="77777777">
        <w:trPr>
          <w:trHeight w:val="1935"/>
          <w:jc w:val="center"/>
        </w:trPr>
        <w:tc>
          <w:tcPr>
            <w:tcW w:w="4586" w:type="dxa"/>
            <w:tcBorders>
              <w:top w:val="nil"/>
              <w:left w:val="nil"/>
              <w:bottom w:val="nil"/>
              <w:right w:val="nil"/>
            </w:tcBorders>
            <w:shd w:val="clear" w:color="auto" w:fill="auto"/>
            <w:tcMar>
              <w:top w:w="80" w:type="dxa"/>
              <w:left w:w="80" w:type="dxa"/>
              <w:bottom w:w="80" w:type="dxa"/>
              <w:right w:w="80" w:type="dxa"/>
            </w:tcMar>
          </w:tcPr>
          <w:p w14:paraId="5F569DDA" w14:textId="77777777" w:rsidR="005E1C7A" w:rsidRDefault="005E1C7A">
            <w:pPr>
              <w:spacing w:after="160" w:line="259" w:lineRule="auto"/>
              <w:rPr>
                <w:rFonts w:ascii="Century Gothic" w:eastAsia="Century Gothic" w:hAnsi="Century Gothic" w:cs="Century Gothic"/>
                <w:b/>
              </w:rPr>
            </w:pPr>
          </w:p>
          <w:p w14:paraId="18F294C8" w14:textId="77777777" w:rsidR="005E1C7A" w:rsidRDefault="00C00EF2">
            <w:pPr>
              <w:spacing w:after="160" w:line="259" w:lineRule="auto"/>
              <w:jc w:val="center"/>
              <w:rPr>
                <w:rFonts w:ascii="Calibri" w:eastAsia="Calibri" w:hAnsi="Calibri" w:cs="Calibri"/>
                <w:sz w:val="22"/>
                <w:szCs w:val="22"/>
              </w:rPr>
            </w:pPr>
            <w:r>
              <w:rPr>
                <w:rFonts w:ascii="Century Gothic" w:eastAsia="Century Gothic" w:hAnsi="Century Gothic" w:cs="Century Gothic"/>
                <w:b/>
              </w:rPr>
              <w:t xml:space="preserve">DIP. ANA MARGARITA BLACKALLER PRIETO </w:t>
            </w:r>
          </w:p>
        </w:tc>
        <w:tc>
          <w:tcPr>
            <w:tcW w:w="4575" w:type="dxa"/>
            <w:tcBorders>
              <w:top w:val="nil"/>
              <w:left w:val="nil"/>
              <w:bottom w:val="nil"/>
              <w:right w:val="nil"/>
            </w:tcBorders>
            <w:shd w:val="clear" w:color="auto" w:fill="auto"/>
            <w:tcMar>
              <w:top w:w="80" w:type="dxa"/>
              <w:left w:w="80" w:type="dxa"/>
              <w:bottom w:w="80" w:type="dxa"/>
              <w:right w:w="80" w:type="dxa"/>
            </w:tcMar>
          </w:tcPr>
          <w:p w14:paraId="2D42754E" w14:textId="77777777" w:rsidR="005E1C7A" w:rsidRDefault="005E1C7A">
            <w:pPr>
              <w:spacing w:after="160" w:line="259" w:lineRule="auto"/>
              <w:rPr>
                <w:rFonts w:ascii="Century Gothic" w:eastAsia="Century Gothic" w:hAnsi="Century Gothic" w:cs="Century Gothic"/>
                <w:b/>
              </w:rPr>
            </w:pPr>
          </w:p>
          <w:p w14:paraId="699AF119" w14:textId="77777777" w:rsidR="005E1C7A" w:rsidRDefault="00C00EF2">
            <w:pPr>
              <w:spacing w:after="160" w:line="259" w:lineRule="auto"/>
              <w:rPr>
                <w:rFonts w:ascii="Century Gothic" w:eastAsia="Century Gothic" w:hAnsi="Century Gothic" w:cs="Century Gothic"/>
                <w:b/>
              </w:rPr>
            </w:pPr>
            <w:r>
              <w:rPr>
                <w:rFonts w:ascii="Century Gothic" w:eastAsia="Century Gothic" w:hAnsi="Century Gothic" w:cs="Century Gothic"/>
                <w:b/>
              </w:rPr>
              <w:t>DIP. JOSÉ ALFREDO CHÁVEZ MADRID</w:t>
            </w:r>
          </w:p>
          <w:p w14:paraId="78203C06" w14:textId="77777777" w:rsidR="005E1C7A" w:rsidRDefault="005E1C7A">
            <w:pPr>
              <w:spacing w:after="160" w:line="259" w:lineRule="auto"/>
              <w:rPr>
                <w:rFonts w:ascii="Century Gothic" w:eastAsia="Century Gothic" w:hAnsi="Century Gothic" w:cs="Century Gothic"/>
                <w:b/>
              </w:rPr>
            </w:pPr>
          </w:p>
          <w:p w14:paraId="07AB9A42" w14:textId="77777777" w:rsidR="005E1C7A" w:rsidRDefault="005E1C7A">
            <w:pPr>
              <w:spacing w:after="160" w:line="259" w:lineRule="auto"/>
              <w:rPr>
                <w:rFonts w:ascii="Century Gothic" w:eastAsia="Century Gothic" w:hAnsi="Century Gothic" w:cs="Century Gothic"/>
                <w:b/>
              </w:rPr>
            </w:pPr>
          </w:p>
        </w:tc>
      </w:tr>
      <w:tr w:rsidR="005E1C7A" w14:paraId="18040EE1" w14:textId="77777777">
        <w:trPr>
          <w:trHeight w:val="1640"/>
          <w:jc w:val="center"/>
        </w:trPr>
        <w:tc>
          <w:tcPr>
            <w:tcW w:w="4586" w:type="dxa"/>
            <w:tcBorders>
              <w:top w:val="nil"/>
              <w:left w:val="nil"/>
              <w:bottom w:val="nil"/>
              <w:right w:val="nil"/>
            </w:tcBorders>
            <w:shd w:val="clear" w:color="auto" w:fill="auto"/>
            <w:tcMar>
              <w:top w:w="80" w:type="dxa"/>
              <w:left w:w="80" w:type="dxa"/>
              <w:bottom w:w="80" w:type="dxa"/>
              <w:right w:w="80" w:type="dxa"/>
            </w:tcMar>
          </w:tcPr>
          <w:p w14:paraId="6AE5A4E5" w14:textId="77777777" w:rsidR="005E1C7A" w:rsidRDefault="005E1C7A">
            <w:pPr>
              <w:spacing w:after="160" w:line="259" w:lineRule="auto"/>
              <w:rPr>
                <w:rFonts w:ascii="Century Gothic" w:eastAsia="Century Gothic" w:hAnsi="Century Gothic" w:cs="Century Gothic"/>
                <w:b/>
              </w:rPr>
            </w:pPr>
          </w:p>
          <w:p w14:paraId="06F3D01E" w14:textId="77777777" w:rsidR="005E1C7A" w:rsidRDefault="00C00EF2">
            <w:pPr>
              <w:spacing w:after="160" w:line="259" w:lineRule="auto"/>
              <w:jc w:val="center"/>
              <w:rPr>
                <w:rFonts w:ascii="Calibri" w:eastAsia="Calibri" w:hAnsi="Calibri" w:cs="Calibri"/>
                <w:sz w:val="22"/>
                <w:szCs w:val="22"/>
              </w:rPr>
            </w:pPr>
            <w:r>
              <w:rPr>
                <w:rFonts w:ascii="Century Gothic" w:eastAsia="Century Gothic" w:hAnsi="Century Gothic" w:cs="Century Gothic"/>
                <w:b/>
              </w:rPr>
              <w:t>DIP. CARLOS ALFREDO OLSON SAN VICENTE</w:t>
            </w:r>
          </w:p>
        </w:tc>
        <w:tc>
          <w:tcPr>
            <w:tcW w:w="4575" w:type="dxa"/>
            <w:tcBorders>
              <w:top w:val="nil"/>
              <w:left w:val="nil"/>
              <w:bottom w:val="nil"/>
              <w:right w:val="nil"/>
            </w:tcBorders>
            <w:shd w:val="clear" w:color="auto" w:fill="auto"/>
            <w:tcMar>
              <w:top w:w="80" w:type="dxa"/>
              <w:left w:w="80" w:type="dxa"/>
              <w:bottom w:w="80" w:type="dxa"/>
              <w:right w:w="80" w:type="dxa"/>
            </w:tcMar>
          </w:tcPr>
          <w:p w14:paraId="5283CA2A" w14:textId="77777777" w:rsidR="005E1C7A" w:rsidRDefault="005E1C7A">
            <w:pPr>
              <w:spacing w:after="160" w:line="259" w:lineRule="auto"/>
              <w:rPr>
                <w:rFonts w:ascii="Century Gothic" w:eastAsia="Century Gothic" w:hAnsi="Century Gothic" w:cs="Century Gothic"/>
                <w:b/>
              </w:rPr>
            </w:pPr>
          </w:p>
          <w:p w14:paraId="24EFA119" w14:textId="77777777" w:rsidR="005E1C7A" w:rsidRDefault="00C00EF2">
            <w:pPr>
              <w:spacing w:after="160" w:line="259" w:lineRule="auto"/>
              <w:jc w:val="center"/>
              <w:rPr>
                <w:rFonts w:ascii="Calibri" w:eastAsia="Calibri" w:hAnsi="Calibri" w:cs="Calibri"/>
                <w:sz w:val="22"/>
                <w:szCs w:val="22"/>
              </w:rPr>
            </w:pPr>
            <w:r>
              <w:rPr>
                <w:rFonts w:ascii="Century Gothic" w:eastAsia="Century Gothic" w:hAnsi="Century Gothic" w:cs="Century Gothic"/>
                <w:b/>
              </w:rPr>
              <w:t>DIP.ANDREA DANIELA FLORES CHACÓN</w:t>
            </w:r>
          </w:p>
        </w:tc>
      </w:tr>
      <w:tr w:rsidR="005E1C7A" w14:paraId="3F96CCBE" w14:textId="77777777">
        <w:trPr>
          <w:trHeight w:val="2614"/>
          <w:jc w:val="center"/>
        </w:trPr>
        <w:tc>
          <w:tcPr>
            <w:tcW w:w="4586" w:type="dxa"/>
            <w:tcBorders>
              <w:top w:val="nil"/>
              <w:left w:val="nil"/>
              <w:bottom w:val="nil"/>
              <w:right w:val="nil"/>
            </w:tcBorders>
            <w:shd w:val="clear" w:color="auto" w:fill="auto"/>
            <w:tcMar>
              <w:top w:w="80" w:type="dxa"/>
              <w:left w:w="80" w:type="dxa"/>
              <w:bottom w:w="80" w:type="dxa"/>
              <w:right w:w="80" w:type="dxa"/>
            </w:tcMar>
          </w:tcPr>
          <w:p w14:paraId="6EBB9C8F" w14:textId="77777777" w:rsidR="005E1C7A" w:rsidRDefault="005E1C7A">
            <w:pPr>
              <w:spacing w:after="160" w:line="259" w:lineRule="auto"/>
              <w:rPr>
                <w:rFonts w:ascii="Century Gothic" w:eastAsia="Century Gothic" w:hAnsi="Century Gothic" w:cs="Century Gothic"/>
                <w:b/>
              </w:rPr>
            </w:pPr>
          </w:p>
          <w:p w14:paraId="2E721D73" w14:textId="77777777" w:rsidR="005E1C7A" w:rsidRDefault="005E1C7A">
            <w:pPr>
              <w:spacing w:after="160" w:line="259" w:lineRule="auto"/>
              <w:rPr>
                <w:rFonts w:ascii="Century Gothic" w:eastAsia="Century Gothic" w:hAnsi="Century Gothic" w:cs="Century Gothic"/>
                <w:b/>
              </w:rPr>
            </w:pPr>
          </w:p>
          <w:p w14:paraId="6AE09639" w14:textId="77777777" w:rsidR="005E1C7A" w:rsidRDefault="00C00EF2">
            <w:pPr>
              <w:spacing w:after="160" w:line="259" w:lineRule="auto"/>
              <w:jc w:val="center"/>
              <w:rPr>
                <w:rFonts w:ascii="Century Gothic" w:eastAsia="Century Gothic" w:hAnsi="Century Gothic" w:cs="Century Gothic"/>
                <w:b/>
              </w:rPr>
            </w:pPr>
            <w:r>
              <w:rPr>
                <w:rFonts w:ascii="Century Gothic" w:eastAsia="Century Gothic" w:hAnsi="Century Gothic" w:cs="Century Gothic"/>
                <w:b/>
              </w:rPr>
              <w:t>DIP. ROBERTO MARCELINO CARREÓN HUITRÓN</w:t>
            </w:r>
          </w:p>
          <w:p w14:paraId="44EFF38E" w14:textId="77777777" w:rsidR="005E1C7A" w:rsidRDefault="005E1C7A">
            <w:pPr>
              <w:spacing w:after="160" w:line="259" w:lineRule="auto"/>
              <w:jc w:val="center"/>
              <w:rPr>
                <w:rFonts w:ascii="Century Gothic" w:eastAsia="Century Gothic" w:hAnsi="Century Gothic" w:cs="Century Gothic"/>
                <w:b/>
              </w:rPr>
            </w:pPr>
          </w:p>
          <w:p w14:paraId="445F6953" w14:textId="77777777" w:rsidR="005E1C7A" w:rsidRDefault="005E1C7A">
            <w:pPr>
              <w:spacing w:after="160" w:line="259" w:lineRule="auto"/>
              <w:jc w:val="center"/>
              <w:rPr>
                <w:rFonts w:ascii="Century Gothic" w:eastAsia="Century Gothic" w:hAnsi="Century Gothic" w:cs="Century Gothic"/>
                <w:b/>
              </w:rPr>
            </w:pPr>
          </w:p>
        </w:tc>
        <w:tc>
          <w:tcPr>
            <w:tcW w:w="4575" w:type="dxa"/>
            <w:tcBorders>
              <w:top w:val="nil"/>
              <w:left w:val="nil"/>
              <w:bottom w:val="nil"/>
              <w:right w:val="nil"/>
            </w:tcBorders>
            <w:shd w:val="clear" w:color="auto" w:fill="auto"/>
            <w:tcMar>
              <w:top w:w="80" w:type="dxa"/>
              <w:left w:w="80" w:type="dxa"/>
              <w:bottom w:w="80" w:type="dxa"/>
              <w:right w:w="80" w:type="dxa"/>
            </w:tcMar>
          </w:tcPr>
          <w:p w14:paraId="1B586DB8" w14:textId="77777777" w:rsidR="005E1C7A" w:rsidRDefault="005E1C7A">
            <w:pPr>
              <w:spacing w:after="160" w:line="259" w:lineRule="auto"/>
              <w:rPr>
                <w:rFonts w:ascii="Century Gothic" w:eastAsia="Century Gothic" w:hAnsi="Century Gothic" w:cs="Century Gothic"/>
                <w:b/>
              </w:rPr>
            </w:pPr>
          </w:p>
          <w:p w14:paraId="2A75FA25" w14:textId="77777777" w:rsidR="005E1C7A" w:rsidRDefault="005E1C7A">
            <w:pPr>
              <w:spacing w:after="160" w:line="259" w:lineRule="auto"/>
              <w:rPr>
                <w:rFonts w:ascii="Century Gothic" w:eastAsia="Century Gothic" w:hAnsi="Century Gothic" w:cs="Century Gothic"/>
                <w:b/>
              </w:rPr>
            </w:pPr>
          </w:p>
          <w:p w14:paraId="0B0A302A" w14:textId="77777777" w:rsidR="005E1C7A" w:rsidRDefault="00C00EF2">
            <w:pPr>
              <w:spacing w:after="160" w:line="259" w:lineRule="auto"/>
              <w:rPr>
                <w:rFonts w:ascii="Century Gothic" w:eastAsia="Century Gothic" w:hAnsi="Century Gothic" w:cs="Century Gothic"/>
                <w:b/>
              </w:rPr>
            </w:pPr>
            <w:r>
              <w:rPr>
                <w:rFonts w:ascii="Century Gothic" w:eastAsia="Century Gothic" w:hAnsi="Century Gothic" w:cs="Century Gothic"/>
                <w:b/>
              </w:rPr>
              <w:t>DIP. LUIS ALBERTO AGUILAR LOZOYA</w:t>
            </w:r>
          </w:p>
          <w:p w14:paraId="20E6831E" w14:textId="77777777" w:rsidR="005E1C7A" w:rsidRDefault="005E1C7A">
            <w:pPr>
              <w:spacing w:after="160" w:line="259" w:lineRule="auto"/>
              <w:rPr>
                <w:rFonts w:ascii="Century Gothic" w:eastAsia="Century Gothic" w:hAnsi="Century Gothic" w:cs="Century Gothic"/>
                <w:b/>
              </w:rPr>
            </w:pPr>
          </w:p>
          <w:p w14:paraId="4640D0CB" w14:textId="77777777" w:rsidR="005E1C7A" w:rsidRDefault="005E1C7A">
            <w:pPr>
              <w:spacing w:after="160" w:line="259" w:lineRule="auto"/>
              <w:rPr>
                <w:rFonts w:ascii="Century Gothic" w:eastAsia="Century Gothic" w:hAnsi="Century Gothic" w:cs="Century Gothic"/>
                <w:b/>
              </w:rPr>
            </w:pPr>
          </w:p>
        </w:tc>
      </w:tr>
      <w:tr w:rsidR="005E1C7A" w14:paraId="680838BF" w14:textId="77777777">
        <w:trPr>
          <w:trHeight w:val="1800"/>
          <w:jc w:val="center"/>
        </w:trPr>
        <w:tc>
          <w:tcPr>
            <w:tcW w:w="4586" w:type="dxa"/>
            <w:tcBorders>
              <w:top w:val="nil"/>
              <w:left w:val="nil"/>
              <w:bottom w:val="nil"/>
              <w:right w:val="nil"/>
            </w:tcBorders>
            <w:shd w:val="clear" w:color="auto" w:fill="auto"/>
            <w:tcMar>
              <w:top w:w="80" w:type="dxa"/>
              <w:left w:w="80" w:type="dxa"/>
              <w:bottom w:w="80" w:type="dxa"/>
              <w:right w:w="80" w:type="dxa"/>
            </w:tcMar>
          </w:tcPr>
          <w:p w14:paraId="17397C6D" w14:textId="77777777" w:rsidR="005E1C7A" w:rsidRDefault="00C00EF2">
            <w:pPr>
              <w:spacing w:after="160" w:line="259" w:lineRule="auto"/>
              <w:rPr>
                <w:rFonts w:ascii="Century Gothic" w:eastAsia="Century Gothic" w:hAnsi="Century Gothic" w:cs="Century Gothic"/>
                <w:b/>
              </w:rPr>
            </w:pPr>
            <w:r>
              <w:rPr>
                <w:rFonts w:ascii="Century Gothic" w:eastAsia="Century Gothic" w:hAnsi="Century Gothic" w:cs="Century Gothic"/>
                <w:b/>
              </w:rPr>
              <w:t>DIP. DIANA IVETTE PEREDA GUTIÉRREZ</w:t>
            </w:r>
          </w:p>
          <w:p w14:paraId="13672E8D" w14:textId="77777777" w:rsidR="005E1C7A" w:rsidRDefault="005E1C7A">
            <w:pPr>
              <w:spacing w:after="160" w:line="259" w:lineRule="auto"/>
              <w:jc w:val="center"/>
              <w:rPr>
                <w:rFonts w:ascii="Century Gothic" w:eastAsia="Century Gothic" w:hAnsi="Century Gothic" w:cs="Century Gothic"/>
                <w:b/>
              </w:rPr>
            </w:pPr>
          </w:p>
          <w:p w14:paraId="78719F9A" w14:textId="77777777" w:rsidR="005E1C7A" w:rsidRDefault="005E1C7A">
            <w:pPr>
              <w:spacing w:after="160" w:line="259" w:lineRule="auto"/>
              <w:rPr>
                <w:rFonts w:ascii="Century Gothic" w:eastAsia="Century Gothic" w:hAnsi="Century Gothic" w:cs="Century Gothic"/>
                <w:b/>
              </w:rPr>
            </w:pPr>
          </w:p>
          <w:p w14:paraId="3A04C29E" w14:textId="77777777" w:rsidR="005E1C7A" w:rsidRDefault="00C00EF2">
            <w:pPr>
              <w:spacing w:after="160" w:line="259" w:lineRule="auto"/>
              <w:jc w:val="center"/>
              <w:rPr>
                <w:rFonts w:ascii="Calibri" w:eastAsia="Calibri" w:hAnsi="Calibri" w:cs="Calibri"/>
                <w:sz w:val="22"/>
                <w:szCs w:val="22"/>
              </w:rPr>
            </w:pPr>
            <w:r>
              <w:rPr>
                <w:rFonts w:ascii="Century Gothic" w:eastAsia="Century Gothic" w:hAnsi="Century Gothic" w:cs="Century Gothic"/>
                <w:b/>
              </w:rPr>
              <w:t>DIP. YESENIA GUADALUPE REYES CALZADÍAS</w:t>
            </w:r>
          </w:p>
        </w:tc>
        <w:tc>
          <w:tcPr>
            <w:tcW w:w="4575" w:type="dxa"/>
            <w:tcBorders>
              <w:top w:val="nil"/>
              <w:left w:val="nil"/>
              <w:bottom w:val="nil"/>
              <w:right w:val="nil"/>
            </w:tcBorders>
            <w:shd w:val="clear" w:color="auto" w:fill="auto"/>
            <w:tcMar>
              <w:top w:w="80" w:type="dxa"/>
              <w:left w:w="80" w:type="dxa"/>
              <w:bottom w:w="80" w:type="dxa"/>
              <w:right w:w="80" w:type="dxa"/>
            </w:tcMar>
          </w:tcPr>
          <w:p w14:paraId="63AB01FC" w14:textId="77777777" w:rsidR="005E1C7A" w:rsidRDefault="00C00EF2">
            <w:pPr>
              <w:spacing w:after="160" w:line="259" w:lineRule="auto"/>
              <w:rPr>
                <w:rFonts w:ascii="Century Gothic" w:eastAsia="Century Gothic" w:hAnsi="Century Gothic" w:cs="Century Gothic"/>
                <w:b/>
              </w:rPr>
            </w:pPr>
            <w:r>
              <w:rPr>
                <w:rFonts w:ascii="Century Gothic" w:eastAsia="Century Gothic" w:hAnsi="Century Gothic" w:cs="Century Gothic"/>
                <w:b/>
              </w:rPr>
              <w:t>DIP. GABRIEL ÁNGEL GARCÍA CANTÚ</w:t>
            </w:r>
          </w:p>
          <w:p w14:paraId="3278118A" w14:textId="77777777" w:rsidR="005E1C7A" w:rsidRDefault="005E1C7A">
            <w:pPr>
              <w:spacing w:after="160" w:line="259" w:lineRule="auto"/>
              <w:jc w:val="center"/>
              <w:rPr>
                <w:rFonts w:ascii="Century Gothic" w:eastAsia="Century Gothic" w:hAnsi="Century Gothic" w:cs="Century Gothic"/>
                <w:b/>
              </w:rPr>
            </w:pPr>
          </w:p>
          <w:p w14:paraId="4345B1AD" w14:textId="77777777" w:rsidR="005E1C7A" w:rsidRDefault="005E1C7A">
            <w:pPr>
              <w:spacing w:after="160" w:line="259" w:lineRule="auto"/>
              <w:rPr>
                <w:rFonts w:ascii="Century Gothic" w:eastAsia="Century Gothic" w:hAnsi="Century Gothic" w:cs="Century Gothic"/>
                <w:b/>
              </w:rPr>
            </w:pPr>
          </w:p>
          <w:p w14:paraId="63BE0BD1" w14:textId="77777777" w:rsidR="005E1C7A" w:rsidRDefault="00C00EF2">
            <w:pPr>
              <w:spacing w:after="160" w:line="259" w:lineRule="auto"/>
              <w:jc w:val="center"/>
              <w:rPr>
                <w:rFonts w:ascii="Century Gothic" w:eastAsia="Century Gothic" w:hAnsi="Century Gothic" w:cs="Century Gothic"/>
                <w:b/>
              </w:rPr>
            </w:pPr>
            <w:r>
              <w:rPr>
                <w:rFonts w:ascii="Century Gothic" w:eastAsia="Century Gothic" w:hAnsi="Century Gothic" w:cs="Century Gothic"/>
                <w:b/>
              </w:rPr>
              <w:t>DIP. ISMAEL MARIO RODRÍGUEZ SALDAÑA</w:t>
            </w:r>
          </w:p>
          <w:p w14:paraId="0CD84631" w14:textId="77777777" w:rsidR="005E1C7A" w:rsidRDefault="005E1C7A">
            <w:pPr>
              <w:spacing w:after="160" w:line="259" w:lineRule="auto"/>
              <w:jc w:val="center"/>
              <w:rPr>
                <w:rFonts w:ascii="Century Gothic" w:eastAsia="Century Gothic" w:hAnsi="Century Gothic" w:cs="Century Gothic"/>
                <w:b/>
              </w:rPr>
            </w:pPr>
          </w:p>
          <w:p w14:paraId="6009838A" w14:textId="77777777" w:rsidR="005E1C7A" w:rsidRDefault="005E1C7A">
            <w:pPr>
              <w:spacing w:after="160" w:line="259" w:lineRule="auto"/>
              <w:jc w:val="center"/>
              <w:rPr>
                <w:rFonts w:ascii="Calibri" w:eastAsia="Calibri" w:hAnsi="Calibri" w:cs="Calibri"/>
                <w:sz w:val="22"/>
                <w:szCs w:val="22"/>
              </w:rPr>
            </w:pPr>
          </w:p>
        </w:tc>
      </w:tr>
      <w:tr w:rsidR="005E1C7A" w14:paraId="584F2437" w14:textId="77777777">
        <w:trPr>
          <w:trHeight w:val="1800"/>
          <w:jc w:val="center"/>
        </w:trPr>
        <w:tc>
          <w:tcPr>
            <w:tcW w:w="4586" w:type="dxa"/>
            <w:tcBorders>
              <w:top w:val="nil"/>
              <w:left w:val="nil"/>
              <w:bottom w:val="nil"/>
              <w:right w:val="nil"/>
            </w:tcBorders>
            <w:shd w:val="clear" w:color="auto" w:fill="auto"/>
            <w:tcMar>
              <w:top w:w="80" w:type="dxa"/>
              <w:left w:w="80" w:type="dxa"/>
              <w:bottom w:w="80" w:type="dxa"/>
              <w:right w:w="80" w:type="dxa"/>
            </w:tcMar>
          </w:tcPr>
          <w:p w14:paraId="1E75DBA5" w14:textId="77777777" w:rsidR="005E1C7A" w:rsidRDefault="005E1C7A">
            <w:pPr>
              <w:spacing w:after="160" w:line="259" w:lineRule="auto"/>
              <w:rPr>
                <w:rFonts w:ascii="Century Gothic" w:eastAsia="Century Gothic" w:hAnsi="Century Gothic" w:cs="Century Gothic"/>
                <w:b/>
              </w:rPr>
            </w:pPr>
          </w:p>
        </w:tc>
        <w:tc>
          <w:tcPr>
            <w:tcW w:w="4575" w:type="dxa"/>
            <w:tcBorders>
              <w:top w:val="nil"/>
              <w:left w:val="nil"/>
              <w:bottom w:val="nil"/>
              <w:right w:val="nil"/>
            </w:tcBorders>
            <w:shd w:val="clear" w:color="auto" w:fill="auto"/>
            <w:tcMar>
              <w:top w:w="80" w:type="dxa"/>
              <w:left w:w="80" w:type="dxa"/>
              <w:bottom w:w="80" w:type="dxa"/>
              <w:right w:w="80" w:type="dxa"/>
            </w:tcMar>
          </w:tcPr>
          <w:p w14:paraId="2A77FDC4" w14:textId="77777777" w:rsidR="005E1C7A" w:rsidRDefault="005E1C7A">
            <w:pPr>
              <w:spacing w:after="160" w:line="259" w:lineRule="auto"/>
              <w:rPr>
                <w:rFonts w:ascii="Century Gothic" w:eastAsia="Century Gothic" w:hAnsi="Century Gothic" w:cs="Century Gothic"/>
                <w:b/>
              </w:rPr>
            </w:pPr>
          </w:p>
        </w:tc>
      </w:tr>
    </w:tbl>
    <w:p w14:paraId="6F2D2DEA" w14:textId="77777777" w:rsidR="005E1C7A" w:rsidRDefault="005E1C7A">
      <w:pPr>
        <w:spacing w:after="160" w:line="360" w:lineRule="auto"/>
        <w:jc w:val="both"/>
        <w:rPr>
          <w:rFonts w:ascii="Century Gothic" w:eastAsia="Century Gothic" w:hAnsi="Century Gothic" w:cs="Century Gothic"/>
        </w:rPr>
      </w:pPr>
    </w:p>
    <w:sectPr w:rsidR="005E1C7A" w:rsidSect="00502015">
      <w:headerReference w:type="default" r:id="rId7"/>
      <w:footerReference w:type="default" r:id="rId8"/>
      <w:pgSz w:w="12240" w:h="15840"/>
      <w:pgMar w:top="2126" w:right="1701" w:bottom="1418"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E860E" w14:textId="77777777" w:rsidR="00C00EF2" w:rsidRDefault="00C00EF2">
      <w:r>
        <w:separator/>
      </w:r>
    </w:p>
  </w:endnote>
  <w:endnote w:type="continuationSeparator" w:id="0">
    <w:p w14:paraId="23C7824D" w14:textId="77777777" w:rsidR="00C00EF2" w:rsidRDefault="00C00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14ACA" w14:textId="77777777" w:rsidR="005E1C7A" w:rsidRDefault="005E1C7A">
    <w:pPr>
      <w:rPr>
        <w:sz w:val="20"/>
        <w:szCs w:val="20"/>
      </w:rPr>
    </w:pPr>
  </w:p>
  <w:p w14:paraId="499EE1D4" w14:textId="77777777" w:rsidR="005E1C7A" w:rsidRDefault="005E1C7A">
    <w:pPr>
      <w:pBdr>
        <w:top w:val="nil"/>
        <w:left w:val="nil"/>
        <w:bottom w:val="nil"/>
        <w:right w:val="nil"/>
        <w:between w:val="nil"/>
      </w:pBdr>
      <w:tabs>
        <w:tab w:val="center" w:pos="4419"/>
        <w:tab w:val="right" w:pos="8818"/>
      </w:tabs>
      <w:rPr>
        <w:rFonts w:ascii="Calibri" w:eastAsia="Calibri" w:hAnsi="Calibri" w:cs="Calibr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98F72" w14:textId="77777777" w:rsidR="00C00EF2" w:rsidRDefault="00C00EF2">
      <w:r>
        <w:separator/>
      </w:r>
    </w:p>
  </w:footnote>
  <w:footnote w:type="continuationSeparator" w:id="0">
    <w:p w14:paraId="1545C327" w14:textId="77777777" w:rsidR="00C00EF2" w:rsidRDefault="00C00E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399AB" w14:textId="77777777" w:rsidR="005E1C7A" w:rsidRDefault="00C00EF2">
    <w:pPr>
      <w:widowControl w:val="0"/>
      <w:pBdr>
        <w:top w:val="nil"/>
        <w:left w:val="nil"/>
        <w:bottom w:val="nil"/>
        <w:right w:val="nil"/>
        <w:between w:val="nil"/>
      </w:pBdr>
      <w:tabs>
        <w:tab w:val="left" w:pos="5544"/>
      </w:tabs>
      <w:spacing w:line="200" w:lineRule="auto"/>
      <w:rPr>
        <w:rFonts w:ascii="Calibri" w:eastAsia="Calibri" w:hAnsi="Calibri" w:cs="Calibri"/>
        <w:color w:val="000000"/>
        <w:sz w:val="22"/>
        <w:szCs w:val="22"/>
      </w:rPr>
    </w:pPr>
    <w:r>
      <w:rPr>
        <w:rFonts w:ascii="Calibri" w:eastAsia="Calibri" w:hAnsi="Calibri" w:cs="Calibri"/>
        <w:noProof/>
        <w:color w:val="000000"/>
        <w:sz w:val="22"/>
        <w:szCs w:val="22"/>
      </w:rPr>
      <w:drawing>
        <wp:anchor distT="0" distB="0" distL="0" distR="0" simplePos="0" relativeHeight="251658240" behindDoc="1" locked="0" layoutInCell="1" hidden="0" allowOverlap="1" wp14:anchorId="475084E7" wp14:editId="77077D5D">
          <wp:simplePos x="0" y="0"/>
          <wp:positionH relativeFrom="page">
            <wp:posOffset>259080</wp:posOffset>
          </wp:positionH>
          <wp:positionV relativeFrom="page">
            <wp:posOffset>202969</wp:posOffset>
          </wp:positionV>
          <wp:extent cx="1061085" cy="1017905"/>
          <wp:effectExtent l="0" t="0" r="0" b="0"/>
          <wp:wrapNone/>
          <wp:docPr id="3" name="image2.png" descr="image3.png"/>
          <wp:cNvGraphicFramePr/>
          <a:graphic xmlns:a="http://schemas.openxmlformats.org/drawingml/2006/main">
            <a:graphicData uri="http://schemas.openxmlformats.org/drawingml/2006/picture">
              <pic:pic xmlns:pic="http://schemas.openxmlformats.org/drawingml/2006/picture">
                <pic:nvPicPr>
                  <pic:cNvPr id="0" name="image2.png" descr="image3.png"/>
                  <pic:cNvPicPr preferRelativeResize="0"/>
                </pic:nvPicPr>
                <pic:blipFill>
                  <a:blip r:embed="rId1"/>
                  <a:srcRect/>
                  <a:stretch>
                    <a:fillRect/>
                  </a:stretch>
                </pic:blipFill>
                <pic:spPr>
                  <a:xfrm>
                    <a:off x="0" y="0"/>
                    <a:ext cx="1061085" cy="1017905"/>
                  </a:xfrm>
                  <a:prstGeom prst="rect">
                    <a:avLst/>
                  </a:prstGeom>
                  <a:ln/>
                </pic:spPr>
              </pic:pic>
            </a:graphicData>
          </a:graphic>
        </wp:anchor>
      </w:drawing>
    </w:r>
    <w:r>
      <w:rPr>
        <w:rFonts w:ascii="Calibri" w:eastAsia="Calibri" w:hAnsi="Calibri" w:cs="Calibri"/>
        <w:noProof/>
        <w:color w:val="000000"/>
        <w:sz w:val="22"/>
        <w:szCs w:val="22"/>
      </w:rPr>
      <w:drawing>
        <wp:anchor distT="0" distB="0" distL="0" distR="0" simplePos="0" relativeHeight="251659264" behindDoc="1" locked="0" layoutInCell="1" hidden="0" allowOverlap="1" wp14:anchorId="756144C1" wp14:editId="2F979694">
          <wp:simplePos x="0" y="0"/>
          <wp:positionH relativeFrom="page">
            <wp:posOffset>6630034</wp:posOffset>
          </wp:positionH>
          <wp:positionV relativeFrom="page">
            <wp:posOffset>246376</wp:posOffset>
          </wp:positionV>
          <wp:extent cx="857250" cy="857250"/>
          <wp:effectExtent l="0" t="0" r="0" b="0"/>
          <wp:wrapNone/>
          <wp:docPr id="4" name="image1.png" descr="Logotipo&#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1.png" descr="Logotipo&#10;&#10;Descripción generada automáticamente con confianza media"/>
                  <pic:cNvPicPr preferRelativeResize="0"/>
                </pic:nvPicPr>
                <pic:blipFill>
                  <a:blip r:embed="rId2"/>
                  <a:srcRect/>
                  <a:stretch>
                    <a:fillRect/>
                  </a:stretch>
                </pic:blipFill>
                <pic:spPr>
                  <a:xfrm>
                    <a:off x="0" y="0"/>
                    <a:ext cx="857250" cy="857250"/>
                  </a:xfrm>
                  <a:prstGeom prst="rect">
                    <a:avLst/>
                  </a:prstGeom>
                  <a:ln/>
                </pic:spPr>
              </pic:pic>
            </a:graphicData>
          </a:graphic>
        </wp:anchor>
      </w:drawing>
    </w:r>
    <w:r>
      <w:rPr>
        <w:rFonts w:ascii="Calibri" w:eastAsia="Calibri" w:hAnsi="Calibri" w:cs="Calibri"/>
        <w:noProof/>
        <w:color w:val="000000"/>
        <w:sz w:val="22"/>
        <w:szCs w:val="22"/>
      </w:rPr>
      <mc:AlternateContent>
        <mc:Choice Requires="wpg">
          <w:drawing>
            <wp:anchor distT="0" distB="0" distL="0" distR="0" simplePos="0" relativeHeight="251660288" behindDoc="1" locked="0" layoutInCell="1" hidden="0" allowOverlap="1" wp14:anchorId="657865FC" wp14:editId="56ED538E">
              <wp:simplePos x="0" y="0"/>
              <wp:positionH relativeFrom="page">
                <wp:posOffset>6457950</wp:posOffset>
              </wp:positionH>
              <wp:positionV relativeFrom="page">
                <wp:posOffset>18444844</wp:posOffset>
              </wp:positionV>
              <wp:extent cx="276859" cy="253475"/>
              <wp:effectExtent l="0" t="0" r="0" b="0"/>
              <wp:wrapNone/>
              <wp:docPr id="1" name="Rectángulo 1" descr="Rectángulo 7"/>
              <wp:cNvGraphicFramePr/>
              <a:graphic xmlns:a="http://schemas.openxmlformats.org/drawingml/2006/main">
                <a:graphicData uri="http://schemas.microsoft.com/office/word/2010/wordprocessingShape">
                  <wps:wsp>
                    <wps:cNvSpPr/>
                    <wps:spPr>
                      <a:xfrm>
                        <a:off x="5221858" y="3667550"/>
                        <a:ext cx="248284" cy="224900"/>
                      </a:xfrm>
                      <a:prstGeom prst="rect">
                        <a:avLst/>
                      </a:prstGeom>
                      <a:noFill/>
                      <a:ln>
                        <a:noFill/>
                      </a:ln>
                    </wps:spPr>
                    <wps:txbx>
                      <w:txbxContent>
                        <w:p w14:paraId="1137B987" w14:textId="77777777" w:rsidR="005E1C7A" w:rsidRDefault="00C00EF2">
                          <w:pPr>
                            <w:spacing w:line="245" w:lineRule="auto"/>
                            <w:ind w:left="40" w:firstLine="200"/>
                            <w:textDirection w:val="btLr"/>
                          </w:pPr>
                          <w:r>
                            <w:rPr>
                              <w:rFonts w:ascii="Arial" w:eastAsia="Arial" w:hAnsi="Arial" w:cs="Arial"/>
                              <w:color w:val="000000"/>
                            </w:rPr>
                            <w:t xml:space="preserve"> PAGE 1</w:t>
                          </w:r>
                        </w:p>
                      </w:txbxContent>
                    </wps:txbx>
                    <wps:bodyPr spcFirstLastPara="1" wrap="square" lIns="0" tIns="0" rIns="0" bIns="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page">
                <wp:posOffset>6457950</wp:posOffset>
              </wp:positionH>
              <wp:positionV relativeFrom="page">
                <wp:posOffset>18444844</wp:posOffset>
              </wp:positionV>
              <wp:extent cx="276859" cy="253475"/>
              <wp:effectExtent b="0" l="0" r="0" t="0"/>
              <wp:wrapNone/>
              <wp:docPr descr="Rectángulo 7" id="1" name="image3.png"/>
              <a:graphic>
                <a:graphicData uri="http://schemas.openxmlformats.org/drawingml/2006/picture">
                  <pic:pic>
                    <pic:nvPicPr>
                      <pic:cNvPr descr="Rectángulo 7" id="0" name="image3.png"/>
                      <pic:cNvPicPr preferRelativeResize="0"/>
                    </pic:nvPicPr>
                    <pic:blipFill>
                      <a:blip r:embed="rId3"/>
                      <a:srcRect/>
                      <a:stretch>
                        <a:fillRect/>
                      </a:stretch>
                    </pic:blipFill>
                    <pic:spPr>
                      <a:xfrm>
                        <a:off x="0" y="0"/>
                        <a:ext cx="276859" cy="253475"/>
                      </a:xfrm>
                      <a:prstGeom prst="rect"/>
                      <a:ln/>
                    </pic:spPr>
                  </pic:pic>
                </a:graphicData>
              </a:graphic>
            </wp:anchor>
          </w:drawing>
        </mc:Fallback>
      </mc:AlternateContent>
    </w:r>
    <w:r>
      <w:rPr>
        <w:color w:val="000000"/>
        <w:sz w:val="20"/>
        <w:szCs w:val="20"/>
      </w:rPr>
      <w:tab/>
    </w:r>
    <w:r>
      <w:rPr>
        <w:noProof/>
      </w:rPr>
      <mc:AlternateContent>
        <mc:Choice Requires="wpg">
          <w:drawing>
            <wp:anchor distT="0" distB="0" distL="114300" distR="114300" simplePos="0" relativeHeight="251661312" behindDoc="0" locked="0" layoutInCell="1" hidden="0" allowOverlap="1" wp14:anchorId="69AB54B6" wp14:editId="6CDDBA0F">
              <wp:simplePos x="0" y="0"/>
              <wp:positionH relativeFrom="column">
                <wp:posOffset>812800</wp:posOffset>
              </wp:positionH>
              <wp:positionV relativeFrom="paragraph">
                <wp:posOffset>0</wp:posOffset>
              </wp:positionV>
              <wp:extent cx="3937635" cy="615315"/>
              <wp:effectExtent l="0" t="0" r="0" b="0"/>
              <wp:wrapNone/>
              <wp:docPr id="2" name="Rectángulo 2"/>
              <wp:cNvGraphicFramePr/>
              <a:graphic xmlns:a="http://schemas.openxmlformats.org/drawingml/2006/main">
                <a:graphicData uri="http://schemas.microsoft.com/office/word/2010/wordprocessingShape">
                  <wps:wsp>
                    <wps:cNvSpPr/>
                    <wps:spPr>
                      <a:xfrm>
                        <a:off x="3391470" y="3486630"/>
                        <a:ext cx="3909060" cy="586740"/>
                      </a:xfrm>
                      <a:prstGeom prst="rect">
                        <a:avLst/>
                      </a:prstGeom>
                      <a:noFill/>
                      <a:ln>
                        <a:noFill/>
                      </a:ln>
                    </wps:spPr>
                    <wps:txbx>
                      <w:txbxContent>
                        <w:p w14:paraId="0A7B2313" w14:textId="77777777" w:rsidR="005E1C7A" w:rsidRDefault="00C00EF2">
                          <w:pPr>
                            <w:jc w:val="right"/>
                            <w:textDirection w:val="btLr"/>
                          </w:pPr>
                          <w:r>
                            <w:rPr>
                              <w:rFonts w:ascii="Century Gothic" w:eastAsia="Century Gothic" w:hAnsi="Century Gothic" w:cs="Century Gothic"/>
                              <w:b/>
                              <w:color w:val="000000"/>
                              <w:sz w:val="20"/>
                            </w:rPr>
                            <w:t xml:space="preserve">“2023, Centenario de la Muerte del General Francisco Villa” </w:t>
                          </w:r>
                        </w:p>
                        <w:p w14:paraId="30FD5477" w14:textId="77777777" w:rsidR="005E1C7A" w:rsidRDefault="00C00EF2">
                          <w:pPr>
                            <w:jc w:val="right"/>
                            <w:textDirection w:val="btLr"/>
                          </w:pPr>
                          <w:r>
                            <w:rPr>
                              <w:rFonts w:ascii="Century Gothic" w:eastAsia="Century Gothic" w:hAnsi="Century Gothic" w:cs="Century Gothic"/>
                              <w:b/>
                              <w:color w:val="000000"/>
                              <w:sz w:val="20"/>
                            </w:rPr>
                            <w:t>“2023, Cien Años del Rotarismo en Chihuahua</w:t>
                          </w:r>
                          <w:r>
                            <w:rPr>
                              <w:rFonts w:ascii="Century Gothic" w:eastAsia="Century Gothic" w:hAnsi="Century Gothic" w:cs="Century Gothic"/>
                              <w:b/>
                              <w:color w:val="000000"/>
                            </w:rPr>
                            <w:t>”</w:t>
                          </w:r>
                        </w:p>
                      </w:txbxContent>
                    </wps:txbx>
                    <wps:bodyPr spcFirstLastPara="1" wrap="square" lIns="45700" tIns="45700" rIns="45700"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812800</wp:posOffset>
              </wp:positionH>
              <wp:positionV relativeFrom="paragraph">
                <wp:posOffset>0</wp:posOffset>
              </wp:positionV>
              <wp:extent cx="3937635" cy="615315"/>
              <wp:effectExtent b="0" l="0" r="0" t="0"/>
              <wp:wrapNone/>
              <wp:docPr id="2" name="image4.png"/>
              <a:graphic>
                <a:graphicData uri="http://schemas.openxmlformats.org/drawingml/2006/picture">
                  <pic:pic>
                    <pic:nvPicPr>
                      <pic:cNvPr id="0" name="image4.png"/>
                      <pic:cNvPicPr preferRelativeResize="0"/>
                    </pic:nvPicPr>
                    <pic:blipFill>
                      <a:blip r:embed="rId4"/>
                      <a:srcRect/>
                      <a:stretch>
                        <a:fillRect/>
                      </a:stretch>
                    </pic:blipFill>
                    <pic:spPr>
                      <a:xfrm>
                        <a:off x="0" y="0"/>
                        <a:ext cx="3937635" cy="615315"/>
                      </a:xfrm>
                      <a:prstGeom prst="rect"/>
                      <a:ln/>
                    </pic:spPr>
                  </pic:pic>
                </a:graphicData>
              </a:graphic>
            </wp:anchor>
          </w:drawing>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5F025A"/>
    <w:multiLevelType w:val="multilevel"/>
    <w:tmpl w:val="AB3E1F5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C7A"/>
    <w:rsid w:val="001130E8"/>
    <w:rsid w:val="00502015"/>
    <w:rsid w:val="005E1C7A"/>
    <w:rsid w:val="00C00EF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143386"/>
  <w15:docId w15:val="{F93BB20E-9D7F-4A19-988A-621200714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Encabezado">
    <w:name w:val="header"/>
    <w:basedOn w:val="Normal"/>
    <w:link w:val="EncabezadoCar"/>
    <w:uiPriority w:val="99"/>
    <w:unhideWhenUsed/>
    <w:rsid w:val="00502015"/>
    <w:pPr>
      <w:tabs>
        <w:tab w:val="center" w:pos="4419"/>
        <w:tab w:val="right" w:pos="8838"/>
      </w:tabs>
    </w:pPr>
  </w:style>
  <w:style w:type="character" w:customStyle="1" w:styleId="EncabezadoCar">
    <w:name w:val="Encabezado Car"/>
    <w:basedOn w:val="Fuentedeprrafopredeter"/>
    <w:link w:val="Encabezado"/>
    <w:uiPriority w:val="99"/>
    <w:rsid w:val="00502015"/>
  </w:style>
  <w:style w:type="paragraph" w:styleId="Piedepgina">
    <w:name w:val="footer"/>
    <w:basedOn w:val="Normal"/>
    <w:link w:val="PiedepginaCar"/>
    <w:uiPriority w:val="99"/>
    <w:unhideWhenUsed/>
    <w:rsid w:val="00502015"/>
    <w:pPr>
      <w:tabs>
        <w:tab w:val="center" w:pos="4419"/>
        <w:tab w:val="right" w:pos="8838"/>
      </w:tabs>
    </w:pPr>
  </w:style>
  <w:style w:type="character" w:customStyle="1" w:styleId="PiedepginaCar">
    <w:name w:val="Pie de página Car"/>
    <w:basedOn w:val="Fuentedeprrafopredeter"/>
    <w:link w:val="Piedepgina"/>
    <w:uiPriority w:val="99"/>
    <w:rsid w:val="005020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1212</Words>
  <Characters>6672</Characters>
  <Application>Microsoft Office Word</Application>
  <DocSecurity>0</DocSecurity>
  <Lines>55</Lines>
  <Paragraphs>15</Paragraphs>
  <ScaleCrop>false</ScaleCrop>
  <Company/>
  <LinksUpToDate>false</LinksUpToDate>
  <CharactersWithSpaces>7869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Sarahi Gonzalez Dominguez</dc:creator>
  <cp:lastModifiedBy>Brenda Sarahi Gonzalez Dominguez</cp:lastModifiedBy>
  <cp:revision>2</cp:revision>
  <cp:lastPrinted>2023-08-25T15:44:00Z</cp:lastPrinted>
  <dcterms:created xsi:type="dcterms:W3CDTF">2023-08-25T16:06:00Z</dcterms:created>
  <dcterms:modified xsi:type="dcterms:W3CDTF">2023-08-25T16:06:00Z</dcterms:modified>
</cp:coreProperties>
</file>