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0F1A" w14:textId="77777777" w:rsidR="00941A22" w:rsidRDefault="00941A22">
      <w:pPr>
        <w:pBdr>
          <w:top w:val="nil"/>
          <w:left w:val="nil"/>
          <w:bottom w:val="nil"/>
          <w:right w:val="nil"/>
          <w:between w:val="nil"/>
        </w:pBdr>
        <w:spacing w:after="160" w:line="360" w:lineRule="auto"/>
        <w:jc w:val="both"/>
        <w:rPr>
          <w:rFonts w:ascii="Century Gothic" w:eastAsia="Century Gothic" w:hAnsi="Century Gothic" w:cs="Century Gothic"/>
          <w:b/>
        </w:rPr>
      </w:pPr>
      <w:bookmarkStart w:id="0" w:name="_1c7u3y5beo7k" w:colFirst="0" w:colLast="0"/>
      <w:bookmarkEnd w:id="0"/>
    </w:p>
    <w:p w14:paraId="7D75575F" w14:textId="77777777" w:rsidR="00941A22" w:rsidRDefault="00072F59">
      <w:pPr>
        <w:pBdr>
          <w:top w:val="nil"/>
          <w:left w:val="nil"/>
          <w:bottom w:val="nil"/>
          <w:right w:val="nil"/>
          <w:between w:val="nil"/>
        </w:pBdr>
        <w:spacing w:after="160" w:line="360" w:lineRule="auto"/>
        <w:jc w:val="both"/>
        <w:rPr>
          <w:rFonts w:ascii="Century Gothic" w:eastAsia="Century Gothic" w:hAnsi="Century Gothic" w:cs="Century Gothic"/>
          <w:b/>
          <w:color w:val="000000"/>
        </w:rPr>
      </w:pPr>
      <w:bookmarkStart w:id="1" w:name="_gjdgxs" w:colFirst="0" w:colLast="0"/>
      <w:bookmarkEnd w:id="1"/>
      <w:r>
        <w:rPr>
          <w:rFonts w:ascii="Century Gothic" w:eastAsia="Century Gothic" w:hAnsi="Century Gothic" w:cs="Century Gothic"/>
          <w:b/>
        </w:rPr>
        <w:t>H. DIPUTACIÓN PERMANENTE</w:t>
      </w:r>
    </w:p>
    <w:p w14:paraId="19A5CC54" w14:textId="77777777" w:rsidR="00941A22" w:rsidRDefault="00072F59">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P R E S E N T E.-</w:t>
      </w:r>
    </w:p>
    <w:p w14:paraId="089C6CE3" w14:textId="77777777" w:rsidR="00D333EB" w:rsidRPr="00D333EB" w:rsidRDefault="00072F59" w:rsidP="00D333EB">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y en su representación, con fundamento en el artículo 167, fracción I de la Ley Orgánica del Poder Legislativo del Estado y los correlativos 75, </w:t>
      </w:r>
      <w:r>
        <w:rPr>
          <w:rFonts w:ascii="Century Gothic" w:eastAsia="Century Gothic" w:hAnsi="Century Gothic" w:cs="Century Gothic"/>
          <w:color w:val="000000"/>
        </w:rPr>
        <w:t xml:space="preserve">76 y 77 del Reglamento Interior y de Prácticas Parlamentarias, someto a consideración de esta Honorable Asamblea, la presente </w:t>
      </w:r>
      <w:r>
        <w:rPr>
          <w:rFonts w:ascii="Century Gothic" w:eastAsia="Century Gothic" w:hAnsi="Century Gothic" w:cs="Century Gothic"/>
          <w:b/>
          <w:i/>
          <w:color w:val="000000"/>
        </w:rPr>
        <w:t>I</w:t>
      </w:r>
      <w:r>
        <w:rPr>
          <w:rFonts w:ascii="Century Gothic" w:eastAsia="Century Gothic" w:hAnsi="Century Gothic" w:cs="Century Gothic"/>
          <w:b/>
          <w:i/>
          <w:color w:val="000000"/>
          <w:highlight w:val="white"/>
        </w:rPr>
        <w:t>NICIATIVA CON CAR</w:t>
      </w:r>
      <w:r>
        <w:rPr>
          <w:rFonts w:ascii="Century Gothic" w:eastAsia="Century Gothic" w:hAnsi="Century Gothic" w:cs="Century Gothic"/>
          <w:b/>
          <w:i/>
          <w:highlight w:val="white"/>
        </w:rPr>
        <w:t xml:space="preserve">ÁCTER </w:t>
      </w:r>
      <w:r>
        <w:rPr>
          <w:rFonts w:ascii="Century Gothic" w:eastAsia="Century Gothic" w:hAnsi="Century Gothic" w:cs="Century Gothic"/>
          <w:b/>
          <w:i/>
          <w:color w:val="000000"/>
          <w:highlight w:val="white"/>
        </w:rPr>
        <w:t>DE DECRETO</w:t>
      </w:r>
      <w:r>
        <w:rPr>
          <w:rFonts w:ascii="Century Gothic" w:eastAsia="Century Gothic" w:hAnsi="Century Gothic" w:cs="Century Gothic"/>
          <w:b/>
          <w:i/>
          <w:color w:val="000000"/>
        </w:rPr>
        <w:t xml:space="preserve"> </w:t>
      </w:r>
      <w:r>
        <w:rPr>
          <w:rFonts w:ascii="Century Gothic" w:eastAsia="Century Gothic" w:hAnsi="Century Gothic" w:cs="Century Gothic"/>
          <w:b/>
          <w:i/>
          <w:color w:val="000000"/>
          <w:highlight w:val="white"/>
        </w:rPr>
        <w:t xml:space="preserve">POR EL QUE SE </w:t>
      </w:r>
      <w:r>
        <w:rPr>
          <w:rFonts w:ascii="Century Gothic" w:eastAsia="Century Gothic" w:hAnsi="Century Gothic" w:cs="Century Gothic"/>
          <w:b/>
          <w:i/>
          <w:highlight w:val="white"/>
        </w:rPr>
        <w:t>REFORMA EL ARTÍCULO 5 DE LA LEY DE BIENES DEL ESTADO DE CHIHUAHUA</w:t>
      </w:r>
      <w:r>
        <w:rPr>
          <w:rFonts w:ascii="Century Gothic" w:eastAsia="Century Gothic" w:hAnsi="Century Gothic" w:cs="Century Gothic"/>
          <w:b/>
          <w:i/>
        </w:rPr>
        <w:t xml:space="preserve">, </w:t>
      </w:r>
      <w:r>
        <w:rPr>
          <w:rFonts w:ascii="Century Gothic" w:eastAsia="Century Gothic" w:hAnsi="Century Gothic" w:cs="Century Gothic"/>
        </w:rPr>
        <w:t>con el propósi</w:t>
      </w:r>
      <w:r>
        <w:rPr>
          <w:rFonts w:ascii="Century Gothic" w:eastAsia="Century Gothic" w:hAnsi="Century Gothic" w:cs="Century Gothic"/>
        </w:rPr>
        <w:t xml:space="preserve">to de establecer como excepción, los bienes propiedad del Estado que fueron obtenidos a través de un crédito o financiamiento </w:t>
      </w:r>
      <w:r w:rsidR="00873984">
        <w:rPr>
          <w:rFonts w:ascii="Century Gothic" w:eastAsia="Century Gothic" w:hAnsi="Century Gothic" w:cs="Century Gothic"/>
        </w:rPr>
        <w:t>finiquitado</w:t>
      </w:r>
      <w:r>
        <w:rPr>
          <w:rFonts w:ascii="Century Gothic" w:eastAsia="Century Gothic" w:hAnsi="Century Gothic" w:cs="Century Gothic"/>
        </w:rPr>
        <w:t xml:space="preserve"> con la adjudicación del bien dado en garantía; lo que realizo al  tenor de la siguiente: </w:t>
      </w:r>
    </w:p>
    <w:p w14:paraId="740A070B" w14:textId="77777777" w:rsidR="00D333EB" w:rsidRPr="00D333EB" w:rsidRDefault="00072F59" w:rsidP="00D333EB">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MOTIVOS</w:t>
      </w:r>
    </w:p>
    <w:p w14:paraId="3FBD353F" w14:textId="77777777" w:rsidR="00941A22" w:rsidRDefault="00072F59">
      <w:pPr>
        <w:pBdr>
          <w:top w:val="nil"/>
          <w:left w:val="nil"/>
          <w:bottom w:val="nil"/>
          <w:right w:val="nil"/>
          <w:between w:val="nil"/>
        </w:pBdr>
        <w:spacing w:after="160" w:line="360" w:lineRule="auto"/>
        <w:jc w:val="both"/>
        <w:rPr>
          <w:rFonts w:ascii="Century Gothic" w:eastAsia="Century Gothic" w:hAnsi="Century Gothic" w:cs="Century Gothic"/>
        </w:rPr>
      </w:pPr>
      <w:r>
        <w:rPr>
          <w:rFonts w:ascii="Century Gothic" w:eastAsia="Century Gothic" w:hAnsi="Century Gothic" w:cs="Century Gothic"/>
        </w:rPr>
        <w:t xml:space="preserve">        El fomento al desarrollo y escalamiento de micros, pequeñas y medianas empresas (MIPYMES), tiene como objetivo específico, el incrementar el crecimiento, desarrollo y competitividad de empresas comerciales, auxiliando para garantizar la permanencia</w:t>
      </w:r>
      <w:r>
        <w:rPr>
          <w:rFonts w:ascii="Century Gothic" w:eastAsia="Century Gothic" w:hAnsi="Century Gothic" w:cs="Century Gothic"/>
        </w:rPr>
        <w:t xml:space="preserve"> en el mercado. Estos objetivos son alcanzados a través de estrategias y líneas de acción, tal y como se señala en el Plan Estatal de Desarrollo Chihuahua 2022-2027. </w:t>
      </w:r>
    </w:p>
    <w:p w14:paraId="58B07C4A"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Dentro del eje número dos del señalado Plan, se establece como objetivo principal la Econ</w:t>
      </w:r>
      <w:r>
        <w:rPr>
          <w:rFonts w:ascii="Century Gothic" w:eastAsia="Century Gothic" w:hAnsi="Century Gothic" w:cs="Century Gothic"/>
        </w:rPr>
        <w:t xml:space="preserve">omía social, la cual tiene como finalidad fortalecer e impulsar proyectos de economía social solidaria, que contribuyan a una </w:t>
      </w:r>
      <w:r>
        <w:rPr>
          <w:rFonts w:ascii="Century Gothic" w:eastAsia="Century Gothic" w:hAnsi="Century Gothic" w:cs="Century Gothic"/>
        </w:rPr>
        <w:lastRenderedPageBreak/>
        <w:t>distribución equitativa y equilibrada de los diversos recursos productivos y las capacidades individuales y colectivas que generen</w:t>
      </w:r>
      <w:r>
        <w:rPr>
          <w:rFonts w:ascii="Century Gothic" w:eastAsia="Century Gothic" w:hAnsi="Century Gothic" w:cs="Century Gothic"/>
        </w:rPr>
        <w:t xml:space="preserve"> un beneficio por medio de la rentabilidad económica. </w:t>
      </w:r>
    </w:p>
    <w:p w14:paraId="059D0AE3"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Las estrategias principales del mencionado eje, contienen las siguientes líneas de acción que se vinculan directamente a los deberes en materia económica: </w:t>
      </w:r>
    </w:p>
    <w:p w14:paraId="74B75E6F" w14:textId="77777777" w:rsidR="00941A22" w:rsidRDefault="00072F59">
      <w:pPr>
        <w:numPr>
          <w:ilvl w:val="0"/>
          <w:numId w:val="1"/>
        </w:numPr>
        <w:spacing w:before="200" w:after="160" w:line="360" w:lineRule="auto"/>
        <w:jc w:val="both"/>
        <w:rPr>
          <w:rFonts w:ascii="Century Gothic" w:eastAsia="Century Gothic" w:hAnsi="Century Gothic" w:cs="Century Gothic"/>
        </w:rPr>
      </w:pPr>
      <w:r>
        <w:rPr>
          <w:rFonts w:ascii="Century Gothic" w:eastAsia="Century Gothic" w:hAnsi="Century Gothic" w:cs="Century Gothic"/>
        </w:rPr>
        <w:t xml:space="preserve">Facilitar la gestión e incrementar el </w:t>
      </w:r>
      <w:r>
        <w:rPr>
          <w:rFonts w:ascii="Century Gothic" w:eastAsia="Century Gothic" w:hAnsi="Century Gothic" w:cs="Century Gothic"/>
        </w:rPr>
        <w:t>financiamiento para organismos y/o asociaciones del sector social de la economía.</w:t>
      </w:r>
    </w:p>
    <w:p w14:paraId="39AEBC77" w14:textId="77777777" w:rsidR="00941A22" w:rsidRDefault="00072F59">
      <w:pPr>
        <w:numPr>
          <w:ilvl w:val="0"/>
          <w:numId w:val="1"/>
        </w:numPr>
        <w:spacing w:before="200" w:line="360" w:lineRule="auto"/>
        <w:jc w:val="both"/>
        <w:rPr>
          <w:rFonts w:ascii="Century Gothic" w:eastAsia="Century Gothic" w:hAnsi="Century Gothic" w:cs="Century Gothic"/>
        </w:rPr>
      </w:pPr>
      <w:r>
        <w:rPr>
          <w:rFonts w:ascii="Century Gothic" w:eastAsia="Century Gothic" w:hAnsi="Century Gothic" w:cs="Century Gothic"/>
        </w:rPr>
        <w:t>Impulsar la capacitación técnica y desarrollo de talentos en organismos y/o asociaciones del sector social de la economía.</w:t>
      </w:r>
    </w:p>
    <w:p w14:paraId="7F80E9AF" w14:textId="77777777" w:rsidR="00941A22" w:rsidRDefault="00072F59">
      <w:pPr>
        <w:numPr>
          <w:ilvl w:val="0"/>
          <w:numId w:val="1"/>
        </w:numPr>
        <w:spacing w:before="200" w:after="160" w:line="360" w:lineRule="auto"/>
        <w:jc w:val="both"/>
        <w:rPr>
          <w:rFonts w:ascii="Century Gothic" w:eastAsia="Century Gothic" w:hAnsi="Century Gothic" w:cs="Century Gothic"/>
        </w:rPr>
      </w:pPr>
      <w:r>
        <w:rPr>
          <w:rFonts w:ascii="Century Gothic" w:eastAsia="Century Gothic" w:hAnsi="Century Gothic" w:cs="Century Gothic"/>
        </w:rPr>
        <w:t>Implementar programas y mecanismos que faciliten la</w:t>
      </w:r>
      <w:r>
        <w:rPr>
          <w:rFonts w:ascii="Century Gothic" w:eastAsia="Century Gothic" w:hAnsi="Century Gothic" w:cs="Century Gothic"/>
        </w:rPr>
        <w:t xml:space="preserve"> creación y constitución de organismos del sector social de la economía.</w:t>
      </w:r>
    </w:p>
    <w:p w14:paraId="0F91D138"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La contribución al crecimiento y desarrollo económico que ha hecho la Secretaría de Innovación y Desarrollo Económico del Estado de Chihuahua, a través de FIDEAPECH (Fideicomiso Estat</w:t>
      </w:r>
      <w:r>
        <w:rPr>
          <w:rFonts w:ascii="Century Gothic" w:eastAsia="Century Gothic" w:hAnsi="Century Gothic" w:cs="Century Gothic"/>
        </w:rPr>
        <w:t>al para el Fomento de las Actividades Productivas en el Estado de Chihuahua), que otorga financiamientos en condiciones preferenciales a emprendedores y empresarios del Estado, ha sido una labor clave para promover a las micros, pequeñas y medianas empresa</w:t>
      </w:r>
      <w:r>
        <w:rPr>
          <w:rFonts w:ascii="Century Gothic" w:eastAsia="Century Gothic" w:hAnsi="Century Gothic" w:cs="Century Gothic"/>
        </w:rPr>
        <w:t xml:space="preserve">s, así como para el desarrollo de una Economía social solidaria. </w:t>
      </w:r>
    </w:p>
    <w:p w14:paraId="68140185"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La facilidad que provee FIDEAPECH a las empresas chihuahuenses es invaluable, pues actualmente cuentan con la tasa de interés más barata del mercado, otorgando montos en créditos y financiam</w:t>
      </w:r>
      <w:r>
        <w:rPr>
          <w:rFonts w:ascii="Century Gothic" w:eastAsia="Century Gothic" w:hAnsi="Century Gothic" w:cs="Century Gothic"/>
        </w:rPr>
        <w:t xml:space="preserve">ientos de hasta $5,000,000.00 de pesos, en donde no se penaliza por pagos anticipados y genera historial crediticio. </w:t>
      </w:r>
    </w:p>
    <w:p w14:paraId="628B43A6"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La dimensión del beneficio al sector económico chihuahuense resulta crucial, pues en lo que va del ejercicio 2023 (actualizado el 30 de ju</w:t>
      </w:r>
      <w:r>
        <w:rPr>
          <w:rFonts w:ascii="Century Gothic" w:eastAsia="Century Gothic" w:hAnsi="Century Gothic" w:cs="Century Gothic"/>
        </w:rPr>
        <w:t>nio 2023), se han realizado ocho sesiones del Fondo del Estado de Chihuahua (FECH) en el cual, fueron presentadas un total de treinta y nueve solicitudes de crédito o financiamientos, donde todas fueron autorizados, reuniendo un monto otorgado de $29,285,2</w:t>
      </w:r>
      <w:r>
        <w:rPr>
          <w:rFonts w:ascii="Century Gothic" w:eastAsia="Century Gothic" w:hAnsi="Century Gothic" w:cs="Century Gothic"/>
        </w:rPr>
        <w:t xml:space="preserve">05.00 (veintinueve millones doscientos ochenta y cinco mil doscientos cinco pesos mexicanos) para las empresas locales. </w:t>
      </w:r>
    </w:p>
    <w:p w14:paraId="13AF2C92"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Es importante destacar que, si bien existen muchas otras dependencias de la Administración Pública estatal y municipal que otorgan créd</w:t>
      </w:r>
      <w:r>
        <w:rPr>
          <w:rFonts w:ascii="Century Gothic" w:eastAsia="Century Gothic" w:hAnsi="Century Gothic" w:cs="Century Gothic"/>
        </w:rPr>
        <w:t xml:space="preserve">itos a particulares, FIDEAPECH es la única dependencia que ofrece financiamientos con garantía hipotecaria, lo anterior con el propósito de eficientar su labor y conservar la seguridad jurídica necesaria. </w:t>
      </w:r>
    </w:p>
    <w:p w14:paraId="424D9AC8" w14:textId="77777777" w:rsidR="00941A22" w:rsidRDefault="00072F59">
      <w:pPr>
        <w:spacing w:before="200" w:after="160" w:line="360" w:lineRule="auto"/>
        <w:ind w:firstLine="720"/>
        <w:jc w:val="both"/>
        <w:rPr>
          <w:rFonts w:ascii="Century Gothic" w:eastAsia="Century Gothic" w:hAnsi="Century Gothic" w:cs="Century Gothic"/>
          <w:highlight w:val="yellow"/>
        </w:rPr>
      </w:pPr>
      <w:r>
        <w:rPr>
          <w:rFonts w:ascii="Century Gothic" w:eastAsia="Century Gothic" w:hAnsi="Century Gothic" w:cs="Century Gothic"/>
        </w:rPr>
        <w:t>Derivado del incumplimiento de pago de algunos cré</w:t>
      </w:r>
      <w:r>
        <w:rPr>
          <w:rFonts w:ascii="Century Gothic" w:eastAsia="Century Gothic" w:hAnsi="Century Gothic" w:cs="Century Gothic"/>
        </w:rPr>
        <w:t xml:space="preserve">ditos otorgados, ha provocado que FIDEAPECH se vea en la necesidad de iniciar procesos judiciales para el cobro de los mismos, culminando en resoluciones a su favor, con la adjudicación de los bienes otorgados en garantía en dichos financiamientos. </w:t>
      </w:r>
    </w:p>
    <w:p w14:paraId="3637B7E9"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Actual</w:t>
      </w:r>
      <w:r>
        <w:rPr>
          <w:rFonts w:ascii="Century Gothic" w:eastAsia="Century Gothic" w:hAnsi="Century Gothic" w:cs="Century Gothic"/>
        </w:rPr>
        <w:t>mente, FIDEAPECH cuenta con 10 inmuebles adjudicados judicialmente, por la cantidad de $3,664,324.04 (tres millones seiscientos sesenta y cuatro mil trescientos veinticuatro pesos 04/100 moneda nacional), tomando en cuenta el valor a su fecha de adjudicaci</w:t>
      </w:r>
      <w:r>
        <w:rPr>
          <w:rFonts w:ascii="Century Gothic" w:eastAsia="Century Gothic" w:hAnsi="Century Gothic" w:cs="Century Gothic"/>
        </w:rPr>
        <w:t xml:space="preserve">ón, por lo que la cantidad aumentará una vez actualizados los valores para su enajenación, así como la cantidad de $21,000,000.00 (veintiún millones de pesos) en proceso judicial con garantía hipotecaria con la probabilidad de adjudicarse a esta entidad. </w:t>
      </w:r>
    </w:p>
    <w:p w14:paraId="1297238A" w14:textId="77777777" w:rsidR="00941A22" w:rsidRDefault="00072F59">
      <w:pPr>
        <w:spacing w:before="200" w:after="160" w:line="360" w:lineRule="auto"/>
        <w:ind w:firstLine="720"/>
        <w:jc w:val="both"/>
        <w:rPr>
          <w:rFonts w:ascii="Century Gothic" w:eastAsia="Century Gothic" w:hAnsi="Century Gothic" w:cs="Century Gothic"/>
          <w:b/>
          <w:highlight w:val="yellow"/>
        </w:rPr>
      </w:pPr>
      <w:r>
        <w:rPr>
          <w:rFonts w:ascii="Century Gothic" w:eastAsia="Century Gothic" w:hAnsi="Century Gothic" w:cs="Century Gothic"/>
        </w:rPr>
        <w:lastRenderedPageBreak/>
        <w:t xml:space="preserve">Debido a la alta demanda de solicitudes presentadas para el otorgamiento de financiamientos, es necesario facilitar la enajenación de bienes con las características ya mencionadas, pues existiría una recuperación económica importante para el Fideicomiso,  </w:t>
      </w:r>
      <w:r>
        <w:rPr>
          <w:rFonts w:ascii="Century Gothic" w:eastAsia="Century Gothic" w:hAnsi="Century Gothic" w:cs="Century Gothic"/>
        </w:rPr>
        <w:t>ya que la cantidad previamente indicada garantiza el beneficio a un mayor número de Mipymes, con la colocación del recurso obtenido en las diversas modalidades ofertadas por FIDEAPECH; cumpliendo así con los fines del Fideicomiso y del Plan Estatal de Desa</w:t>
      </w:r>
      <w:r>
        <w:rPr>
          <w:rFonts w:ascii="Century Gothic" w:eastAsia="Century Gothic" w:hAnsi="Century Gothic" w:cs="Century Gothic"/>
        </w:rPr>
        <w:t>rrollo Chihuahua 2022-2027, al fomentar el desarrollo de las actividades productivas consideradas como prioritarias o estratégicas para fortalecer la economía en el Estado.</w:t>
      </w:r>
    </w:p>
    <w:p w14:paraId="4B3B19F5" w14:textId="77777777" w:rsidR="00941A22" w:rsidRDefault="00072F59">
      <w:pPr>
        <w:spacing w:before="200"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Derivado de lo anteriormente expuesto, en la presente propuesta se contempla reform</w:t>
      </w:r>
      <w:r>
        <w:rPr>
          <w:rFonts w:ascii="Century Gothic" w:eastAsia="Century Gothic" w:hAnsi="Century Gothic" w:cs="Century Gothic"/>
        </w:rPr>
        <w:t xml:space="preserve">ar el artículo 5 de la Ley de Bienes del Estado de Chihuahua, con la finalidad de establecer como excepción a la misma, los bienes propiedad del Estado obtenidos de un crédito o financiamiento </w:t>
      </w:r>
      <w:r w:rsidR="00873984">
        <w:rPr>
          <w:rFonts w:ascii="Century Gothic" w:eastAsia="Century Gothic" w:hAnsi="Century Gothic" w:cs="Century Gothic"/>
        </w:rPr>
        <w:t>finiquitado</w:t>
      </w:r>
      <w:r>
        <w:rPr>
          <w:rFonts w:ascii="Century Gothic" w:eastAsia="Century Gothic" w:hAnsi="Century Gothic" w:cs="Century Gothic"/>
        </w:rPr>
        <w:t xml:space="preserve"> con la adjudicación del bien dado en garantía. </w:t>
      </w:r>
    </w:p>
    <w:p w14:paraId="355FA804" w14:textId="77777777" w:rsidR="00D333EB" w:rsidRDefault="00D333EB" w:rsidP="00D333EB">
      <w:pPr>
        <w:spacing w:before="200" w:after="160" w:line="360" w:lineRule="auto"/>
        <w:jc w:val="both"/>
        <w:rPr>
          <w:rFonts w:ascii="Century Gothic" w:eastAsia="Century Gothic" w:hAnsi="Century Gothic" w:cs="Century Gothic"/>
        </w:rPr>
      </w:pPr>
    </w:p>
    <w:p w14:paraId="31BD7D64" w14:textId="77777777" w:rsidR="00941A22" w:rsidRDefault="00072F59">
      <w:pPr>
        <w:spacing w:after="160" w:line="360" w:lineRule="auto"/>
        <w:jc w:val="both"/>
        <w:rPr>
          <w:rFonts w:ascii="Century Gothic" w:eastAsia="Century Gothic" w:hAnsi="Century Gothic" w:cs="Century Gothic"/>
          <w:b/>
        </w:rPr>
      </w:pPr>
      <w:r>
        <w:rPr>
          <w:rFonts w:ascii="Century Gothic" w:eastAsia="Century Gothic" w:hAnsi="Century Gothic" w:cs="Century Gothic"/>
          <w:b/>
        </w:rPr>
        <w:t>LE</w:t>
      </w:r>
      <w:r>
        <w:rPr>
          <w:rFonts w:ascii="Century Gothic" w:eastAsia="Century Gothic" w:hAnsi="Century Gothic" w:cs="Century Gothic"/>
          <w:b/>
        </w:rPr>
        <w:t>Y DE BIENES DEL ESTADO DE CHIHUAHUA</w:t>
      </w:r>
    </w:p>
    <w:tbl>
      <w:tblPr>
        <w:tblStyle w:val="a"/>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76"/>
        <w:gridCol w:w="4677"/>
      </w:tblGrid>
      <w:tr w:rsidR="00941A22" w14:paraId="565D01BE" w14:textId="77777777">
        <w:trPr>
          <w:trHeight w:val="245"/>
          <w:tblHeader/>
        </w:trPr>
        <w:tc>
          <w:tcPr>
            <w:tcW w:w="467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D803A4C" w14:textId="77777777" w:rsidR="00941A22" w:rsidRDefault="00072F59">
            <w:pPr>
              <w:spacing w:line="360" w:lineRule="auto"/>
              <w:rPr>
                <w:rFonts w:ascii="Century Gothic" w:eastAsia="Century Gothic" w:hAnsi="Century Gothic" w:cs="Century Gothic"/>
                <w:b/>
              </w:rPr>
            </w:pPr>
            <w:r>
              <w:rPr>
                <w:rFonts w:ascii="Century Gothic" w:eastAsia="Century Gothic" w:hAnsi="Century Gothic" w:cs="Century Gothic"/>
                <w:b/>
              </w:rPr>
              <w:t>Actual</w:t>
            </w:r>
          </w:p>
        </w:tc>
        <w:tc>
          <w:tcPr>
            <w:tcW w:w="4677"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B494EB3" w14:textId="77777777" w:rsidR="00941A22" w:rsidRDefault="00072F59">
            <w:pPr>
              <w:spacing w:line="360" w:lineRule="auto"/>
              <w:rPr>
                <w:rFonts w:ascii="Century Gothic" w:eastAsia="Century Gothic" w:hAnsi="Century Gothic" w:cs="Century Gothic"/>
                <w:b/>
              </w:rPr>
            </w:pPr>
            <w:r>
              <w:rPr>
                <w:rFonts w:ascii="Century Gothic" w:eastAsia="Century Gothic" w:hAnsi="Century Gothic" w:cs="Century Gothic"/>
                <w:b/>
              </w:rPr>
              <w:t xml:space="preserve">Reforma </w:t>
            </w:r>
          </w:p>
        </w:tc>
      </w:tr>
      <w:tr w:rsidR="00941A22" w14:paraId="45BE5968" w14:textId="77777777">
        <w:trPr>
          <w:trHeight w:val="2424"/>
        </w:trPr>
        <w:tc>
          <w:tcPr>
            <w:tcW w:w="467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8B243" w14:textId="77777777" w:rsidR="00941A22" w:rsidRDefault="00072F59">
            <w:pPr>
              <w:spacing w:before="240" w:after="24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Artículo 5. La aplicación de esta Ley corresponde a los Poderes Ejecutivo, Legislativo y Judicial, a los municipios, a los organismos descentralizados estatales y municipales, así como a los Organismos Constitucionales Autónomos, respecto de los bienes pro</w:t>
            </w:r>
            <w:r>
              <w:rPr>
                <w:rFonts w:ascii="Century Gothic" w:eastAsia="Century Gothic" w:hAnsi="Century Gothic" w:cs="Century Gothic"/>
                <w:sz w:val="22"/>
                <w:szCs w:val="22"/>
              </w:rPr>
              <w:t xml:space="preserve">piedad del Estado y de los </w:t>
            </w:r>
            <w:r>
              <w:rPr>
                <w:rFonts w:ascii="Century Gothic" w:eastAsia="Century Gothic" w:hAnsi="Century Gothic" w:cs="Century Gothic"/>
                <w:sz w:val="22"/>
                <w:szCs w:val="22"/>
              </w:rPr>
              <w:lastRenderedPageBreak/>
              <w:t>Municipios, en el ámbito de sus respectivas competencias, conforme a lo previsto en las disposiciones legales que los rigen, sin contravenir las disposiciones de esta Ley</w:t>
            </w:r>
          </w:p>
          <w:p w14:paraId="537B7ED1" w14:textId="77777777" w:rsidR="00941A22" w:rsidRDefault="00941A22">
            <w:pPr>
              <w:spacing w:after="320" w:line="360" w:lineRule="auto"/>
              <w:jc w:val="both"/>
              <w:rPr>
                <w:rFonts w:ascii="Century Gothic" w:eastAsia="Century Gothic" w:hAnsi="Century Gothic" w:cs="Century Gothic"/>
                <w:sz w:val="22"/>
                <w:szCs w:val="22"/>
              </w:rPr>
            </w:pPr>
          </w:p>
        </w:tc>
        <w:tc>
          <w:tcPr>
            <w:tcW w:w="467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D06E5" w14:textId="77777777" w:rsidR="00941A22" w:rsidRDefault="00072F59">
            <w:pPr>
              <w:spacing w:before="240" w:after="24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Artículo 5. La aplicación de esta Ley corresponde a los P</w:t>
            </w:r>
            <w:r>
              <w:rPr>
                <w:rFonts w:ascii="Century Gothic" w:eastAsia="Century Gothic" w:hAnsi="Century Gothic" w:cs="Century Gothic"/>
                <w:sz w:val="22"/>
                <w:szCs w:val="22"/>
              </w:rPr>
              <w:t xml:space="preserve">oderes Ejecutivo, Legislativo y Judicial, a los municipios, a los organismos descentralizados estatales y municipales, así como a los Organismos Constitucionales Autónomos, respecto de los bienes propiedad del Estado y de los </w:t>
            </w:r>
            <w:r>
              <w:rPr>
                <w:rFonts w:ascii="Century Gothic" w:eastAsia="Century Gothic" w:hAnsi="Century Gothic" w:cs="Century Gothic"/>
                <w:sz w:val="22"/>
                <w:szCs w:val="22"/>
              </w:rPr>
              <w:lastRenderedPageBreak/>
              <w:t>Municipios, en el ámbito de su</w:t>
            </w:r>
            <w:r>
              <w:rPr>
                <w:rFonts w:ascii="Century Gothic" w:eastAsia="Century Gothic" w:hAnsi="Century Gothic" w:cs="Century Gothic"/>
                <w:sz w:val="22"/>
                <w:szCs w:val="22"/>
              </w:rPr>
              <w:t>s respectivas competencias, conforme a lo previsto en las disposiciones legales que los rigen, sin contravenir las disposiciones de esta Ley;</w:t>
            </w:r>
            <w:r>
              <w:rPr>
                <w:rFonts w:ascii="Century Gothic" w:eastAsia="Century Gothic" w:hAnsi="Century Gothic" w:cs="Century Gothic"/>
                <w:b/>
                <w:sz w:val="22"/>
                <w:szCs w:val="22"/>
              </w:rPr>
              <w:t xml:space="preserve"> con excepción de los bienes obtenidos de un crédito o financiamiento f</w:t>
            </w:r>
            <w:r w:rsidR="00873984">
              <w:rPr>
                <w:rFonts w:ascii="Century Gothic" w:eastAsia="Century Gothic" w:hAnsi="Century Gothic" w:cs="Century Gothic"/>
                <w:b/>
                <w:sz w:val="22"/>
                <w:szCs w:val="22"/>
              </w:rPr>
              <w:t>iniquitado</w:t>
            </w:r>
            <w:r>
              <w:rPr>
                <w:rFonts w:ascii="Century Gothic" w:eastAsia="Century Gothic" w:hAnsi="Century Gothic" w:cs="Century Gothic"/>
                <w:b/>
                <w:sz w:val="22"/>
                <w:szCs w:val="22"/>
              </w:rPr>
              <w:t xml:space="preserve"> con la adjudicación del bien dado en garantía. </w:t>
            </w:r>
          </w:p>
        </w:tc>
      </w:tr>
    </w:tbl>
    <w:p w14:paraId="3278B8EF" w14:textId="77777777" w:rsidR="00D333EB" w:rsidRDefault="00D333EB">
      <w:pPr>
        <w:spacing w:after="160" w:line="360" w:lineRule="auto"/>
        <w:ind w:firstLine="720"/>
        <w:jc w:val="both"/>
        <w:rPr>
          <w:rFonts w:ascii="Century Gothic" w:eastAsia="Century Gothic" w:hAnsi="Century Gothic" w:cs="Century Gothic"/>
        </w:rPr>
      </w:pPr>
    </w:p>
    <w:p w14:paraId="5C5B6D9B" w14:textId="77777777" w:rsidR="00941A22" w:rsidRDefault="00072F59">
      <w:pP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rPr>
        <w:t xml:space="preserve">En virtud de todo lo previamente mencionado, es que pongo a consideración de esta soberanía, la siguiente iniciativa con carácter decreto: </w:t>
      </w:r>
    </w:p>
    <w:p w14:paraId="3A88C9C5" w14:textId="77777777" w:rsidR="00827930" w:rsidRDefault="00072F59" w:rsidP="00D333EB">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t>DECRETO</w:t>
      </w:r>
    </w:p>
    <w:p w14:paraId="2CB16B13" w14:textId="77777777" w:rsidR="00941A22" w:rsidRDefault="00072F59">
      <w:pPr>
        <w:spacing w:before="280" w:after="28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ÚNICO.- </w:t>
      </w:r>
      <w:r>
        <w:rPr>
          <w:rFonts w:ascii="Century Gothic" w:eastAsia="Century Gothic" w:hAnsi="Century Gothic" w:cs="Century Gothic"/>
        </w:rPr>
        <w:t xml:space="preserve">Se reforma el Artículo 5 de la </w:t>
      </w:r>
      <w:r>
        <w:rPr>
          <w:rFonts w:ascii="Century Gothic" w:eastAsia="Century Gothic" w:hAnsi="Century Gothic" w:cs="Century Gothic"/>
          <w:b/>
        </w:rPr>
        <w:t>Ley de Bienes del Estado de Chihuahua,</w:t>
      </w:r>
      <w:r>
        <w:rPr>
          <w:rFonts w:ascii="Century Gothic" w:eastAsia="Century Gothic" w:hAnsi="Century Gothic" w:cs="Century Gothic"/>
        </w:rPr>
        <w:t xml:space="preserve"> para quedar redactado</w:t>
      </w:r>
      <w:r>
        <w:rPr>
          <w:rFonts w:ascii="Century Gothic" w:eastAsia="Century Gothic" w:hAnsi="Century Gothic" w:cs="Century Gothic"/>
        </w:rPr>
        <w:t xml:space="preserve"> de la siguiente manera:</w:t>
      </w:r>
    </w:p>
    <w:p w14:paraId="2D658FF2" w14:textId="77777777" w:rsidR="00941A22" w:rsidRDefault="00072F59">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Artículo 5. La aplicación de esta Ley corresponde a los Poderes Ejecutivo, Legislativo y Judicial, a los municipios, a los organismos descentralizados estatales y municipales, así como a los Organismos Constitucionales Autónomos, r</w:t>
      </w:r>
      <w:r>
        <w:rPr>
          <w:rFonts w:ascii="Century Gothic" w:eastAsia="Century Gothic" w:hAnsi="Century Gothic" w:cs="Century Gothic"/>
        </w:rPr>
        <w:t>especto de los bienes propiedad del Estado y de los Municipios, en el ámbito de sus respectivas competencias, conforme a lo previsto en las disposiciones legales que los rigen, sin contravenir las disposiciones de esta Ley;</w:t>
      </w:r>
      <w:r>
        <w:rPr>
          <w:rFonts w:ascii="Century Gothic" w:eastAsia="Century Gothic" w:hAnsi="Century Gothic" w:cs="Century Gothic"/>
          <w:b/>
        </w:rPr>
        <w:t xml:space="preserve"> con excepción de los bienes obte</w:t>
      </w:r>
      <w:r>
        <w:rPr>
          <w:rFonts w:ascii="Century Gothic" w:eastAsia="Century Gothic" w:hAnsi="Century Gothic" w:cs="Century Gothic"/>
          <w:b/>
        </w:rPr>
        <w:t>nidos de un crédito o financiamiento fi</w:t>
      </w:r>
      <w:r w:rsidR="00873984">
        <w:rPr>
          <w:rFonts w:ascii="Century Gothic" w:eastAsia="Century Gothic" w:hAnsi="Century Gothic" w:cs="Century Gothic"/>
          <w:b/>
        </w:rPr>
        <w:t>niquitado</w:t>
      </w:r>
      <w:r>
        <w:rPr>
          <w:rFonts w:ascii="Century Gothic" w:eastAsia="Century Gothic" w:hAnsi="Century Gothic" w:cs="Century Gothic"/>
          <w:b/>
        </w:rPr>
        <w:t xml:space="preserve"> con la adjudicación del bien dado en garantía. </w:t>
      </w:r>
    </w:p>
    <w:p w14:paraId="2C4FFACD" w14:textId="77777777" w:rsidR="00941A22" w:rsidRDefault="00072F59">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lastRenderedPageBreak/>
        <w:t>TRANSITORIOS</w:t>
      </w:r>
    </w:p>
    <w:p w14:paraId="135553AE" w14:textId="77777777" w:rsidR="00941A22" w:rsidRDefault="00072F59">
      <w:pPr>
        <w:spacing w:after="16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ÚNICO.- </w:t>
      </w:r>
      <w:r>
        <w:rPr>
          <w:rFonts w:ascii="Century Gothic" w:eastAsia="Century Gothic" w:hAnsi="Century Gothic" w:cs="Century Gothic"/>
        </w:rPr>
        <w:t xml:space="preserve"> El presente decreto entrará en vigor al día siguiente de su publicación en el Periódico Oficial del Estado.</w:t>
      </w:r>
    </w:p>
    <w:p w14:paraId="4B77FF72" w14:textId="77777777" w:rsidR="00941A22" w:rsidRDefault="00941A22">
      <w:pPr>
        <w:spacing w:after="160" w:line="360" w:lineRule="auto"/>
        <w:jc w:val="both"/>
        <w:rPr>
          <w:rFonts w:ascii="Century Gothic" w:eastAsia="Century Gothic" w:hAnsi="Century Gothic" w:cs="Century Gothic"/>
          <w:b/>
        </w:rPr>
      </w:pPr>
    </w:p>
    <w:p w14:paraId="558F8BF5" w14:textId="77777777" w:rsidR="00941A22" w:rsidRDefault="00072F59">
      <w:pP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Aprobad</w:t>
      </w:r>
      <w:r>
        <w:rPr>
          <w:rFonts w:ascii="Century Gothic" w:eastAsia="Century Gothic" w:hAnsi="Century Gothic" w:cs="Century Gothic"/>
        </w:rPr>
        <w:t>o que sea túrnese a la secretaría para que elabore la minuta correspondiente.</w:t>
      </w:r>
      <w:r>
        <w:rPr>
          <w:rFonts w:ascii="Century Gothic" w:eastAsia="Century Gothic" w:hAnsi="Century Gothic" w:cs="Century Gothic"/>
          <w:b/>
        </w:rPr>
        <w:t xml:space="preserve"> </w:t>
      </w:r>
    </w:p>
    <w:p w14:paraId="7EF92425" w14:textId="77777777" w:rsidR="00941A22" w:rsidRDefault="00941A22">
      <w:pPr>
        <w:spacing w:after="160" w:line="360" w:lineRule="auto"/>
        <w:jc w:val="both"/>
        <w:rPr>
          <w:rFonts w:ascii="Century Gothic" w:eastAsia="Century Gothic" w:hAnsi="Century Gothic" w:cs="Century Gothic"/>
          <w:b/>
        </w:rPr>
      </w:pPr>
    </w:p>
    <w:p w14:paraId="36ECA018" w14:textId="77777777" w:rsidR="00941A22" w:rsidRDefault="00072F59">
      <w:pPr>
        <w:spacing w:after="160" w:line="360" w:lineRule="auto"/>
        <w:jc w:val="both"/>
        <w:rPr>
          <w:rFonts w:ascii="Century Gothic" w:eastAsia="Century Gothic" w:hAnsi="Century Gothic" w:cs="Century Gothic"/>
        </w:rPr>
      </w:pPr>
      <w:r>
        <w:rPr>
          <w:rFonts w:ascii="Century Gothic" w:eastAsia="Century Gothic" w:hAnsi="Century Gothic" w:cs="Century Gothic"/>
        </w:rPr>
        <w:t>Dado en el Salón de Sesiones a los 19 días del mes de julio del año dos mil veintitrés.</w:t>
      </w:r>
    </w:p>
    <w:p w14:paraId="2EC68DEA" w14:textId="77777777" w:rsidR="00941A22" w:rsidRDefault="00941A22">
      <w:pPr>
        <w:spacing w:after="160" w:line="360" w:lineRule="auto"/>
        <w:jc w:val="both"/>
        <w:rPr>
          <w:rFonts w:ascii="Century Gothic" w:eastAsia="Century Gothic" w:hAnsi="Century Gothic" w:cs="Century Gothic"/>
        </w:rPr>
      </w:pPr>
    </w:p>
    <w:p w14:paraId="123F11A4" w14:textId="77777777" w:rsidR="00941A22" w:rsidRDefault="00072F59">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18948CEF" w14:textId="77777777" w:rsidR="00941A22" w:rsidRDefault="00941A22">
      <w:pPr>
        <w:spacing w:after="160" w:line="360" w:lineRule="auto"/>
        <w:rPr>
          <w:rFonts w:ascii="Century Gothic" w:eastAsia="Century Gothic" w:hAnsi="Century Gothic" w:cs="Century Gothic"/>
        </w:rPr>
      </w:pPr>
    </w:p>
    <w:p w14:paraId="15EF63D3" w14:textId="77777777" w:rsidR="00941A22" w:rsidRDefault="00072F59">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0"/>
        <w:tblW w:w="9161"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941A22" w14:paraId="48AE75FB"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BD55592" w14:textId="77777777" w:rsidR="00941A22" w:rsidRDefault="00941A22">
            <w:pPr>
              <w:spacing w:after="160" w:line="259" w:lineRule="auto"/>
              <w:rPr>
                <w:rFonts w:ascii="Century Gothic" w:eastAsia="Century Gothic" w:hAnsi="Century Gothic" w:cs="Century Gothic"/>
                <w:b/>
              </w:rPr>
            </w:pPr>
          </w:p>
          <w:p w14:paraId="62407331" w14:textId="77777777" w:rsidR="00941A22" w:rsidRDefault="00941A22">
            <w:pPr>
              <w:spacing w:after="160" w:line="259" w:lineRule="auto"/>
              <w:rPr>
                <w:rFonts w:ascii="Century Gothic" w:eastAsia="Century Gothic" w:hAnsi="Century Gothic" w:cs="Century Gothic"/>
                <w:b/>
              </w:rPr>
            </w:pPr>
          </w:p>
          <w:p w14:paraId="5D8FFEA2"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782872E7" w14:textId="77777777" w:rsidR="00941A22" w:rsidRDefault="00941A22">
            <w:pPr>
              <w:spacing w:after="160" w:line="259" w:lineRule="auto"/>
              <w:rPr>
                <w:rFonts w:ascii="Century Gothic" w:eastAsia="Century Gothic" w:hAnsi="Century Gothic" w:cs="Century Gothic"/>
                <w:b/>
              </w:rPr>
            </w:pPr>
          </w:p>
          <w:p w14:paraId="42CCF0E5" w14:textId="77777777" w:rsidR="00941A22" w:rsidRDefault="00941A22">
            <w:pPr>
              <w:spacing w:after="160" w:line="259" w:lineRule="auto"/>
              <w:rPr>
                <w:rFonts w:ascii="Century Gothic" w:eastAsia="Century Gothic" w:hAnsi="Century Gothic" w:cs="Century Gothic"/>
                <w:b/>
              </w:rPr>
            </w:pPr>
          </w:p>
          <w:p w14:paraId="4B424719"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941A22" w14:paraId="0CD8DE1B"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7F0E73D" w14:textId="77777777" w:rsidR="00941A22" w:rsidRDefault="00941A22">
            <w:pPr>
              <w:spacing w:after="160" w:line="259" w:lineRule="auto"/>
              <w:rPr>
                <w:rFonts w:ascii="Century Gothic" w:eastAsia="Century Gothic" w:hAnsi="Century Gothic" w:cs="Century Gothic"/>
                <w:b/>
              </w:rPr>
            </w:pPr>
          </w:p>
          <w:p w14:paraId="1FE3ECD3" w14:textId="77777777" w:rsidR="00941A22" w:rsidRDefault="00941A22">
            <w:pPr>
              <w:spacing w:after="160" w:line="259" w:lineRule="auto"/>
              <w:rPr>
                <w:rFonts w:ascii="Century Gothic" w:eastAsia="Century Gothic" w:hAnsi="Century Gothic" w:cs="Century Gothic"/>
                <w:b/>
              </w:rPr>
            </w:pPr>
          </w:p>
          <w:p w14:paraId="06011015"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71D2964C" w14:textId="77777777" w:rsidR="00941A22" w:rsidRDefault="00941A22">
            <w:pPr>
              <w:spacing w:after="160" w:line="259" w:lineRule="auto"/>
              <w:jc w:val="center"/>
              <w:rPr>
                <w:rFonts w:ascii="Century Gothic" w:eastAsia="Century Gothic" w:hAnsi="Century Gothic" w:cs="Century Gothic"/>
                <w:b/>
              </w:rPr>
            </w:pPr>
          </w:p>
          <w:p w14:paraId="36DCC2F1" w14:textId="77777777" w:rsidR="00941A22" w:rsidRDefault="00941A22">
            <w:pPr>
              <w:spacing w:after="160" w:line="259" w:lineRule="auto"/>
              <w:jc w:val="center"/>
              <w:rPr>
                <w:rFonts w:ascii="Century Gothic" w:eastAsia="Century Gothic" w:hAnsi="Century Gothic" w:cs="Century Gothic"/>
                <w:b/>
              </w:rPr>
            </w:pPr>
          </w:p>
          <w:p w14:paraId="4E2F6F97"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941A22" w14:paraId="609BE92A"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6CD7B03" w14:textId="77777777" w:rsidR="00941A22" w:rsidRDefault="00941A22">
            <w:pPr>
              <w:spacing w:after="160" w:line="259" w:lineRule="auto"/>
              <w:rPr>
                <w:rFonts w:ascii="Century Gothic" w:eastAsia="Century Gothic" w:hAnsi="Century Gothic" w:cs="Century Gothic"/>
                <w:b/>
              </w:rPr>
            </w:pPr>
          </w:p>
          <w:p w14:paraId="43F50DB0"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2B1AEC7C" w14:textId="77777777" w:rsidR="00941A22" w:rsidRDefault="00941A22">
            <w:pPr>
              <w:spacing w:after="160" w:line="259" w:lineRule="auto"/>
              <w:rPr>
                <w:rFonts w:ascii="Century Gothic" w:eastAsia="Century Gothic" w:hAnsi="Century Gothic" w:cs="Century Gothic"/>
                <w:b/>
              </w:rPr>
            </w:pPr>
          </w:p>
          <w:p w14:paraId="42EF18D4" w14:textId="77777777" w:rsidR="00941A22" w:rsidRDefault="00072F59">
            <w:pPr>
              <w:spacing w:after="160" w:line="259" w:lineRule="auto"/>
              <w:rPr>
                <w:rFonts w:ascii="Century Gothic" w:eastAsia="Century Gothic" w:hAnsi="Century Gothic" w:cs="Century Gothic"/>
                <w:b/>
              </w:rPr>
            </w:pPr>
            <w:r>
              <w:rPr>
                <w:rFonts w:ascii="Century Gothic" w:eastAsia="Century Gothic" w:hAnsi="Century Gothic" w:cs="Century Gothic"/>
                <w:b/>
              </w:rPr>
              <w:t>DIP. JOSÉ ALFREDO CHÁVEZ MADRID</w:t>
            </w:r>
          </w:p>
          <w:p w14:paraId="6998574D" w14:textId="77777777" w:rsidR="00941A22" w:rsidRDefault="00941A22">
            <w:pPr>
              <w:spacing w:after="160" w:line="259" w:lineRule="auto"/>
              <w:rPr>
                <w:rFonts w:ascii="Century Gothic" w:eastAsia="Century Gothic" w:hAnsi="Century Gothic" w:cs="Century Gothic"/>
                <w:b/>
              </w:rPr>
            </w:pPr>
          </w:p>
          <w:p w14:paraId="145A2075" w14:textId="77777777" w:rsidR="00941A22" w:rsidRDefault="00941A22">
            <w:pPr>
              <w:spacing w:after="160" w:line="259" w:lineRule="auto"/>
              <w:rPr>
                <w:rFonts w:ascii="Century Gothic" w:eastAsia="Century Gothic" w:hAnsi="Century Gothic" w:cs="Century Gothic"/>
                <w:b/>
              </w:rPr>
            </w:pPr>
          </w:p>
        </w:tc>
      </w:tr>
      <w:tr w:rsidR="00941A22" w14:paraId="491AEFE9"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84CE718" w14:textId="77777777" w:rsidR="00941A22" w:rsidRDefault="00941A22">
            <w:pPr>
              <w:spacing w:after="160" w:line="259" w:lineRule="auto"/>
              <w:rPr>
                <w:rFonts w:ascii="Century Gothic" w:eastAsia="Century Gothic" w:hAnsi="Century Gothic" w:cs="Century Gothic"/>
                <w:b/>
              </w:rPr>
            </w:pPr>
          </w:p>
          <w:p w14:paraId="194A60B5"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556CC330" w14:textId="77777777" w:rsidR="00941A22" w:rsidRDefault="00941A22">
            <w:pPr>
              <w:spacing w:after="160" w:line="259" w:lineRule="auto"/>
              <w:rPr>
                <w:rFonts w:ascii="Century Gothic" w:eastAsia="Century Gothic" w:hAnsi="Century Gothic" w:cs="Century Gothic"/>
                <w:b/>
              </w:rPr>
            </w:pPr>
          </w:p>
          <w:p w14:paraId="4888F48F"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DIP.ANDREA </w:t>
            </w:r>
            <w:r>
              <w:rPr>
                <w:rFonts w:ascii="Century Gothic" w:eastAsia="Century Gothic" w:hAnsi="Century Gothic" w:cs="Century Gothic"/>
                <w:b/>
              </w:rPr>
              <w:t>DANIELA FLORES CHACÓN</w:t>
            </w:r>
          </w:p>
        </w:tc>
      </w:tr>
      <w:tr w:rsidR="00941A22" w14:paraId="43307DFF"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9728EF2" w14:textId="77777777" w:rsidR="00941A22" w:rsidRDefault="00941A22">
            <w:pPr>
              <w:spacing w:after="160" w:line="259" w:lineRule="auto"/>
              <w:rPr>
                <w:rFonts w:ascii="Century Gothic" w:eastAsia="Century Gothic" w:hAnsi="Century Gothic" w:cs="Century Gothic"/>
                <w:b/>
              </w:rPr>
            </w:pPr>
          </w:p>
          <w:p w14:paraId="2AE29077" w14:textId="77777777" w:rsidR="00941A22" w:rsidRDefault="00941A22">
            <w:pPr>
              <w:spacing w:after="160" w:line="259" w:lineRule="auto"/>
              <w:rPr>
                <w:rFonts w:ascii="Century Gothic" w:eastAsia="Century Gothic" w:hAnsi="Century Gothic" w:cs="Century Gothic"/>
                <w:b/>
              </w:rPr>
            </w:pPr>
          </w:p>
          <w:p w14:paraId="50CCE1B2" w14:textId="77777777" w:rsidR="00941A22" w:rsidRDefault="00072F59">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p w14:paraId="5EFB59E8" w14:textId="77777777" w:rsidR="00941A22" w:rsidRDefault="00941A22">
            <w:pPr>
              <w:spacing w:after="160" w:line="259" w:lineRule="auto"/>
              <w:jc w:val="center"/>
              <w:rPr>
                <w:rFonts w:ascii="Century Gothic" w:eastAsia="Century Gothic" w:hAnsi="Century Gothic" w:cs="Century Gothic"/>
                <w:b/>
              </w:rPr>
            </w:pPr>
          </w:p>
          <w:p w14:paraId="6BB4F6DD" w14:textId="77777777" w:rsidR="00941A22" w:rsidRDefault="00941A22">
            <w:pPr>
              <w:spacing w:after="160" w:line="259" w:lineRule="auto"/>
              <w:jc w:val="center"/>
              <w:rPr>
                <w:rFonts w:ascii="Century Gothic" w:eastAsia="Century Gothic" w:hAnsi="Century Gothic" w:cs="Century Gothic"/>
                <w:b/>
              </w:rPr>
            </w:pPr>
          </w:p>
        </w:tc>
        <w:tc>
          <w:tcPr>
            <w:tcW w:w="4575" w:type="dxa"/>
            <w:tcBorders>
              <w:top w:val="nil"/>
              <w:left w:val="nil"/>
              <w:bottom w:val="nil"/>
              <w:right w:val="nil"/>
            </w:tcBorders>
            <w:shd w:val="clear" w:color="auto" w:fill="auto"/>
            <w:tcMar>
              <w:top w:w="80" w:type="dxa"/>
              <w:left w:w="80" w:type="dxa"/>
              <w:bottom w:w="80" w:type="dxa"/>
              <w:right w:w="80" w:type="dxa"/>
            </w:tcMar>
          </w:tcPr>
          <w:p w14:paraId="186F7778" w14:textId="77777777" w:rsidR="00941A22" w:rsidRDefault="00941A22">
            <w:pPr>
              <w:spacing w:after="160" w:line="259" w:lineRule="auto"/>
              <w:rPr>
                <w:rFonts w:ascii="Century Gothic" w:eastAsia="Century Gothic" w:hAnsi="Century Gothic" w:cs="Century Gothic"/>
                <w:b/>
              </w:rPr>
            </w:pPr>
          </w:p>
          <w:p w14:paraId="074701C0" w14:textId="77777777" w:rsidR="00941A22" w:rsidRDefault="00941A22">
            <w:pPr>
              <w:spacing w:after="160" w:line="259" w:lineRule="auto"/>
              <w:rPr>
                <w:rFonts w:ascii="Century Gothic" w:eastAsia="Century Gothic" w:hAnsi="Century Gothic" w:cs="Century Gothic"/>
                <w:b/>
              </w:rPr>
            </w:pPr>
          </w:p>
          <w:p w14:paraId="4A1ADD58" w14:textId="77777777" w:rsidR="00941A22" w:rsidRDefault="00072F59">
            <w:pPr>
              <w:spacing w:after="160" w:line="259" w:lineRule="auto"/>
              <w:rPr>
                <w:rFonts w:ascii="Century Gothic" w:eastAsia="Century Gothic" w:hAnsi="Century Gothic" w:cs="Century Gothic"/>
                <w:b/>
              </w:rPr>
            </w:pPr>
            <w:r>
              <w:rPr>
                <w:rFonts w:ascii="Century Gothic" w:eastAsia="Century Gothic" w:hAnsi="Century Gothic" w:cs="Century Gothic"/>
                <w:b/>
              </w:rPr>
              <w:t>DIP. LUIS ALBERTO AGUILAR LOZOYA</w:t>
            </w:r>
          </w:p>
          <w:p w14:paraId="03AA5476" w14:textId="77777777" w:rsidR="00941A22" w:rsidRDefault="00941A22">
            <w:pPr>
              <w:spacing w:after="160" w:line="259" w:lineRule="auto"/>
              <w:rPr>
                <w:rFonts w:ascii="Century Gothic" w:eastAsia="Century Gothic" w:hAnsi="Century Gothic" w:cs="Century Gothic"/>
                <w:b/>
              </w:rPr>
            </w:pPr>
          </w:p>
          <w:p w14:paraId="3876DE07" w14:textId="77777777" w:rsidR="00941A22" w:rsidRDefault="00941A22">
            <w:pPr>
              <w:spacing w:after="160" w:line="259" w:lineRule="auto"/>
              <w:rPr>
                <w:rFonts w:ascii="Century Gothic" w:eastAsia="Century Gothic" w:hAnsi="Century Gothic" w:cs="Century Gothic"/>
                <w:b/>
              </w:rPr>
            </w:pPr>
          </w:p>
        </w:tc>
      </w:tr>
      <w:tr w:rsidR="00941A22" w14:paraId="482E364D"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65E761B" w14:textId="77777777" w:rsidR="00941A22" w:rsidRDefault="00072F59">
            <w:pPr>
              <w:spacing w:after="160" w:line="259" w:lineRule="auto"/>
              <w:rPr>
                <w:rFonts w:ascii="Century Gothic" w:eastAsia="Century Gothic" w:hAnsi="Century Gothic" w:cs="Century Gothic"/>
                <w:b/>
              </w:rPr>
            </w:pPr>
            <w:r>
              <w:rPr>
                <w:rFonts w:ascii="Century Gothic" w:eastAsia="Century Gothic" w:hAnsi="Century Gothic" w:cs="Century Gothic"/>
                <w:b/>
              </w:rPr>
              <w:t>DIP. DIANA IVETTE PEREDA GUTIÉRREZ</w:t>
            </w:r>
          </w:p>
          <w:p w14:paraId="60E5B4CF" w14:textId="77777777" w:rsidR="00941A22" w:rsidRDefault="00941A22">
            <w:pPr>
              <w:spacing w:after="160" w:line="259" w:lineRule="auto"/>
              <w:jc w:val="center"/>
              <w:rPr>
                <w:rFonts w:ascii="Century Gothic" w:eastAsia="Century Gothic" w:hAnsi="Century Gothic" w:cs="Century Gothic"/>
                <w:b/>
              </w:rPr>
            </w:pPr>
          </w:p>
          <w:p w14:paraId="67566295" w14:textId="77777777" w:rsidR="00941A22" w:rsidRDefault="00941A22">
            <w:pPr>
              <w:spacing w:after="160" w:line="259" w:lineRule="auto"/>
              <w:rPr>
                <w:rFonts w:ascii="Century Gothic" w:eastAsia="Century Gothic" w:hAnsi="Century Gothic" w:cs="Century Gothic"/>
                <w:b/>
              </w:rPr>
            </w:pPr>
          </w:p>
          <w:p w14:paraId="7810D1DB" w14:textId="77777777" w:rsidR="00941A22" w:rsidRDefault="00072F59">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384FB5B2" w14:textId="77777777" w:rsidR="00941A22" w:rsidRDefault="00072F59">
            <w:pPr>
              <w:spacing w:after="160" w:line="259" w:lineRule="auto"/>
              <w:rPr>
                <w:rFonts w:ascii="Century Gothic" w:eastAsia="Century Gothic" w:hAnsi="Century Gothic" w:cs="Century Gothic"/>
                <w:b/>
              </w:rPr>
            </w:pPr>
            <w:r>
              <w:rPr>
                <w:rFonts w:ascii="Century Gothic" w:eastAsia="Century Gothic" w:hAnsi="Century Gothic" w:cs="Century Gothic"/>
                <w:b/>
              </w:rPr>
              <w:t>DIP. GABRIEL ÁNGEL GARCÍA CANTÚ</w:t>
            </w:r>
          </w:p>
          <w:p w14:paraId="64FA404F" w14:textId="77777777" w:rsidR="00941A22" w:rsidRDefault="00941A22">
            <w:pPr>
              <w:spacing w:after="160" w:line="259" w:lineRule="auto"/>
              <w:jc w:val="center"/>
              <w:rPr>
                <w:rFonts w:ascii="Century Gothic" w:eastAsia="Century Gothic" w:hAnsi="Century Gothic" w:cs="Century Gothic"/>
                <w:b/>
              </w:rPr>
            </w:pPr>
          </w:p>
          <w:p w14:paraId="6F81FDF3" w14:textId="77777777" w:rsidR="00941A22" w:rsidRDefault="00941A22">
            <w:pPr>
              <w:spacing w:after="160" w:line="259" w:lineRule="auto"/>
              <w:rPr>
                <w:rFonts w:ascii="Century Gothic" w:eastAsia="Century Gothic" w:hAnsi="Century Gothic" w:cs="Century Gothic"/>
                <w:b/>
              </w:rPr>
            </w:pPr>
          </w:p>
          <w:p w14:paraId="68F838A7" w14:textId="77777777" w:rsidR="00941A22" w:rsidRDefault="00072F59">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p w14:paraId="15A255BB" w14:textId="77777777" w:rsidR="00941A22" w:rsidRDefault="00941A22">
            <w:pPr>
              <w:spacing w:after="160" w:line="259" w:lineRule="auto"/>
              <w:jc w:val="center"/>
              <w:rPr>
                <w:rFonts w:ascii="Century Gothic" w:eastAsia="Century Gothic" w:hAnsi="Century Gothic" w:cs="Century Gothic"/>
                <w:b/>
              </w:rPr>
            </w:pPr>
          </w:p>
          <w:p w14:paraId="0FBFB277" w14:textId="77777777" w:rsidR="00941A22" w:rsidRDefault="00941A22">
            <w:pPr>
              <w:spacing w:after="160" w:line="259" w:lineRule="auto"/>
              <w:jc w:val="center"/>
              <w:rPr>
                <w:rFonts w:ascii="Calibri" w:eastAsia="Calibri" w:hAnsi="Calibri" w:cs="Calibri"/>
                <w:sz w:val="22"/>
                <w:szCs w:val="22"/>
              </w:rPr>
            </w:pPr>
          </w:p>
        </w:tc>
      </w:tr>
    </w:tbl>
    <w:p w14:paraId="2FE61538" w14:textId="77777777" w:rsidR="00941A22" w:rsidRDefault="00941A22">
      <w:pPr>
        <w:spacing w:after="160" w:line="360" w:lineRule="auto"/>
        <w:jc w:val="both"/>
        <w:rPr>
          <w:rFonts w:ascii="Century Gothic" w:eastAsia="Century Gothic" w:hAnsi="Century Gothic" w:cs="Century Gothic"/>
        </w:rPr>
      </w:pPr>
    </w:p>
    <w:sectPr w:rsidR="00941A22">
      <w:headerReference w:type="default" r:id="rId7"/>
      <w:footerReference w:type="even" r:id="rId8"/>
      <w:footerReference w:type="default" r:id="rId9"/>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1355" w14:textId="77777777" w:rsidR="00D764D1" w:rsidRDefault="00D764D1">
      <w:r>
        <w:separator/>
      </w:r>
    </w:p>
  </w:endnote>
  <w:endnote w:type="continuationSeparator" w:id="0">
    <w:p w14:paraId="6B39768D" w14:textId="77777777" w:rsidR="00D764D1" w:rsidRDefault="00D7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420876"/>
      <w:docPartObj>
        <w:docPartGallery w:val="Page Numbers (Bottom of Page)"/>
        <w:docPartUnique/>
      </w:docPartObj>
    </w:sdtPr>
    <w:sdtEndPr>
      <w:rPr>
        <w:rStyle w:val="Nmerodepgina"/>
      </w:rPr>
    </w:sdtEndPr>
    <w:sdtContent>
      <w:p w14:paraId="261B45AE" w14:textId="77777777" w:rsidR="00803BF4" w:rsidRDefault="00803BF4" w:rsidP="00C50A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7F4CF86D" w14:textId="77777777" w:rsidR="00803BF4" w:rsidRDefault="00803BF4" w:rsidP="00803B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7108635"/>
      <w:docPartObj>
        <w:docPartGallery w:val="Page Numbers (Bottom of Page)"/>
        <w:docPartUnique/>
      </w:docPartObj>
    </w:sdtPr>
    <w:sdtEndPr>
      <w:rPr>
        <w:rStyle w:val="Nmerodepgina"/>
      </w:rPr>
    </w:sdtEndPr>
    <w:sdtContent>
      <w:p w14:paraId="1EE9985C" w14:textId="77777777" w:rsidR="00803BF4" w:rsidRDefault="00803BF4" w:rsidP="00C50A6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0286BA85" w14:textId="77777777" w:rsidR="00941A22" w:rsidRDefault="00941A22" w:rsidP="00803BF4">
    <w:pPr>
      <w:ind w:right="360"/>
      <w:rPr>
        <w:sz w:val="20"/>
        <w:szCs w:val="20"/>
      </w:rPr>
    </w:pPr>
  </w:p>
  <w:p w14:paraId="05AE4388" w14:textId="77777777" w:rsidR="00941A22" w:rsidRDefault="00941A22">
    <w:pPr>
      <w:pBdr>
        <w:top w:val="nil"/>
        <w:left w:val="nil"/>
        <w:bottom w:val="nil"/>
        <w:right w:val="nil"/>
        <w:between w:val="nil"/>
      </w:pBdr>
      <w:tabs>
        <w:tab w:val="center" w:pos="4419"/>
        <w:tab w:val="right" w:pos="8818"/>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D8BE" w14:textId="77777777" w:rsidR="00D764D1" w:rsidRDefault="00D764D1">
      <w:r>
        <w:separator/>
      </w:r>
    </w:p>
  </w:footnote>
  <w:footnote w:type="continuationSeparator" w:id="0">
    <w:p w14:paraId="0BBAE92F" w14:textId="77777777" w:rsidR="00D764D1" w:rsidRDefault="00D7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7651" w14:textId="77777777" w:rsidR="00941A22" w:rsidRDefault="00072F59">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7767BD75" wp14:editId="61DC1F1F">
          <wp:simplePos x="0" y="0"/>
          <wp:positionH relativeFrom="page">
            <wp:posOffset>259080</wp:posOffset>
          </wp:positionH>
          <wp:positionV relativeFrom="page">
            <wp:posOffset>202969</wp:posOffset>
          </wp:positionV>
          <wp:extent cx="1061085" cy="1017905"/>
          <wp:effectExtent l="0" t="0" r="0" b="0"/>
          <wp:wrapNone/>
          <wp:docPr id="3"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54A2DE93" wp14:editId="07417FFA">
          <wp:simplePos x="0" y="0"/>
          <wp:positionH relativeFrom="page">
            <wp:posOffset>6630034</wp:posOffset>
          </wp:positionH>
          <wp:positionV relativeFrom="page">
            <wp:posOffset>246376</wp:posOffset>
          </wp:positionV>
          <wp:extent cx="857250" cy="857250"/>
          <wp:effectExtent l="0" t="0" r="0" b="0"/>
          <wp:wrapNone/>
          <wp:docPr id="4"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76D753BD" wp14:editId="3DB46329">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6FBC577A" w14:textId="77777777" w:rsidR="00941A22" w:rsidRDefault="00072F59">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1" distB="0" distT="0" distL="0" distR="0" hidden="0" layoutInCell="1" locked="0" relativeHeight="0" simplePos="0">
              <wp:simplePos x="0" y="0"/>
              <wp:positionH relativeFrom="page">
                <wp:posOffset>6457950</wp:posOffset>
              </wp:positionH>
              <wp:positionV relativeFrom="page">
                <wp:posOffset>18444844</wp:posOffset>
              </wp:positionV>
              <wp:extent cx="276859" cy="253475"/>
              <wp:effectExtent b="0" l="0" r="0" t="0"/>
              <wp:wrapNone/>
              <wp:docPr descr="Rectángulo 7" id="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76859" cy="253475"/>
                      </a:xfrm>
                      <a:prstGeom prst="rect"/>
                      <a:ln/>
                    </pic:spPr>
                  </pic:pic>
                </a:graphicData>
              </a:graphic>
            </wp:anchor>
          </w:drawing>
        </mc:Fallback>
      </mc:AlternateContent>
    </w:r>
    <w:r>
      <w:rPr>
        <w:color w:val="000000"/>
        <w:sz w:val="20"/>
        <w:szCs w:val="20"/>
      </w:rPr>
      <w:tab/>
    </w:r>
    <w:r>
      <w:rPr>
        <w:noProof/>
      </w:rPr>
      <mc:AlternateContent>
        <mc:Choice Requires="wpg">
          <w:drawing>
            <wp:anchor distT="0" distB="0" distL="114300" distR="114300" simplePos="0" relativeHeight="251661312" behindDoc="0" locked="0" layoutInCell="1" hidden="0" allowOverlap="1" wp14:anchorId="4C4CEC24" wp14:editId="3E0C0F86">
              <wp:simplePos x="0" y="0"/>
              <wp:positionH relativeFrom="column">
                <wp:posOffset>812800</wp:posOffset>
              </wp:positionH>
              <wp:positionV relativeFrom="paragraph">
                <wp:posOffset>0</wp:posOffset>
              </wp:positionV>
              <wp:extent cx="3937635" cy="615315"/>
              <wp:effectExtent l="0" t="0" r="0" b="0"/>
              <wp:wrapNone/>
              <wp:docPr id="2" name="Rectángulo 2"/>
              <wp:cNvGraphicFramePr/>
              <a:graphic xmlns:a="http://schemas.openxmlformats.org/drawingml/2006/main">
                <a:graphicData uri="http://schemas.microsoft.com/office/word/2010/wordprocessingShape">
                  <wps:wsp>
                    <wps:cNvSpPr/>
                    <wps:spPr>
                      <a:xfrm>
                        <a:off x="3391470" y="3486630"/>
                        <a:ext cx="3909060" cy="586740"/>
                      </a:xfrm>
                      <a:prstGeom prst="rect">
                        <a:avLst/>
                      </a:prstGeom>
                      <a:noFill/>
                      <a:ln>
                        <a:noFill/>
                      </a:ln>
                    </wps:spPr>
                    <wps:txbx>
                      <w:txbxContent>
                        <w:p w14:paraId="471BE1F3" w14:textId="77777777" w:rsidR="00941A22" w:rsidRDefault="00072F59">
                          <w:pPr>
                            <w:jc w:val="right"/>
                            <w:textDirection w:val="btLr"/>
                          </w:pPr>
                          <w:r>
                            <w:rPr>
                              <w:rFonts w:ascii="Century Gothic" w:eastAsia="Century Gothic" w:hAnsi="Century Gothic" w:cs="Century Gothic"/>
                              <w:b/>
                              <w:color w:val="000000"/>
                              <w:sz w:val="20"/>
                            </w:rPr>
                            <w:t xml:space="preserve">“2023, Centenario de la Muerte del General Francisco Villa” </w:t>
                          </w:r>
                        </w:p>
                        <w:p w14:paraId="13B81008" w14:textId="77777777" w:rsidR="00941A22" w:rsidRDefault="00072F59">
                          <w:pPr>
                            <w:jc w:val="right"/>
                            <w:textDirection w:val="btLr"/>
                          </w:pPr>
                          <w:r>
                            <w:rPr>
                              <w:rFonts w:ascii="Century Gothic" w:eastAsia="Century Gothic" w:hAnsi="Century Gothic" w:cs="Century Gothic"/>
                              <w:b/>
                              <w:color w:val="000000"/>
                              <w:sz w:val="20"/>
                            </w:rPr>
                            <w:t>“2023, Cien Años del Rotarismo en Chihuahua</w:t>
                          </w:r>
                          <w:r>
                            <w:rPr>
                              <w:rFonts w:ascii="Century Gothic" w:eastAsia="Century Gothic" w:hAnsi="Century Gothic" w:cs="Century Gothic"/>
                              <w:b/>
                              <w:color w:val="000000"/>
                            </w:rPr>
                            <w:t>”</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3937635" cy="615315"/>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3937635" cy="61531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A29"/>
    <w:multiLevelType w:val="multilevel"/>
    <w:tmpl w:val="DE807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22"/>
    <w:rsid w:val="00025F69"/>
    <w:rsid w:val="00072F59"/>
    <w:rsid w:val="00803BF4"/>
    <w:rsid w:val="00827930"/>
    <w:rsid w:val="00873984"/>
    <w:rsid w:val="00941A22"/>
    <w:rsid w:val="00D333EB"/>
    <w:rsid w:val="00D76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B49E"/>
  <w15:docId w15:val="{5054E061-E9C7-EA45-96B0-3AAEE8A2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803BF4"/>
    <w:pPr>
      <w:tabs>
        <w:tab w:val="center" w:pos="4419"/>
        <w:tab w:val="right" w:pos="8838"/>
      </w:tabs>
    </w:pPr>
  </w:style>
  <w:style w:type="character" w:customStyle="1" w:styleId="PiedepginaCar">
    <w:name w:val="Pie de página Car"/>
    <w:basedOn w:val="Fuentedeprrafopredeter"/>
    <w:link w:val="Piedepgina"/>
    <w:uiPriority w:val="99"/>
    <w:rsid w:val="00803BF4"/>
  </w:style>
  <w:style w:type="character" w:styleId="Nmerodepgina">
    <w:name w:val="page number"/>
    <w:basedOn w:val="Fuentedeprrafopredeter"/>
    <w:uiPriority w:val="99"/>
    <w:semiHidden/>
    <w:unhideWhenUsed/>
    <w:rsid w:val="0080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1316</Words>
  <Characters>7239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2023-07-18T20:28:00Z</dcterms:created>
  <dcterms:modified xsi:type="dcterms:W3CDTF">2023-07-18T20:28:00Z</dcterms:modified>
</cp:coreProperties>
</file>