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2FB7" w14:textId="77777777" w:rsidR="00936067" w:rsidRPr="00B6590C" w:rsidRDefault="00936067" w:rsidP="009360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14:paraId="4A7F4863" w14:textId="77777777" w:rsidR="00936067" w:rsidRPr="00B6590C" w:rsidRDefault="00936067" w:rsidP="009360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PRESENTE.</w:t>
      </w:r>
    </w:p>
    <w:p w14:paraId="1008CDB1" w14:textId="77777777" w:rsidR="00936067" w:rsidRPr="00B6590C" w:rsidRDefault="00936067" w:rsidP="0093606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C7BCF8" w14:textId="77777777" w:rsidR="00936067" w:rsidRDefault="00936067" w:rsidP="00936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90C">
        <w:rPr>
          <w:rFonts w:ascii="Arial" w:hAnsi="Arial" w:cs="Arial"/>
          <w:sz w:val="24"/>
          <w:szCs w:val="24"/>
          <w:lang w:eastAsia="es-MX"/>
        </w:rPr>
        <w:t xml:space="preserve">La suscrita </w:t>
      </w:r>
      <w:r w:rsidRPr="00B6590C">
        <w:rPr>
          <w:rFonts w:ascii="Arial" w:hAnsi="Arial" w:cs="Arial"/>
          <w:b/>
          <w:bCs/>
          <w:sz w:val="24"/>
          <w:szCs w:val="24"/>
          <w:lang w:eastAsia="es-MX"/>
        </w:rPr>
        <w:t>ANA GEORGINA ZAPATA LUCERO</w:t>
      </w:r>
      <w:r w:rsidRPr="00B6590C">
        <w:rPr>
          <w:rFonts w:ascii="Arial" w:hAnsi="Arial" w:cs="Arial"/>
          <w:sz w:val="24"/>
          <w:szCs w:val="24"/>
          <w:lang w:eastAsia="es-MX"/>
        </w:rPr>
        <w:t xml:space="preserve">, Diputada de la </w:t>
      </w:r>
      <w:r w:rsidRPr="00B6590C">
        <w:rPr>
          <w:rFonts w:ascii="Arial" w:hAnsi="Arial" w:cs="Arial"/>
          <w:sz w:val="24"/>
          <w:szCs w:val="24"/>
        </w:rPr>
        <w:t xml:space="preserve">Sexagésima Séptima Legislatura del H. Congreso del Estado e integrante del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</w:t>
      </w:r>
      <w:r w:rsidRPr="00801A4A">
        <w:rPr>
          <w:rFonts w:ascii="Arial" w:hAnsi="Arial" w:cs="Arial"/>
          <w:b/>
          <w:sz w:val="24"/>
          <w:szCs w:val="24"/>
        </w:rPr>
        <w:t>iniciativa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Pr="00801A4A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801A4A">
        <w:rPr>
          <w:rFonts w:ascii="Arial" w:hAnsi="Arial" w:cs="Arial"/>
          <w:b/>
          <w:sz w:val="24"/>
          <w:szCs w:val="24"/>
        </w:rPr>
        <w:t>on carácter de Decreto</w:t>
      </w:r>
      <w:r>
        <w:rPr>
          <w:rFonts w:ascii="Arial" w:hAnsi="Arial" w:cs="Arial"/>
          <w:b/>
        </w:rPr>
        <w:t xml:space="preserve"> </w:t>
      </w:r>
      <w:r w:rsidRPr="00801A4A">
        <w:rPr>
          <w:rFonts w:ascii="Arial" w:hAnsi="Arial" w:cs="Arial"/>
          <w:b/>
          <w:sz w:val="24"/>
          <w:szCs w:val="24"/>
        </w:rPr>
        <w:t>para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="00701E26" w:rsidRPr="00701E26">
        <w:rPr>
          <w:rFonts w:ascii="Arial" w:hAnsi="Arial" w:cs="Arial"/>
          <w:b/>
          <w:sz w:val="24"/>
          <w:szCs w:val="24"/>
        </w:rPr>
        <w:t>reformar la fracción XXVIII del artículo 20 de la Ley de Víctimas para el Estado de Chihuahua</w:t>
      </w:r>
      <w:r>
        <w:rPr>
          <w:rFonts w:ascii="Arial" w:hAnsi="Arial" w:cs="Arial"/>
          <w:sz w:val="24"/>
          <w:szCs w:val="24"/>
        </w:rPr>
        <w:t xml:space="preserve">, de acuerdo a </w:t>
      </w:r>
      <w:r w:rsidRPr="00B6590C">
        <w:rPr>
          <w:rFonts w:ascii="Arial" w:hAnsi="Arial" w:cs="Arial"/>
          <w:sz w:val="24"/>
          <w:szCs w:val="24"/>
        </w:rPr>
        <w:t xml:space="preserve"> la siguiente:</w:t>
      </w:r>
    </w:p>
    <w:p w14:paraId="55A93C60" w14:textId="77777777" w:rsidR="00B40D74" w:rsidRDefault="00B40D74" w:rsidP="00936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7E1740" w14:textId="77777777" w:rsidR="00936067" w:rsidRPr="00B6590C" w:rsidRDefault="00936067" w:rsidP="00936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ECD0F" w14:textId="77777777" w:rsidR="00936067" w:rsidRPr="00936067" w:rsidRDefault="00936067" w:rsidP="0093606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021DBE5A" w14:textId="77777777" w:rsidR="00DB3A9F" w:rsidRDefault="00DB3A9F"/>
    <w:p w14:paraId="4A1C2696" w14:textId="77777777" w:rsidR="004C2362" w:rsidRDefault="004C2362" w:rsidP="00B40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1E9">
        <w:rPr>
          <w:rFonts w:ascii="Arial" w:hAnsi="Arial" w:cs="Arial"/>
          <w:sz w:val="24"/>
          <w:szCs w:val="24"/>
        </w:rPr>
        <w:t xml:space="preserve">La Ley General de Víctimas fue publicada en el Diario Oficial de la Federación el 9 de enero de 2013, después de un complejo proceso político y jurisdiccional, y como resultado de uno de los movimientos sociales más trascendentes de los últimos tiempos, </w:t>
      </w:r>
      <w:r w:rsidR="009201E9" w:rsidRPr="009201E9">
        <w:rPr>
          <w:rFonts w:ascii="Arial" w:hAnsi="Arial" w:cs="Arial"/>
          <w:sz w:val="24"/>
          <w:szCs w:val="24"/>
        </w:rPr>
        <w:t xml:space="preserve">el cual se conformó con </w:t>
      </w:r>
      <w:r w:rsidR="009201E9" w:rsidRPr="009201E9">
        <w:rPr>
          <w:rFonts w:ascii="Arial" w:hAnsi="Arial" w:cs="Arial"/>
          <w:sz w:val="24"/>
          <w:szCs w:val="24"/>
          <w:shd w:val="clear" w:color="auto" w:fill="FFFFFF"/>
        </w:rPr>
        <w:t xml:space="preserve">las miles de personas en situación de víctimas integradas en colectivos, familiares de víctimas de delitos,  con el apoyo de organizaciones de defensores de derechos humanos, instituciones, poderes públicos y otros sectores sociales y académicos, </w:t>
      </w:r>
      <w:r w:rsidRPr="009201E9">
        <w:rPr>
          <w:rFonts w:ascii="Arial" w:hAnsi="Arial" w:cs="Arial"/>
          <w:sz w:val="24"/>
          <w:szCs w:val="24"/>
        </w:rPr>
        <w:t>que se organizaron en torno a una demanda y exigencia fundamental: paz con justicia y dignidad.</w:t>
      </w:r>
    </w:p>
    <w:p w14:paraId="3501228F" w14:textId="77777777" w:rsidR="009977D8" w:rsidRDefault="009977D8" w:rsidP="00B40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 de Víctimas para el Estado de Chihuahua fue publicada en el Periódico Oficial del Estado el 27 de febrero del 2016.</w:t>
      </w:r>
    </w:p>
    <w:p w14:paraId="5EC1F894" w14:textId="26B5EA4B" w:rsidR="00B40D74" w:rsidRPr="00411013" w:rsidRDefault="00411013" w:rsidP="00B40D74">
      <w:pPr>
        <w:spacing w:line="360" w:lineRule="auto"/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  <w:r w:rsidRPr="00411013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La violencia es el “uso intencional de la fuerza física o el poder real o como amenaza contra uno mismo, una persona, grupo o comunidad que tiene como resultado la probabilidad de daño psicológico, lesiones, la muerte, privación o mal desarrollo.</w:t>
      </w:r>
    </w:p>
    <w:p w14:paraId="50983D73" w14:textId="2BE9F75E" w:rsidR="00B40D74" w:rsidRDefault="00411013" w:rsidP="00B40D7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1013">
        <w:rPr>
          <w:rFonts w:ascii="Arial" w:hAnsi="Arial" w:cs="Arial"/>
          <w:sz w:val="24"/>
          <w:szCs w:val="24"/>
          <w:shd w:val="clear" w:color="auto" w:fill="FFFFFF"/>
        </w:rPr>
        <w:t>La violencia tiene enormes consecuencias en lo social y en la salud. La violencia provoca muchas muertes todos los días, particularmente entre hombres jóvenes y niños. Además de este índice de muertes, un alto número de hombres, mujeres, niños y niñas sufren lesiones, discapacidad o problemas de salud como resultado de la violencia.</w:t>
      </w:r>
    </w:p>
    <w:p w14:paraId="1ADDEF4A" w14:textId="49C3ACDC" w:rsidR="00B40D74" w:rsidRDefault="00094870" w:rsidP="00B40D7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4870">
        <w:rPr>
          <w:rFonts w:ascii="Arial" w:hAnsi="Arial" w:cs="Arial"/>
          <w:sz w:val="24"/>
          <w:szCs w:val="24"/>
          <w:shd w:val="clear" w:color="auto" w:fill="FFFFFF"/>
        </w:rPr>
        <w:t>Como se advierte de la Encuesta Nacional de Victimización y Percepción sobre Seguridad Pública (ENVIPE) 2022, durante dicho ejercicio se contabilizaron en el país 22.1 millones de víctimas; la prevalencia delictiva en hombres fue 8% mayor que la estimada para mujeres</w:t>
      </w:r>
      <w:r w:rsidR="00007B0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02C048A" w14:textId="72CB5A59" w:rsidR="00B40D74" w:rsidRPr="00B40D74" w:rsidRDefault="00007B07" w:rsidP="00B40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D74">
        <w:rPr>
          <w:rFonts w:ascii="Arial" w:hAnsi="Arial" w:cs="Arial"/>
          <w:sz w:val="24"/>
          <w:szCs w:val="24"/>
        </w:rPr>
        <w:t>Y es que el año pasado, en el país se cometieron </w:t>
      </w:r>
      <w:r w:rsidRPr="00B40D74">
        <w:rPr>
          <w:rFonts w:ascii="Arial" w:hAnsi="Arial" w:cs="Arial"/>
          <w:bCs/>
          <w:sz w:val="24"/>
          <w:szCs w:val="24"/>
        </w:rPr>
        <w:t>28.1 millones de delitos</w:t>
      </w:r>
      <w:r w:rsidRPr="00B40D74">
        <w:rPr>
          <w:rFonts w:ascii="Arial" w:hAnsi="Arial" w:cs="Arial"/>
          <w:sz w:val="24"/>
          <w:szCs w:val="24"/>
        </w:rPr>
        <w:t>, asociados a</w:t>
      </w:r>
      <w:r w:rsidRPr="00B40D74">
        <w:rPr>
          <w:rFonts w:ascii="Arial" w:hAnsi="Arial" w:cs="Arial"/>
          <w:bCs/>
          <w:sz w:val="24"/>
          <w:szCs w:val="24"/>
        </w:rPr>
        <w:t> 22.1 millones de víctimas</w:t>
      </w:r>
      <w:r w:rsidRPr="00B40D74">
        <w:rPr>
          <w:rFonts w:ascii="Arial" w:hAnsi="Arial" w:cs="Arial"/>
          <w:sz w:val="24"/>
          <w:szCs w:val="24"/>
        </w:rPr>
        <w:t>, lo que representa una tasa de</w:t>
      </w:r>
      <w:r w:rsidRPr="00B40D74">
        <w:rPr>
          <w:rFonts w:ascii="Arial" w:hAnsi="Arial" w:cs="Arial"/>
          <w:b/>
          <w:bCs/>
          <w:sz w:val="24"/>
          <w:szCs w:val="24"/>
        </w:rPr>
        <w:t> </w:t>
      </w:r>
      <w:r w:rsidRPr="00B40D74">
        <w:rPr>
          <w:rFonts w:ascii="Arial" w:hAnsi="Arial" w:cs="Arial"/>
          <w:bCs/>
          <w:sz w:val="24"/>
          <w:szCs w:val="24"/>
        </w:rPr>
        <w:t>24,207 víctimas</w:t>
      </w:r>
      <w:r w:rsidRPr="00B40D74">
        <w:rPr>
          <w:rFonts w:ascii="Arial" w:hAnsi="Arial" w:cs="Arial"/>
          <w:b/>
          <w:bCs/>
          <w:sz w:val="24"/>
          <w:szCs w:val="24"/>
        </w:rPr>
        <w:t> </w:t>
      </w:r>
      <w:r w:rsidRPr="00B40D74">
        <w:rPr>
          <w:rFonts w:ascii="Arial" w:hAnsi="Arial" w:cs="Arial"/>
          <w:sz w:val="24"/>
          <w:szCs w:val="24"/>
        </w:rPr>
        <w:t>por cada 100,000 habitantes.</w:t>
      </w:r>
    </w:p>
    <w:p w14:paraId="4CA59FDF" w14:textId="7E55EDC8" w:rsidR="00B40D74" w:rsidRPr="008F7713" w:rsidRDefault="00007B07" w:rsidP="00B40D7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0D74">
        <w:rPr>
          <w:rFonts w:ascii="Arial" w:hAnsi="Arial" w:cs="Arial"/>
          <w:sz w:val="24"/>
          <w:szCs w:val="24"/>
        </w:rPr>
        <w:t xml:space="preserve">La encuesta reveló, además, que </w:t>
      </w:r>
      <w:r w:rsidRPr="00B40D74">
        <w:rPr>
          <w:rFonts w:ascii="Arial" w:hAnsi="Arial" w:cs="Arial"/>
          <w:bCs/>
          <w:sz w:val="24"/>
          <w:szCs w:val="24"/>
        </w:rPr>
        <w:t>el 29% de los hogares del país tuvo a una o uno de sus integrantes como víctima del delito.</w:t>
      </w:r>
    </w:p>
    <w:p w14:paraId="08F310D9" w14:textId="77777777" w:rsidR="00007B07" w:rsidRPr="00B40D74" w:rsidRDefault="00007B07" w:rsidP="00B40D7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0D74">
        <w:rPr>
          <w:rFonts w:ascii="Arial" w:hAnsi="Arial" w:cs="Arial"/>
          <w:sz w:val="24"/>
          <w:szCs w:val="24"/>
        </w:rPr>
        <w:t>El delito más frecuente fue el</w:t>
      </w:r>
      <w:r w:rsidRPr="00B40D74">
        <w:rPr>
          <w:rFonts w:ascii="Arial" w:hAnsi="Arial" w:cs="Arial"/>
          <w:b/>
          <w:bCs/>
          <w:sz w:val="24"/>
          <w:szCs w:val="24"/>
        </w:rPr>
        <w:t> </w:t>
      </w:r>
      <w:r w:rsidRPr="00B40D74">
        <w:rPr>
          <w:rFonts w:ascii="Arial" w:hAnsi="Arial" w:cs="Arial"/>
          <w:bCs/>
          <w:sz w:val="24"/>
          <w:szCs w:val="24"/>
        </w:rPr>
        <w:t>robo o asalto en calle o transporte público</w:t>
      </w:r>
      <w:r w:rsidRPr="00B40D74">
        <w:rPr>
          <w:rFonts w:ascii="Arial" w:hAnsi="Arial" w:cs="Arial"/>
          <w:sz w:val="24"/>
          <w:szCs w:val="24"/>
        </w:rPr>
        <w:t>, con una tasa de 21.4%, seguido de fraude, con 19.2%.</w:t>
      </w:r>
    </w:p>
    <w:p w14:paraId="6FD9F858" w14:textId="77777777" w:rsidR="00094870" w:rsidRDefault="00182796" w:rsidP="00B40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de la Encuesta Nacional de Seguridad Pública U</w:t>
      </w:r>
      <w:r w:rsidRPr="00094870">
        <w:rPr>
          <w:rFonts w:ascii="Arial" w:hAnsi="Arial" w:cs="Arial"/>
          <w:sz w:val="24"/>
          <w:szCs w:val="24"/>
        </w:rPr>
        <w:t xml:space="preserve">rbana </w:t>
      </w:r>
      <w:r>
        <w:rPr>
          <w:rFonts w:ascii="Arial" w:hAnsi="Arial" w:cs="Arial"/>
          <w:sz w:val="24"/>
          <w:szCs w:val="24"/>
        </w:rPr>
        <w:t xml:space="preserve">en el </w:t>
      </w:r>
      <w:r w:rsidRPr="00094870">
        <w:rPr>
          <w:rFonts w:ascii="Arial" w:hAnsi="Arial" w:cs="Arial"/>
          <w:sz w:val="24"/>
          <w:szCs w:val="24"/>
        </w:rPr>
        <w:t xml:space="preserve">primer trimestre de </w:t>
      </w:r>
      <w:r>
        <w:rPr>
          <w:rFonts w:ascii="Arial" w:hAnsi="Arial" w:cs="Arial"/>
          <w:sz w:val="24"/>
          <w:szCs w:val="24"/>
        </w:rPr>
        <w:t xml:space="preserve">2023, nos indica </w:t>
      </w:r>
      <w:proofErr w:type="gramStart"/>
      <w:r>
        <w:rPr>
          <w:rFonts w:ascii="Arial" w:hAnsi="Arial" w:cs="Arial"/>
          <w:sz w:val="24"/>
          <w:szCs w:val="24"/>
        </w:rPr>
        <w:t>que  a</w:t>
      </w:r>
      <w:proofErr w:type="gramEnd"/>
      <w:r w:rsidR="00094870" w:rsidRPr="00094870">
        <w:rPr>
          <w:rFonts w:ascii="Arial" w:hAnsi="Arial" w:cs="Arial"/>
          <w:sz w:val="24"/>
          <w:szCs w:val="24"/>
        </w:rPr>
        <w:t xml:space="preserve"> nivel nacional, en marzo de 2023, 62.1 % de la población de 18 años y más conside</w:t>
      </w:r>
      <w:r>
        <w:rPr>
          <w:rFonts w:ascii="Arial" w:hAnsi="Arial" w:cs="Arial"/>
          <w:sz w:val="24"/>
          <w:szCs w:val="24"/>
        </w:rPr>
        <w:t xml:space="preserve">ró inseguro vivir en su ciudad., mientras que el </w:t>
      </w:r>
      <w:r w:rsidR="00094870" w:rsidRPr="00094870">
        <w:rPr>
          <w:rFonts w:ascii="Arial" w:hAnsi="Arial" w:cs="Arial"/>
          <w:sz w:val="24"/>
          <w:szCs w:val="24"/>
        </w:rPr>
        <w:t>68.1 % de las mujeres y 54.8 % de los hombres consideraron inseguro vivir en su ciudad.</w:t>
      </w:r>
    </w:p>
    <w:p w14:paraId="1D824B44" w14:textId="70F674D8" w:rsidR="00007B07" w:rsidRDefault="00007B07" w:rsidP="00B40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2016 y febrero </w:t>
      </w:r>
      <w:r w:rsidR="008F7713">
        <w:rPr>
          <w:rFonts w:ascii="Arial" w:hAnsi="Arial" w:cs="Arial"/>
          <w:sz w:val="24"/>
          <w:szCs w:val="24"/>
        </w:rPr>
        <w:t>del presente</w:t>
      </w:r>
      <w:r>
        <w:rPr>
          <w:rFonts w:ascii="Arial" w:hAnsi="Arial" w:cs="Arial"/>
          <w:sz w:val="24"/>
          <w:szCs w:val="24"/>
        </w:rPr>
        <w:t xml:space="preserve"> año, al día 2.19 personas migrantes han sido víctimas de algún crimen, en su paso por el país, según datos de la Unidad de Política Migrante, Registro e Identidad de personas de la Secretaría de Gobernación.</w:t>
      </w:r>
    </w:p>
    <w:p w14:paraId="2E80187D" w14:textId="77777777" w:rsidR="00007B07" w:rsidRDefault="00007B07" w:rsidP="00B40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acuerdo con la información registrada en las estaciones migratorias, a lo largo de ese periodo hubo un total de 5,745 personas que declararon haber sido víctimas de algún delito en territorio mexicano.</w:t>
      </w:r>
    </w:p>
    <w:p w14:paraId="2245FE6F" w14:textId="64748D38" w:rsidR="00094870" w:rsidRDefault="00DB4146" w:rsidP="00B40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delito que más se cometió contra los migrantes fue el robo, que fue señalado por 2,697 de las víctimas, en segundo </w:t>
      </w:r>
      <w:r w:rsidR="008F7713">
        <w:rPr>
          <w:rFonts w:ascii="Arial" w:hAnsi="Arial" w:cs="Arial"/>
          <w:sz w:val="24"/>
          <w:szCs w:val="24"/>
        </w:rPr>
        <w:t>lugar,</w:t>
      </w:r>
      <w:r>
        <w:rPr>
          <w:rFonts w:ascii="Arial" w:hAnsi="Arial" w:cs="Arial"/>
          <w:sz w:val="24"/>
          <w:szCs w:val="24"/>
        </w:rPr>
        <w:t xml:space="preserve"> se ubicó el tráfico ilícito de migrantes, denunciado por 1,861 víctimas, en tercer </w:t>
      </w:r>
      <w:r w:rsidR="008F7713">
        <w:rPr>
          <w:rFonts w:ascii="Arial" w:hAnsi="Arial" w:cs="Arial"/>
          <w:sz w:val="24"/>
          <w:szCs w:val="24"/>
        </w:rPr>
        <w:t>lugar,</w:t>
      </w:r>
      <w:r>
        <w:rPr>
          <w:rFonts w:ascii="Arial" w:hAnsi="Arial" w:cs="Arial"/>
          <w:sz w:val="24"/>
          <w:szCs w:val="24"/>
        </w:rPr>
        <w:t xml:space="preserve"> el delito más denunciado fue el secuestro, señalado por 551 víctimas.</w:t>
      </w:r>
    </w:p>
    <w:p w14:paraId="53F643E7" w14:textId="665A9A19" w:rsidR="00331FFA" w:rsidRPr="008F7713" w:rsidRDefault="00411013" w:rsidP="008F771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1013">
        <w:rPr>
          <w:rFonts w:ascii="Arial" w:hAnsi="Arial" w:cs="Arial"/>
          <w:sz w:val="24"/>
          <w:szCs w:val="24"/>
          <w:shd w:val="clear" w:color="auto" w:fill="FFFFFF"/>
        </w:rPr>
        <w:t>Para determinar estrategias de salida de la situación de violencia es importante realizar y tener en cuenta diagnósticos, esto para conocer los </w:t>
      </w:r>
      <w:r w:rsidRPr="00411013">
        <w:rPr>
          <w:rFonts w:ascii="Arial" w:hAnsi="Arial" w:cs="Arial"/>
          <w:sz w:val="24"/>
          <w:szCs w:val="24"/>
        </w:rPr>
        <w:t>recursos personales de las víctimas, capacidad de enfrentar estas situaciones, evaluación del daño, evaluación de estado emocional, factores protectores, factores de vulnerabilidad</w:t>
      </w:r>
      <w:r w:rsidRPr="00411013">
        <w:rPr>
          <w:rFonts w:ascii="Arial" w:hAnsi="Arial" w:cs="Arial"/>
          <w:sz w:val="24"/>
          <w:szCs w:val="24"/>
          <w:shd w:val="clear" w:color="auto" w:fill="FFFFFF"/>
        </w:rPr>
        <w:t>, entre otros.</w:t>
      </w:r>
    </w:p>
    <w:p w14:paraId="2997D9B3" w14:textId="77777777" w:rsidR="008E5812" w:rsidRPr="0012700F" w:rsidRDefault="008E5812" w:rsidP="008E581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2700F">
        <w:rPr>
          <w:rFonts w:ascii="Arial" w:eastAsia="Calibri" w:hAnsi="Arial" w:cs="Arial"/>
          <w:sz w:val="24"/>
          <w:szCs w:val="24"/>
        </w:rPr>
        <w:t xml:space="preserve">En vista de las razones expuestas me permito someter a su consideración </w:t>
      </w:r>
      <w:r>
        <w:rPr>
          <w:rFonts w:ascii="Arial" w:eastAsia="Calibri" w:hAnsi="Arial" w:cs="Arial"/>
          <w:sz w:val="24"/>
          <w:szCs w:val="24"/>
        </w:rPr>
        <w:t>el siguiente proyecto de:</w:t>
      </w:r>
    </w:p>
    <w:p w14:paraId="41876744" w14:textId="77777777" w:rsidR="008E5812" w:rsidRPr="0012700F" w:rsidRDefault="008E5812" w:rsidP="008E58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91813C" w14:textId="77777777" w:rsidR="008E5812" w:rsidRPr="0012700F" w:rsidRDefault="008E5812" w:rsidP="008E58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 E C R E T O</w:t>
      </w:r>
    </w:p>
    <w:p w14:paraId="231792FF" w14:textId="77777777" w:rsidR="008E5812" w:rsidRPr="0012700F" w:rsidRDefault="008E5812" w:rsidP="008E58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EB15F2" w14:textId="3CD69B7B" w:rsidR="00141613" w:rsidRPr="008F7713" w:rsidRDefault="008E5812" w:rsidP="001D79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PRIMERO</w:t>
      </w:r>
      <w:r w:rsidRPr="0091211D">
        <w:rPr>
          <w:rFonts w:ascii="Arial" w:hAnsi="Arial" w:cs="Arial"/>
          <w:b/>
          <w:sz w:val="24"/>
          <w:szCs w:val="24"/>
        </w:rPr>
        <w:t xml:space="preserve">. </w:t>
      </w:r>
      <w:r w:rsidR="00B40D74">
        <w:rPr>
          <w:rFonts w:ascii="Arial" w:hAnsi="Arial" w:cs="Arial"/>
          <w:sz w:val="24"/>
          <w:szCs w:val="24"/>
        </w:rPr>
        <w:t>Se reforma</w:t>
      </w:r>
      <w:r>
        <w:rPr>
          <w:rFonts w:ascii="Arial" w:hAnsi="Arial" w:cs="Arial"/>
          <w:sz w:val="24"/>
          <w:szCs w:val="24"/>
        </w:rPr>
        <w:t xml:space="preserve"> la fracción </w:t>
      </w:r>
      <w:r w:rsidR="00B40D74">
        <w:rPr>
          <w:rFonts w:ascii="Arial" w:hAnsi="Arial" w:cs="Arial"/>
          <w:sz w:val="24"/>
          <w:szCs w:val="24"/>
        </w:rPr>
        <w:t>XXVIII del artículo 20</w:t>
      </w:r>
      <w:r>
        <w:rPr>
          <w:rFonts w:ascii="Arial" w:hAnsi="Arial" w:cs="Arial"/>
          <w:sz w:val="24"/>
          <w:szCs w:val="24"/>
        </w:rPr>
        <w:t xml:space="preserve"> </w:t>
      </w:r>
      <w:r w:rsidRPr="0091211D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Ley</w:t>
      </w:r>
      <w:r w:rsidR="00C97B56">
        <w:rPr>
          <w:rFonts w:ascii="Arial" w:hAnsi="Arial" w:cs="Arial"/>
          <w:sz w:val="24"/>
          <w:szCs w:val="24"/>
        </w:rPr>
        <w:t xml:space="preserve"> de Víctimas para el Estado de Chihuahua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>para quedar redactado</w:t>
      </w:r>
      <w:r w:rsidRPr="0091211D">
        <w:rPr>
          <w:rFonts w:ascii="Arial" w:hAnsi="Arial" w:cs="Arial"/>
          <w:sz w:val="24"/>
          <w:szCs w:val="24"/>
        </w:rPr>
        <w:t xml:space="preserve"> de la siguiente manera:</w:t>
      </w:r>
    </w:p>
    <w:p w14:paraId="4BB5E80A" w14:textId="77777777" w:rsidR="00FE31B8" w:rsidRDefault="00FE31B8" w:rsidP="001D79AE">
      <w:pPr>
        <w:spacing w:line="360" w:lineRule="auto"/>
        <w:rPr>
          <w:lang w:val="es-ES"/>
        </w:rPr>
      </w:pPr>
    </w:p>
    <w:p w14:paraId="1C939CAE" w14:textId="77777777" w:rsidR="00FE31B8" w:rsidRPr="00B40D74" w:rsidRDefault="00FE31B8" w:rsidP="001D79A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0D74">
        <w:rPr>
          <w:rFonts w:ascii="Arial" w:eastAsia="Calibri" w:hAnsi="Arial" w:cs="Arial"/>
          <w:b/>
          <w:sz w:val="24"/>
          <w:szCs w:val="24"/>
        </w:rPr>
        <w:t>Artículo 20.</w:t>
      </w:r>
      <w:r w:rsidRPr="00B40D74">
        <w:rPr>
          <w:rFonts w:ascii="Arial" w:eastAsia="Calibri" w:hAnsi="Arial" w:cs="Arial"/>
          <w:sz w:val="24"/>
          <w:szCs w:val="24"/>
        </w:rPr>
        <w:t xml:space="preserve"> </w:t>
      </w:r>
      <w:r w:rsidRPr="00B40D74">
        <w:rPr>
          <w:rFonts w:ascii="Arial" w:eastAsia="Calibri" w:hAnsi="Arial" w:cs="Arial"/>
          <w:b/>
          <w:sz w:val="24"/>
          <w:szCs w:val="24"/>
        </w:rPr>
        <w:t>Atribuciones de la Comisión Ejecutiva.</w:t>
      </w:r>
    </w:p>
    <w:p w14:paraId="65EE78E7" w14:textId="77777777" w:rsidR="00FE31B8" w:rsidRPr="00B40D74" w:rsidRDefault="00FE31B8" w:rsidP="001D79A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0D74">
        <w:rPr>
          <w:rFonts w:ascii="Arial" w:eastAsia="Calibri" w:hAnsi="Arial" w:cs="Arial"/>
          <w:sz w:val="24"/>
          <w:szCs w:val="24"/>
        </w:rPr>
        <w:t>La Comisión Ejecutiva tendrá las siguientes atribuciones:</w:t>
      </w:r>
    </w:p>
    <w:p w14:paraId="08A130E1" w14:textId="109B5CB4" w:rsidR="00B40D74" w:rsidRPr="00B40D74" w:rsidRDefault="00B40D74" w:rsidP="001D79A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Pr="00B40D74">
        <w:rPr>
          <w:rFonts w:ascii="Arial" w:eastAsia="Calibri" w:hAnsi="Arial" w:cs="Arial"/>
          <w:sz w:val="24"/>
          <w:szCs w:val="24"/>
        </w:rPr>
        <w:t xml:space="preserve"> al XXVII ………………….</w:t>
      </w:r>
    </w:p>
    <w:p w14:paraId="2ADCDDFD" w14:textId="77777777" w:rsidR="00B40D74" w:rsidRPr="00B40D74" w:rsidRDefault="00B40D74" w:rsidP="001D79AE">
      <w:pPr>
        <w:pStyle w:val="Texto"/>
        <w:spacing w:after="40" w:line="360" w:lineRule="auto"/>
        <w:ind w:firstLine="0"/>
        <w:rPr>
          <w:b/>
          <w:sz w:val="24"/>
          <w:szCs w:val="24"/>
        </w:rPr>
      </w:pPr>
      <w:r w:rsidRPr="00B40D74">
        <w:rPr>
          <w:rFonts w:eastAsia="Calibri"/>
          <w:sz w:val="24"/>
          <w:szCs w:val="24"/>
        </w:rPr>
        <w:lastRenderedPageBreak/>
        <w:t xml:space="preserve">XXVIII. </w:t>
      </w:r>
      <w:r w:rsidRPr="00B40D74">
        <w:rPr>
          <w:b/>
          <w:sz w:val="24"/>
          <w:szCs w:val="24"/>
        </w:rPr>
        <w:t xml:space="preserve"> </w:t>
      </w:r>
      <w:r w:rsidR="00FE31B8" w:rsidRPr="00B40D74">
        <w:rPr>
          <w:rFonts w:eastAsia="Calibri"/>
          <w:sz w:val="24"/>
          <w:szCs w:val="24"/>
        </w:rPr>
        <w:t xml:space="preserve">Realizar un diagnóstico estatal que permita evaluar las problemáticas concretas </w:t>
      </w:r>
      <w:r w:rsidR="00701E26">
        <w:rPr>
          <w:rFonts w:eastAsia="Calibri"/>
          <w:b/>
          <w:sz w:val="24"/>
          <w:szCs w:val="24"/>
        </w:rPr>
        <w:t xml:space="preserve">y situaciones </w:t>
      </w:r>
      <w:proofErr w:type="spellStart"/>
      <w:r w:rsidR="00701E26">
        <w:rPr>
          <w:rFonts w:eastAsia="Calibri"/>
          <w:b/>
          <w:sz w:val="24"/>
          <w:szCs w:val="24"/>
        </w:rPr>
        <w:t>especificas</w:t>
      </w:r>
      <w:proofErr w:type="spellEnd"/>
      <w:r w:rsidR="00701E26">
        <w:rPr>
          <w:rFonts w:eastAsia="Calibri"/>
          <w:b/>
          <w:sz w:val="24"/>
          <w:szCs w:val="24"/>
        </w:rPr>
        <w:t xml:space="preserve">, </w:t>
      </w:r>
      <w:r w:rsidR="00FE31B8" w:rsidRPr="00B40D74">
        <w:rPr>
          <w:rFonts w:eastAsia="Calibri"/>
          <w:sz w:val="24"/>
          <w:szCs w:val="24"/>
        </w:rPr>
        <w:t>que enfrentan las víctimas</w:t>
      </w:r>
      <w:r w:rsidR="00701E26">
        <w:rPr>
          <w:rFonts w:eastAsia="Calibri"/>
          <w:sz w:val="24"/>
          <w:szCs w:val="24"/>
        </w:rPr>
        <w:t xml:space="preserve">, </w:t>
      </w:r>
      <w:r w:rsidR="00FE31B8" w:rsidRPr="00B40D74">
        <w:rPr>
          <w:rFonts w:eastAsia="Calibri"/>
          <w:sz w:val="24"/>
          <w:szCs w:val="24"/>
        </w:rPr>
        <w:t xml:space="preserve"> </w:t>
      </w:r>
      <w:r w:rsidR="00701E26" w:rsidRPr="00B40D74">
        <w:rPr>
          <w:b/>
          <w:sz w:val="24"/>
          <w:szCs w:val="24"/>
          <w:lang w:val="es-ES_tradnl"/>
        </w:rPr>
        <w:t>tales como niños y niñas, indígenas, migrantes, mujeres, personas con discapacidad, de delitos tales como feminicidio, violencia familiar, sexual, secuestro, homicidios o de determinadas violaciones a derechos humanos tales como desaparición forzada, ejecución arbitraria, tortura, tratos crueles, inhumanos o degradantes, detención arbitraria, entre otros</w:t>
      </w:r>
      <w:r w:rsidR="00701E26">
        <w:rPr>
          <w:b/>
          <w:sz w:val="24"/>
          <w:szCs w:val="24"/>
          <w:lang w:val="es-ES_tradnl"/>
        </w:rPr>
        <w:t xml:space="preserve">, </w:t>
      </w:r>
      <w:r w:rsidR="00FE31B8" w:rsidRPr="00B40D74">
        <w:rPr>
          <w:rFonts w:eastAsia="Calibri"/>
          <w:sz w:val="24"/>
          <w:szCs w:val="24"/>
        </w:rPr>
        <w:t>en términos de prevención del delito o de violaciones a los derechos humanos, atención, asistencia, acceso a la justicia, derecho a la verdad</w:t>
      </w:r>
      <w:r w:rsidRPr="00B40D74">
        <w:rPr>
          <w:rFonts w:eastAsia="Calibri"/>
          <w:sz w:val="24"/>
          <w:szCs w:val="24"/>
        </w:rPr>
        <w:t xml:space="preserve"> y reparación integral del daño, </w:t>
      </w:r>
    </w:p>
    <w:p w14:paraId="763CF9DD" w14:textId="77777777" w:rsidR="00FE31B8" w:rsidRPr="00B40D74" w:rsidRDefault="00FE31B8" w:rsidP="001D79AE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4A9404" w14:textId="77777777" w:rsidR="00B40D74" w:rsidRPr="00B40D74" w:rsidRDefault="00B40D74" w:rsidP="001D79AE">
      <w:pPr>
        <w:pStyle w:val="Prrafodelista"/>
        <w:spacing w:line="36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741D1353" w14:textId="0D67D2BA" w:rsidR="00B40D74" w:rsidRPr="00B40D74" w:rsidRDefault="00B40D74" w:rsidP="001D79AE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701E26">
        <w:rPr>
          <w:rFonts w:ascii="Arial" w:eastAsia="Calibri" w:hAnsi="Arial" w:cs="Arial"/>
          <w:sz w:val="24"/>
          <w:szCs w:val="24"/>
        </w:rPr>
        <w:t>XXIX al XXXVIII ……………………</w:t>
      </w:r>
    </w:p>
    <w:p w14:paraId="1A7B47FF" w14:textId="77777777" w:rsidR="00FE31B8" w:rsidRPr="004714E0" w:rsidRDefault="00FE31B8" w:rsidP="001D79AE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1418" w:hanging="851"/>
        <w:jc w:val="both"/>
        <w:rPr>
          <w:rFonts w:ascii="Arial" w:eastAsia="Calibri" w:hAnsi="Arial" w:cs="Arial"/>
        </w:rPr>
      </w:pPr>
    </w:p>
    <w:p w14:paraId="0685CA65" w14:textId="77777777" w:rsidR="00C97B56" w:rsidRPr="00FE31B8" w:rsidRDefault="00C97B56" w:rsidP="001D79AE">
      <w:pPr>
        <w:spacing w:line="360" w:lineRule="auto"/>
      </w:pPr>
    </w:p>
    <w:p w14:paraId="55B2467A" w14:textId="77777777" w:rsidR="008E5812" w:rsidRPr="0012700F" w:rsidRDefault="008E5812" w:rsidP="008E58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TRANSITORIO</w:t>
      </w:r>
    </w:p>
    <w:p w14:paraId="3346A298" w14:textId="77777777" w:rsidR="008E5812" w:rsidRPr="0012700F" w:rsidRDefault="008E5812" w:rsidP="008E58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EAC32C" w14:textId="18AAF795" w:rsidR="008E5812" w:rsidRDefault="001D79AE" w:rsidP="008E58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UNICO. -</w:t>
      </w:r>
      <w:r w:rsidR="008E5812" w:rsidRPr="0012700F">
        <w:rPr>
          <w:rFonts w:ascii="Arial" w:hAnsi="Arial" w:cs="Arial"/>
          <w:b/>
          <w:sz w:val="24"/>
          <w:szCs w:val="24"/>
        </w:rPr>
        <w:t xml:space="preserve"> </w:t>
      </w:r>
      <w:r w:rsidR="008E5812" w:rsidRPr="0012700F">
        <w:rPr>
          <w:rFonts w:ascii="Arial" w:hAnsi="Arial" w:cs="Arial"/>
          <w:sz w:val="24"/>
          <w:szCs w:val="24"/>
        </w:rPr>
        <w:t>El presente decreto entrara en vigor al día siguiente de su publicación en el Periódico Oficial de Estado.</w:t>
      </w:r>
    </w:p>
    <w:p w14:paraId="29393C1E" w14:textId="77777777" w:rsidR="001D79AE" w:rsidRPr="0012700F" w:rsidRDefault="001D79AE" w:rsidP="008E58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4E2648" w14:textId="2786D98C" w:rsidR="008E5812" w:rsidRPr="0012700F" w:rsidRDefault="008E5812" w:rsidP="008E58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sz w:val="24"/>
          <w:szCs w:val="24"/>
        </w:rPr>
        <w:t>Dado en el Palacio del Poder Legislativo, en la Ciuda</w:t>
      </w:r>
      <w:r>
        <w:rPr>
          <w:rFonts w:ascii="Arial" w:hAnsi="Arial" w:cs="Arial"/>
          <w:sz w:val="24"/>
          <w:szCs w:val="24"/>
        </w:rPr>
        <w:t xml:space="preserve">d de Chihuahua, </w:t>
      </w:r>
      <w:proofErr w:type="spellStart"/>
      <w:r>
        <w:rPr>
          <w:rFonts w:ascii="Arial" w:hAnsi="Arial" w:cs="Arial"/>
          <w:sz w:val="24"/>
          <w:szCs w:val="24"/>
        </w:rPr>
        <w:t>Chih</w:t>
      </w:r>
      <w:proofErr w:type="spellEnd"/>
      <w:r>
        <w:rPr>
          <w:rFonts w:ascii="Arial" w:hAnsi="Arial" w:cs="Arial"/>
          <w:sz w:val="24"/>
          <w:szCs w:val="24"/>
        </w:rPr>
        <w:t xml:space="preserve">, a los </w:t>
      </w:r>
      <w:r w:rsidR="001D79AE">
        <w:rPr>
          <w:rFonts w:ascii="Arial" w:hAnsi="Arial" w:cs="Arial"/>
          <w:sz w:val="24"/>
          <w:szCs w:val="24"/>
        </w:rPr>
        <w:t>veintitrés</w:t>
      </w:r>
      <w:r>
        <w:rPr>
          <w:rFonts w:ascii="Arial" w:hAnsi="Arial" w:cs="Arial"/>
          <w:sz w:val="24"/>
          <w:szCs w:val="24"/>
        </w:rPr>
        <w:t xml:space="preserve"> días del mes de junio del año dos mil veintitrés</w:t>
      </w:r>
      <w:r w:rsidRPr="0012700F">
        <w:rPr>
          <w:rFonts w:ascii="Arial" w:hAnsi="Arial" w:cs="Arial"/>
          <w:sz w:val="24"/>
          <w:szCs w:val="24"/>
        </w:rPr>
        <w:t>.</w:t>
      </w:r>
      <w:r w:rsidR="001D79AE">
        <w:rPr>
          <w:rFonts w:ascii="Arial" w:hAnsi="Arial" w:cs="Arial"/>
          <w:sz w:val="24"/>
          <w:szCs w:val="24"/>
        </w:rPr>
        <w:t xml:space="preserve"> </w:t>
      </w:r>
    </w:p>
    <w:p w14:paraId="311F73F2" w14:textId="77777777" w:rsidR="008E5812" w:rsidRPr="0012700F" w:rsidRDefault="008E5812" w:rsidP="008E58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AFD1F3" w14:textId="77777777" w:rsidR="008E5812" w:rsidRPr="0012700F" w:rsidRDefault="008E5812" w:rsidP="008E581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16123F" w14:textId="77777777" w:rsidR="008E5812" w:rsidRPr="0012700F" w:rsidRDefault="008E5812" w:rsidP="008E58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DIPUTADA ANA GEORGINA ZAPATA LUCERO</w:t>
      </w:r>
    </w:p>
    <w:p w14:paraId="3593D87A" w14:textId="33402F59" w:rsidR="00FE31B8" w:rsidRPr="001D79AE" w:rsidRDefault="008E5812" w:rsidP="001D79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PARTIDO REVOLUCIONARIO INSTITUCIONAL</w:t>
      </w:r>
    </w:p>
    <w:sectPr w:rsidR="00FE31B8" w:rsidRPr="001D79AE" w:rsidSect="00EC5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8A3"/>
    <w:multiLevelType w:val="hybridMultilevel"/>
    <w:tmpl w:val="487E5E8E"/>
    <w:lvl w:ilvl="0" w:tplc="7E8AE4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5DDB"/>
    <w:multiLevelType w:val="hybridMultilevel"/>
    <w:tmpl w:val="5CAA47DA"/>
    <w:lvl w:ilvl="0" w:tplc="377E2F6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1F4E"/>
    <w:multiLevelType w:val="hybridMultilevel"/>
    <w:tmpl w:val="57B8BACA"/>
    <w:lvl w:ilvl="0" w:tplc="1FF8CA16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3"/>
    <w:rsid w:val="00007B07"/>
    <w:rsid w:val="00094870"/>
    <w:rsid w:val="00141613"/>
    <w:rsid w:val="00182796"/>
    <w:rsid w:val="001D79AE"/>
    <w:rsid w:val="002D73F6"/>
    <w:rsid w:val="00331FFA"/>
    <w:rsid w:val="003877C4"/>
    <w:rsid w:val="00411013"/>
    <w:rsid w:val="00444673"/>
    <w:rsid w:val="004C2362"/>
    <w:rsid w:val="00701E26"/>
    <w:rsid w:val="008E5812"/>
    <w:rsid w:val="008F7713"/>
    <w:rsid w:val="009201E9"/>
    <w:rsid w:val="00936067"/>
    <w:rsid w:val="009746D9"/>
    <w:rsid w:val="009977D8"/>
    <w:rsid w:val="00AE0653"/>
    <w:rsid w:val="00B40D74"/>
    <w:rsid w:val="00C97B56"/>
    <w:rsid w:val="00DB3A9F"/>
    <w:rsid w:val="00DB4146"/>
    <w:rsid w:val="00E4080C"/>
    <w:rsid w:val="00EC5BB3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DE29"/>
  <w15:docId w15:val="{7FB5C4AE-FA13-4071-9230-DF13934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4161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TextoCar">
    <w:name w:val="Texto Car"/>
    <w:link w:val="Texto"/>
    <w:locked/>
    <w:rsid w:val="00141613"/>
    <w:rPr>
      <w:rFonts w:ascii="Arial" w:eastAsia="Times New Roman" w:hAnsi="Arial" w:cs="Arial"/>
      <w:sz w:val="18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331F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B3A9F"/>
    <w:rPr>
      <w:color w:val="0000FF"/>
      <w:u w:val="single"/>
    </w:rPr>
  </w:style>
  <w:style w:type="paragraph" w:customStyle="1" w:styleId="jsx-3954459878">
    <w:name w:val="jsx-3954459878"/>
    <w:basedOn w:val="Normal"/>
    <w:rsid w:val="0000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4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Sarahi Gonzalez Dominguez</cp:lastModifiedBy>
  <cp:revision>2</cp:revision>
  <dcterms:created xsi:type="dcterms:W3CDTF">2023-07-18T19:57:00Z</dcterms:created>
  <dcterms:modified xsi:type="dcterms:W3CDTF">2023-07-18T19:57:00Z</dcterms:modified>
</cp:coreProperties>
</file>