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1846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color w:val="000000"/>
        </w:rPr>
        <w:t>H.</w:t>
      </w:r>
      <w:r>
        <w:rPr>
          <w:rFonts w:ascii="Century Gothic" w:eastAsia="Century Gothic" w:hAnsi="Century Gothic" w:cs="Century Gothic"/>
          <w:b/>
        </w:rPr>
        <w:t xml:space="preserve"> DIPUTACIÓN PERMANENTE</w:t>
      </w:r>
    </w:p>
    <w:p w14:paraId="5520FB7D" w14:textId="77777777" w:rsidR="00E83C7D" w:rsidRPr="005001C8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 R E S E N T E.-</w:t>
      </w:r>
    </w:p>
    <w:p w14:paraId="6D5CBDE1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Quien suscribe, </w:t>
      </w:r>
      <w:r>
        <w:rPr>
          <w:rFonts w:ascii="Century Gothic" w:eastAsia="Century Gothic" w:hAnsi="Century Gothic" w:cs="Century Gothic"/>
          <w:b/>
          <w:color w:val="000000"/>
        </w:rPr>
        <w:t xml:space="preserve">Isela Martínez Díaz, </w:t>
      </w:r>
      <w:r>
        <w:rPr>
          <w:rFonts w:ascii="Century Gothic" w:eastAsia="Century Gothic" w:hAnsi="Century Gothic" w:cs="Century Gothic"/>
          <w:color w:val="000000"/>
        </w:rPr>
        <w:t xml:space="preserve">Diputada en la Sexagésima Séptima Legislatura e integrante del Grupo Parlamentario del Partido Acción Nacional y en su representación, con fundamento en el artículo 167, fracción I de la Ley Orgánica del Poder Legislativo del Estado y los correlativos 75, </w:t>
      </w:r>
      <w:r>
        <w:rPr>
          <w:rFonts w:ascii="Century Gothic" w:eastAsia="Century Gothic" w:hAnsi="Century Gothic" w:cs="Century Gothic"/>
          <w:color w:val="000000"/>
        </w:rPr>
        <w:t xml:space="preserve">76 y 77 del Reglamento Interior y de Prácticas Parlamentarias, someto a consideración de esta Honorable Asamblea, la presente </w:t>
      </w:r>
      <w:r>
        <w:rPr>
          <w:rFonts w:ascii="Century Gothic" w:eastAsia="Century Gothic" w:hAnsi="Century Gothic" w:cs="Century Gothic"/>
          <w:b/>
          <w:i/>
          <w:color w:val="000000"/>
        </w:rPr>
        <w:t>I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>NICIATIVA CON CAR</w:t>
      </w:r>
      <w:r>
        <w:rPr>
          <w:rFonts w:ascii="Century Gothic" w:eastAsia="Century Gothic" w:hAnsi="Century Gothic" w:cs="Century Gothic"/>
          <w:b/>
          <w:i/>
          <w:highlight w:val="white"/>
        </w:rPr>
        <w:t xml:space="preserve">ÁCTER 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>DE DECRETO</w:t>
      </w:r>
      <w:r>
        <w:rPr>
          <w:rFonts w:ascii="Century Gothic" w:eastAsia="Century Gothic" w:hAnsi="Century Gothic" w:cs="Century Gothic"/>
          <w:b/>
          <w:i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>POR EL QUE SE ADICIONA LA FRACCI</w:t>
      </w:r>
      <w:r>
        <w:rPr>
          <w:rFonts w:ascii="Century Gothic" w:eastAsia="Century Gothic" w:hAnsi="Century Gothic" w:cs="Century Gothic"/>
          <w:b/>
          <w:i/>
          <w:highlight w:val="white"/>
        </w:rPr>
        <w:t xml:space="preserve">ÓN V AL ARTÍCULO 5 DE LA LEY DE DESARROLLO Y FOMENTO ECONÓMICO </w:t>
      </w:r>
      <w:r>
        <w:rPr>
          <w:rFonts w:ascii="Century Gothic" w:eastAsia="Century Gothic" w:hAnsi="Century Gothic" w:cs="Century Gothic"/>
          <w:b/>
          <w:i/>
        </w:rPr>
        <w:t xml:space="preserve">DEL ESTADO DE CHIHUAHUA, </w:t>
      </w:r>
      <w:r>
        <w:rPr>
          <w:rFonts w:ascii="Century Gothic" w:eastAsia="Century Gothic" w:hAnsi="Century Gothic" w:cs="Century Gothic"/>
        </w:rPr>
        <w:t xml:space="preserve">con el objeto de que se establezcan acciones encaminadas a la conciliación laboral-familiar, buscando el impulso del desarrollo económico a la par del desarrollo social; lo que realizo al  tenor de la siguiente: </w:t>
      </w:r>
    </w:p>
    <w:p w14:paraId="19ED47EB" w14:textId="77777777" w:rsidR="005001C8" w:rsidRDefault="005001C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3EECBA7E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>EXPOSICIÓN DE MOT</w:t>
      </w:r>
      <w:r>
        <w:rPr>
          <w:rFonts w:ascii="Century Gothic" w:eastAsia="Century Gothic" w:hAnsi="Century Gothic" w:cs="Century Gothic"/>
          <w:b/>
          <w:color w:val="000000"/>
        </w:rPr>
        <w:t>IVOS</w:t>
      </w:r>
    </w:p>
    <w:p w14:paraId="1ABB4F7D" w14:textId="77777777" w:rsidR="00E83C7D" w:rsidRDefault="00FB5626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“El desafío contemporáneo desde una mirada social, cultural, jurídica y económica, es reorientar la normalidad laboral a partir del reconocimiento de la igualdad de hombres y mujeres, potenciando también medidas que posibiliten armonizar las implicancias q</w:t>
      </w:r>
      <w:r>
        <w:rPr>
          <w:rFonts w:ascii="Century Gothic" w:eastAsia="Century Gothic" w:hAnsi="Century Gothic" w:cs="Century Gothic"/>
          <w:i/>
        </w:rPr>
        <w:t xml:space="preserve">ue para el trabajo tiene la dimensión personal y familiar de trabajadores y trabajadoras.” </w:t>
      </w:r>
      <w:r>
        <w:rPr>
          <w:rFonts w:ascii="Century Gothic" w:eastAsia="Century Gothic" w:hAnsi="Century Gothic" w:cs="Century Gothic"/>
          <w:i/>
          <w:vertAlign w:val="superscript"/>
        </w:rPr>
        <w:footnoteReference w:id="1"/>
      </w:r>
    </w:p>
    <w:p w14:paraId="1EE52E7A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lastRenderedPageBreak/>
        <w:t>El conflicto trabajo-familia ha sido definido como “una forma de conflicto inter-roles en el que las presiones de los roles de los ámbitos del trabajo y la famili</w:t>
      </w:r>
      <w:r>
        <w:rPr>
          <w:rFonts w:ascii="Century Gothic" w:eastAsia="Century Gothic" w:hAnsi="Century Gothic" w:cs="Century Gothic"/>
        </w:rPr>
        <w:t xml:space="preserve">a son incompatibles entre sí en algunos aspectos”. </w:t>
      </w:r>
      <w:r>
        <w:rPr>
          <w:rFonts w:ascii="Century Gothic" w:eastAsia="Century Gothic" w:hAnsi="Century Gothic" w:cs="Century Gothic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b/>
        </w:rPr>
        <w:tab/>
      </w:r>
    </w:p>
    <w:p w14:paraId="5934BD69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 la búsqueda por armonizar el ámbito laboral y familiar, el día 1 de junio de cada año fue declarado como el </w:t>
      </w:r>
      <w:r>
        <w:rPr>
          <w:rFonts w:ascii="Century Gothic" w:eastAsia="Century Gothic" w:hAnsi="Century Gothic" w:cs="Century Gothic"/>
          <w:i/>
        </w:rPr>
        <w:t>Día Nacional del Balance Trabajo-Familia.</w:t>
      </w:r>
      <w:r>
        <w:rPr>
          <w:rFonts w:ascii="Century Gothic" w:eastAsia="Century Gothic" w:hAnsi="Century Gothic" w:cs="Century Gothic"/>
        </w:rPr>
        <w:t xml:space="preserve"> </w:t>
      </w:r>
    </w:p>
    <w:p w14:paraId="57533CBC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 mencionado día, se conmemora como un mecanismo para sensibilizar a la comunidad empresarial, sindic</w:t>
      </w:r>
      <w:r>
        <w:rPr>
          <w:rFonts w:ascii="Century Gothic" w:eastAsia="Century Gothic" w:hAnsi="Century Gothic" w:cs="Century Gothic"/>
        </w:rPr>
        <w:t>atos e instituciones educativas para que promuevan cambios que permitan revalorar la convivencia familiar.</w:t>
      </w:r>
    </w:p>
    <w:p w14:paraId="2F4DDF1A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Así mismo, la Organización Internacional del Trabajo (OIT), dispone que, todos los seres humanos tienen derecho a alcanzar su bienestar material y su</w:t>
      </w:r>
      <w:r>
        <w:rPr>
          <w:rFonts w:ascii="Century Gothic" w:eastAsia="Century Gothic" w:hAnsi="Century Gothic" w:cs="Century Gothic"/>
        </w:rPr>
        <w:t xml:space="preserve"> desarrollo personal, en condiciones de libertad y dignidad, además de seguridad económica en igualdad de oportunidades. </w:t>
      </w:r>
    </w:p>
    <w:p w14:paraId="5974A403" w14:textId="77777777" w:rsidR="00E83C7D" w:rsidRDefault="00FB5626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Lograr una conciliación entre el ámbito laboral y familiar, contribuye a mejorar las relaciones familiares, fortaleciendo principalmen</w:t>
      </w:r>
      <w:r>
        <w:rPr>
          <w:rFonts w:ascii="Century Gothic" w:eastAsia="Century Gothic" w:hAnsi="Century Gothic" w:cs="Century Gothic"/>
        </w:rPr>
        <w:t>te los vínculos entre sus miembros, además de coadyuvar en el bienestar emocional, y su salud física y mental. Por ello es necesaria la colaboración de los distintos sectores sociales, con el objetivo de que sean implementadas políticas específicas para qu</w:t>
      </w:r>
      <w:r>
        <w:rPr>
          <w:rFonts w:ascii="Century Gothic" w:eastAsia="Century Gothic" w:hAnsi="Century Gothic" w:cs="Century Gothic"/>
        </w:rPr>
        <w:t xml:space="preserve">e cada vez sea más común conocer </w:t>
      </w:r>
      <w:r w:rsidR="00657310">
        <w:rPr>
          <w:rFonts w:ascii="Century Gothic" w:eastAsia="Century Gothic" w:hAnsi="Century Gothic" w:cs="Century Gothic"/>
        </w:rPr>
        <w:t xml:space="preserve">la aplicación </w:t>
      </w:r>
      <w:r>
        <w:rPr>
          <w:rFonts w:ascii="Century Gothic" w:eastAsia="Century Gothic" w:hAnsi="Century Gothic" w:cs="Century Gothic"/>
        </w:rPr>
        <w:t xml:space="preserve">de manera eficiente </w:t>
      </w:r>
      <w:r w:rsidR="00657310">
        <w:rPr>
          <w:rFonts w:ascii="Century Gothic" w:eastAsia="Century Gothic" w:hAnsi="Century Gothic" w:cs="Century Gothic"/>
        </w:rPr>
        <w:t xml:space="preserve">del </w:t>
      </w:r>
      <w:r>
        <w:rPr>
          <w:rFonts w:ascii="Century Gothic" w:eastAsia="Century Gothic" w:hAnsi="Century Gothic" w:cs="Century Gothic"/>
        </w:rPr>
        <w:t xml:space="preserve">equilibrio laboral-familiar. </w:t>
      </w:r>
    </w:p>
    <w:p w14:paraId="6AC4F070" w14:textId="77777777" w:rsidR="00E83C7D" w:rsidRDefault="00FB5626">
      <w:pP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ab/>
        <w:t xml:space="preserve">Las políticas de conciliación de la vida laboral y familiar que se han implementado en muchos lugares del mundo, se refieren a 3 recursos básicos: </w:t>
      </w:r>
    </w:p>
    <w:p w14:paraId="2048E15D" w14:textId="77777777" w:rsidR="00E83C7D" w:rsidRDefault="00FB5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Tiempo</w:t>
      </w:r>
      <w:r>
        <w:rPr>
          <w:rFonts w:ascii="Century Gothic" w:eastAsia="Century Gothic" w:hAnsi="Century Gothic" w:cs="Century Gothic"/>
        </w:rPr>
        <w:t xml:space="preserve">: la regulación, flexibilización y reducción del tiempo del trabajo, permisos y licencias. </w:t>
      </w:r>
    </w:p>
    <w:p w14:paraId="26FA7D2F" w14:textId="77777777" w:rsidR="00E83C7D" w:rsidRDefault="00FB56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Servicios</w:t>
      </w:r>
      <w:r>
        <w:rPr>
          <w:rFonts w:ascii="Century Gothic" w:eastAsia="Century Gothic" w:hAnsi="Century Gothic" w:cs="Century Gothic"/>
        </w:rPr>
        <w:t>: servicios de cuidado infantil y educación infantil, cuidadores profesionales en el hogar y residencias para personas ancianas o que tengan alguna depende</w:t>
      </w:r>
      <w:r>
        <w:rPr>
          <w:rFonts w:ascii="Century Gothic" w:eastAsia="Century Gothic" w:hAnsi="Century Gothic" w:cs="Century Gothic"/>
        </w:rPr>
        <w:t xml:space="preserve">ncia. </w:t>
      </w:r>
    </w:p>
    <w:p w14:paraId="72A14A17" w14:textId="77777777" w:rsidR="00E83C7D" w:rsidRDefault="00FB5626" w:rsidP="00BB0D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Prestaciones económicas</w:t>
      </w:r>
      <w:r>
        <w:rPr>
          <w:rFonts w:ascii="Century Gothic" w:eastAsia="Century Gothic" w:hAnsi="Century Gothic" w:cs="Century Gothic"/>
        </w:rPr>
        <w:t xml:space="preserve">: principalmente de seguridad social y beneficios fiscales. </w:t>
      </w:r>
      <w:r>
        <w:rPr>
          <w:rFonts w:ascii="Century Gothic" w:eastAsia="Century Gothic" w:hAnsi="Century Gothic" w:cs="Century Gothic"/>
          <w:vertAlign w:val="superscript"/>
        </w:rPr>
        <w:footnoteReference w:id="3"/>
      </w:r>
    </w:p>
    <w:p w14:paraId="30A44247" w14:textId="77777777" w:rsidR="00BB0DCE" w:rsidRPr="00BB0DCE" w:rsidRDefault="00BB0DCE" w:rsidP="00BB0DCE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both"/>
        <w:rPr>
          <w:rFonts w:ascii="Century Gothic" w:eastAsia="Century Gothic" w:hAnsi="Century Gothic" w:cs="Century Gothic"/>
        </w:rPr>
      </w:pPr>
    </w:p>
    <w:p w14:paraId="288F6341" w14:textId="77777777" w:rsidR="00E83C7D" w:rsidRDefault="00FB5626">
      <w:pP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Países de la Unión Europea ya han adoptado medidas tendientes a esta conciliación, destacando la adaptación de los horarios a las necesidades de los trabajadores y sus vidas personales, donde se ha obtenido mayor productividad de las empresas y sus emplead</w:t>
      </w:r>
      <w:r>
        <w:rPr>
          <w:rFonts w:ascii="Century Gothic" w:eastAsia="Century Gothic" w:hAnsi="Century Gothic" w:cs="Century Gothic"/>
        </w:rPr>
        <w:t xml:space="preserve">os, además de mejores condiciones, garantizando su seguridad económica y patrimonial, privilegiando el bienestar laboral y personal. Asimismo, implica también una reducción de costos para los empresarios. </w:t>
      </w:r>
    </w:p>
    <w:p w14:paraId="1FDF76B4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 importante que, para la generación de una respo</w:t>
      </w:r>
      <w:r>
        <w:rPr>
          <w:rFonts w:ascii="Century Gothic" w:eastAsia="Century Gothic" w:hAnsi="Century Gothic" w:cs="Century Gothic"/>
        </w:rPr>
        <w:t xml:space="preserve">nsabilidad social por parte de las empresas, se adopten acciones tendientes a que sus colaboradores obtengan un sano equilibrio entre el trabajo y la familia, pues principalmente con estas políticas se contribuye al apoyo de la salud mental y el bienestar </w:t>
      </w:r>
      <w:r>
        <w:rPr>
          <w:rFonts w:ascii="Century Gothic" w:eastAsia="Century Gothic" w:hAnsi="Century Gothic" w:cs="Century Gothic"/>
        </w:rPr>
        <w:t xml:space="preserve">de las familias, la prevención de adicciones, y a una mejor gestión de las responsabilidades familiares; pues es una realidad que, </w:t>
      </w:r>
      <w:r>
        <w:rPr>
          <w:rFonts w:ascii="Century Gothic" w:eastAsia="Century Gothic" w:hAnsi="Century Gothic" w:cs="Century Gothic"/>
        </w:rPr>
        <w:lastRenderedPageBreak/>
        <w:t>cuando una persona tiene la certeza de que existe un balance adecuado entre el tiempo que dedica a su trabajo y el que dedica</w:t>
      </w:r>
      <w:r>
        <w:rPr>
          <w:rFonts w:ascii="Century Gothic" w:eastAsia="Century Gothic" w:hAnsi="Century Gothic" w:cs="Century Gothic"/>
        </w:rPr>
        <w:t xml:space="preserve"> directamente a su familia, es más productiva tanto laboral como personalmente, colaborando así al bienestar social en general. </w:t>
      </w:r>
    </w:p>
    <w:p w14:paraId="5AD992CF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Aunado a lo anterior, la adopción de políticas dentro de las empresas, relativas a lograr este equilibrio al que hemos hecho me</w:t>
      </w:r>
      <w:r>
        <w:rPr>
          <w:rFonts w:ascii="Century Gothic" w:eastAsia="Century Gothic" w:hAnsi="Century Gothic" w:cs="Century Gothic"/>
        </w:rPr>
        <w:t xml:space="preserve">nción, permite reducir los niveles de estrés de las personas, provocando que exista una mejora en  la salud pública de los ciudadanos. </w:t>
      </w:r>
    </w:p>
    <w:p w14:paraId="67E1EA9C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Las nuevas herramientas tecnológicas son un instrumento efectivo para hacer realidad el equilibrio de responsabilidades,</w:t>
      </w:r>
      <w:r>
        <w:rPr>
          <w:rFonts w:ascii="Century Gothic" w:eastAsia="Century Gothic" w:hAnsi="Century Gothic" w:cs="Century Gothic"/>
        </w:rPr>
        <w:t xml:space="preserve"> pues mecanismos como el trabajo a distancia, permiten obtener los mismos resultados esperados pero con una mayor productividad de los empleados, eficientando las tareas asignadas. </w:t>
      </w:r>
    </w:p>
    <w:p w14:paraId="60F25396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la presente propuesta, se prevé adicionar la fracción V al artículo 5° de la Ley de Desarrollo y Fomento Económico para el Estado de Chihuahua, para que, el Poder Ejecutivo a través de sus Dependencias impulsen la celebración de convenios entre los sect</w:t>
      </w:r>
      <w:r>
        <w:rPr>
          <w:rFonts w:ascii="Century Gothic" w:eastAsia="Century Gothic" w:hAnsi="Century Gothic" w:cs="Century Gothic"/>
        </w:rPr>
        <w:t xml:space="preserve">ores público, privado, académico y social, buscando la conciliación laboral-familiar, a fin de que se implementen acciones encaminadas al impulso del desarrollo económico a la par del desarrollo social. </w:t>
      </w:r>
    </w:p>
    <w:p w14:paraId="4B7D976E" w14:textId="77777777" w:rsidR="0003680F" w:rsidRDefault="0003680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color w:val="000000"/>
        </w:rPr>
      </w:pPr>
    </w:p>
    <w:p w14:paraId="2C272D0E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En virtud de todo lo previamente mencionado, es que pongo a consideración de esta soberanía, la siguiente iniciativa con carácter decreto: </w:t>
      </w:r>
    </w:p>
    <w:p w14:paraId="75F8409C" w14:textId="77777777" w:rsidR="003D31D2" w:rsidRDefault="003D31D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4FD3884C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>DECRETO</w:t>
      </w:r>
    </w:p>
    <w:p w14:paraId="0120AD8B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</w:t>
      </w:r>
      <w:r>
        <w:rPr>
          <w:rFonts w:ascii="Century Gothic" w:eastAsia="Century Gothic" w:hAnsi="Century Gothic" w:cs="Century Gothic"/>
          <w:b/>
        </w:rPr>
        <w:t>ÚNICO</w:t>
      </w:r>
      <w:r>
        <w:rPr>
          <w:rFonts w:ascii="Century Gothic" w:eastAsia="Century Gothic" w:hAnsi="Century Gothic" w:cs="Century Gothic"/>
          <w:b/>
          <w:color w:val="000000"/>
        </w:rPr>
        <w:t xml:space="preserve">.- </w:t>
      </w:r>
      <w:r>
        <w:rPr>
          <w:rFonts w:ascii="Century Gothic" w:eastAsia="Century Gothic" w:hAnsi="Century Gothic" w:cs="Century Gothic"/>
        </w:rPr>
        <w:t xml:space="preserve">Se adiciona la fracción V al artículo 5° de la </w:t>
      </w:r>
      <w:r>
        <w:rPr>
          <w:rFonts w:ascii="Century Gothic" w:eastAsia="Century Gothic" w:hAnsi="Century Gothic" w:cs="Century Gothic"/>
          <w:b/>
        </w:rPr>
        <w:t xml:space="preserve">Ley de Desarrollo y Fomento Económico para </w:t>
      </w:r>
      <w:r>
        <w:rPr>
          <w:rFonts w:ascii="Century Gothic" w:eastAsia="Century Gothic" w:hAnsi="Century Gothic" w:cs="Century Gothic"/>
          <w:b/>
        </w:rPr>
        <w:t>el Estado de Chihuahua,</w:t>
      </w:r>
      <w:r>
        <w:rPr>
          <w:rFonts w:ascii="Century Gothic" w:eastAsia="Century Gothic" w:hAnsi="Century Gothic" w:cs="Century Gothic"/>
        </w:rPr>
        <w:t xml:space="preserve"> para quedar redactado de la siguiente manera:</w:t>
      </w:r>
    </w:p>
    <w:p w14:paraId="5DAE707B" w14:textId="77777777" w:rsidR="00E83C7D" w:rsidRDefault="00FB5626">
      <w:pP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ARTÍCULO 5°. </w:t>
      </w:r>
      <w:r>
        <w:rPr>
          <w:rFonts w:ascii="Century Gothic" w:eastAsia="Century Gothic" w:hAnsi="Century Gothic" w:cs="Century Gothic"/>
        </w:rPr>
        <w:t>La persona titular del Poder Ejecutivo del Estado, a través de las Dependencias correspondientes, promoverá la vinculación entre los sectores público, privado, académico y s</w:t>
      </w:r>
      <w:r>
        <w:rPr>
          <w:rFonts w:ascii="Century Gothic" w:eastAsia="Century Gothic" w:hAnsi="Century Gothic" w:cs="Century Gothic"/>
        </w:rPr>
        <w:t>ocial, mediante las siguientes acciones:</w:t>
      </w:r>
    </w:p>
    <w:p w14:paraId="081E075D" w14:textId="77777777" w:rsidR="00E83C7D" w:rsidRDefault="00FB5626">
      <w:pP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V. En coordinación con los municipios, impulsará la celebración de convenios entre los sectores público, privado, académico y social, con el objeto de buscar la conciliación laboral-familiar, con acciones encamina</w:t>
      </w:r>
      <w:r>
        <w:rPr>
          <w:rFonts w:ascii="Century Gothic" w:eastAsia="Century Gothic" w:hAnsi="Century Gothic" w:cs="Century Gothic"/>
          <w:b/>
        </w:rPr>
        <w:t xml:space="preserve">das al impulso del desarrollo económico a la par del desarrollo social. </w:t>
      </w:r>
    </w:p>
    <w:p w14:paraId="030D3037" w14:textId="77777777" w:rsidR="00E83C7D" w:rsidRDefault="00E83C7D" w:rsidP="003D31D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Century Gothic" w:eastAsia="Century Gothic" w:hAnsi="Century Gothic" w:cs="Century Gothic"/>
          <w:b/>
        </w:rPr>
      </w:pPr>
    </w:p>
    <w:p w14:paraId="2BFF4EA7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TRANSITORIOS</w:t>
      </w:r>
    </w:p>
    <w:p w14:paraId="7C7917A3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</w:t>
      </w:r>
      <w:r>
        <w:rPr>
          <w:rFonts w:ascii="Century Gothic" w:eastAsia="Century Gothic" w:hAnsi="Century Gothic" w:cs="Century Gothic"/>
          <w:b/>
        </w:rPr>
        <w:t>ÚNICO</w:t>
      </w:r>
      <w:r>
        <w:rPr>
          <w:rFonts w:ascii="Century Gothic" w:eastAsia="Century Gothic" w:hAnsi="Century Gothic" w:cs="Century Gothic"/>
          <w:b/>
          <w:color w:val="000000"/>
        </w:rPr>
        <w:t xml:space="preserve">.- </w:t>
      </w:r>
      <w:r>
        <w:rPr>
          <w:rFonts w:ascii="Century Gothic" w:eastAsia="Century Gothic" w:hAnsi="Century Gothic" w:cs="Century Gothic"/>
          <w:color w:val="000000"/>
        </w:rPr>
        <w:t xml:space="preserve"> El presente decreto entrará en vigor al día siguiente de su publicación en el Periódico Oficial del Estado.</w:t>
      </w:r>
    </w:p>
    <w:p w14:paraId="4C8CB72F" w14:textId="77777777" w:rsidR="00E83C7D" w:rsidRDefault="00E83C7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4D5C605D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>ECONÓMICO</w:t>
      </w:r>
      <w:r>
        <w:rPr>
          <w:rFonts w:ascii="Century Gothic" w:eastAsia="Century Gothic" w:hAnsi="Century Gothic" w:cs="Century Gothic"/>
          <w:color w:val="000000"/>
        </w:rPr>
        <w:t>.  Aprobado que sea túrnese a la secretaría para que elabore la minuta correspondiente.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6BE9A4E7" w14:textId="77777777" w:rsidR="00E83C7D" w:rsidRDefault="00E83C7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7D6818F1" w14:textId="77777777" w:rsidR="00E83C7D" w:rsidRDefault="00FB562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Dado en el Salón de Sesiones a los </w:t>
      </w:r>
      <w:r>
        <w:rPr>
          <w:rFonts w:ascii="Century Gothic" w:eastAsia="Century Gothic" w:hAnsi="Century Gothic" w:cs="Century Gothic"/>
        </w:rPr>
        <w:t xml:space="preserve">26 </w:t>
      </w:r>
      <w:r>
        <w:rPr>
          <w:rFonts w:ascii="Century Gothic" w:eastAsia="Century Gothic" w:hAnsi="Century Gothic" w:cs="Century Gothic"/>
          <w:color w:val="000000"/>
        </w:rPr>
        <w:t xml:space="preserve">días del </w:t>
      </w:r>
      <w:r>
        <w:rPr>
          <w:rFonts w:ascii="Century Gothic" w:eastAsia="Century Gothic" w:hAnsi="Century Gothic" w:cs="Century Gothic"/>
          <w:color w:val="000000"/>
        </w:rPr>
        <w:t xml:space="preserve">mes de </w:t>
      </w:r>
      <w:r>
        <w:rPr>
          <w:rFonts w:ascii="Century Gothic" w:eastAsia="Century Gothic" w:hAnsi="Century Gothic" w:cs="Century Gothic"/>
        </w:rPr>
        <w:t>junio</w:t>
      </w:r>
      <w:r>
        <w:rPr>
          <w:rFonts w:ascii="Century Gothic" w:eastAsia="Century Gothic" w:hAnsi="Century Gothic" w:cs="Century Gothic"/>
          <w:color w:val="000000"/>
        </w:rPr>
        <w:t xml:space="preserve"> del año dos mil veinti</w:t>
      </w:r>
      <w:r>
        <w:rPr>
          <w:rFonts w:ascii="Century Gothic" w:eastAsia="Century Gothic" w:hAnsi="Century Gothic" w:cs="Century Gothic"/>
        </w:rPr>
        <w:t>trés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1D91CC77" w14:textId="77777777" w:rsidR="0003680F" w:rsidRDefault="0003680F" w:rsidP="0003680F">
      <w:pPr>
        <w:spacing w:after="160" w:line="36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lastRenderedPageBreak/>
        <w:t>ATENTAMENTE</w:t>
      </w:r>
    </w:p>
    <w:p w14:paraId="7D5DAEE5" w14:textId="77777777" w:rsidR="0003680F" w:rsidRDefault="0003680F" w:rsidP="0003680F">
      <w:pPr>
        <w:spacing w:after="160" w:line="360" w:lineRule="auto"/>
        <w:rPr>
          <w:rFonts w:ascii="Century Gothic" w:eastAsia="Century Gothic" w:hAnsi="Century Gothic" w:cs="Century Gothic"/>
        </w:rPr>
      </w:pPr>
    </w:p>
    <w:p w14:paraId="0E0B73D7" w14:textId="77777777" w:rsidR="0003680F" w:rsidRDefault="0003680F" w:rsidP="0003680F">
      <w:pPr>
        <w:spacing w:after="160"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entury Gothic" w:eastAsia="Century Gothic" w:hAnsi="Century Gothic" w:cs="Century Gothic"/>
          <w:b/>
        </w:rPr>
        <w:t>DIP. ISELA MARTÍNEZ DÍAZ</w:t>
      </w:r>
    </w:p>
    <w:tbl>
      <w:tblPr>
        <w:tblW w:w="91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4575"/>
      </w:tblGrid>
      <w:tr w:rsidR="0003680F" w14:paraId="4FEB612A" w14:textId="77777777" w:rsidTr="00E578E8">
        <w:trPr>
          <w:trHeight w:val="1307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C144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6F6E3673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22BD76E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MARISELA TERRAZAS MUÑOZ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8855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E1ED19D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F5C385F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DIP. ISMAEL PÉREZ PAVÍA</w:t>
            </w:r>
          </w:p>
        </w:tc>
      </w:tr>
      <w:tr w:rsidR="0003680F" w14:paraId="0B8CDE11" w14:textId="77777777" w:rsidTr="00E578E8"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5B22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CE3D6C8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BB38FAC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ROCÍO GUADALUPE SARMIENTO RUFINO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8B3A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43936CA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31F7D400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DIP. SAÚL MIRELES CORRAL</w:t>
            </w:r>
          </w:p>
        </w:tc>
      </w:tr>
      <w:tr w:rsidR="0003680F" w14:paraId="00A2BFD1" w14:textId="77777777" w:rsidTr="00E578E8">
        <w:trPr>
          <w:trHeight w:val="1935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F264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872B35A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13577969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DIP. ANA MARGARITA BLACKALLER PRIETO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7256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3A0401C5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6C4A2B4" w14:textId="77777777" w:rsidR="0003680F" w:rsidRDefault="0003680F" w:rsidP="00E578E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DIP. JOSÉ ALFREDO CHÁVEZ MADRID</w:t>
            </w:r>
          </w:p>
        </w:tc>
      </w:tr>
      <w:tr w:rsidR="0003680F" w14:paraId="65CF835E" w14:textId="77777777" w:rsidTr="00E578E8">
        <w:trPr>
          <w:trHeight w:val="164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6207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9AEB416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E3F73A7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CARLOS ALFREDO OLSON SAN VICENTE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A855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BFA967B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76B98BE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ANDREA DANIELA FLORES CHACÓN</w:t>
            </w:r>
          </w:p>
        </w:tc>
      </w:tr>
      <w:tr w:rsidR="0003680F" w14:paraId="75EC5269" w14:textId="77777777" w:rsidTr="00E578E8">
        <w:trPr>
          <w:trHeight w:val="2614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F9EE3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7AF6053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E0F45A3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2AEF773A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ROBERTO MARCELINO CARREÓN HUITRÓN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DAD09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6AA3F840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F77A21E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B931DD6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LUIS ALBERTO AGUILAR LOZOYA</w:t>
            </w:r>
          </w:p>
        </w:tc>
      </w:tr>
      <w:tr w:rsidR="0003680F" w14:paraId="094E99A8" w14:textId="77777777" w:rsidTr="00E578E8">
        <w:trPr>
          <w:trHeight w:val="180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84C7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754C78DE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1C5CDCB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DIANA IVETTE PEREDA GUTIÉRREZ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4A302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519E81C1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8E4B708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GABRIEL ÁNGEL GARCÍA CANTÚ</w:t>
            </w:r>
          </w:p>
        </w:tc>
      </w:tr>
      <w:tr w:rsidR="0003680F" w14:paraId="0171F8BF" w14:textId="77777777" w:rsidTr="00E578E8"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7D27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4F300B6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96EFACB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41980BD2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YESENIA GUADALUPE REYES CALZADÍAS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5B79" w14:textId="77777777" w:rsidR="0003680F" w:rsidRDefault="0003680F" w:rsidP="00E578E8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0563DED1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367B1B2" w14:textId="77777777" w:rsidR="0003680F" w:rsidRDefault="0003680F" w:rsidP="00E578E8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C18E0BA" w14:textId="77777777" w:rsidR="0003680F" w:rsidRDefault="0003680F" w:rsidP="00E578E8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ISMAEL MARIO RODRÍGUEZ SALDAÑA</w:t>
            </w:r>
          </w:p>
        </w:tc>
      </w:tr>
    </w:tbl>
    <w:p w14:paraId="0C605B35" w14:textId="77777777" w:rsidR="00E83C7D" w:rsidRDefault="00E83C7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sectPr w:rsidR="00E83C7D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7256" w14:textId="77777777" w:rsidR="006D216F" w:rsidRDefault="006D216F">
      <w:r>
        <w:separator/>
      </w:r>
    </w:p>
  </w:endnote>
  <w:endnote w:type="continuationSeparator" w:id="0">
    <w:p w14:paraId="1087AA10" w14:textId="77777777" w:rsidR="006D216F" w:rsidRDefault="006D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E110" w14:textId="77777777" w:rsidR="00E83C7D" w:rsidRDefault="00E83C7D">
    <w:pPr>
      <w:rPr>
        <w:sz w:val="20"/>
        <w:szCs w:val="20"/>
      </w:rPr>
    </w:pPr>
  </w:p>
  <w:p w14:paraId="42FFE007" w14:textId="77777777" w:rsidR="00E83C7D" w:rsidRDefault="00E83C7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</w:tabs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ACFC" w14:textId="77777777" w:rsidR="006D216F" w:rsidRDefault="006D216F">
      <w:r>
        <w:separator/>
      </w:r>
    </w:p>
  </w:footnote>
  <w:footnote w:type="continuationSeparator" w:id="0">
    <w:p w14:paraId="281EBBA7" w14:textId="77777777" w:rsidR="006D216F" w:rsidRDefault="006D216F">
      <w:r>
        <w:continuationSeparator/>
      </w:r>
    </w:p>
  </w:footnote>
  <w:footnote w:id="1">
    <w:p w14:paraId="20FBE7C2" w14:textId="77777777" w:rsidR="00E83C7D" w:rsidRDefault="00FB5626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8"/>
          <w:szCs w:val="18"/>
        </w:rPr>
        <w:t xml:space="preserve"> Caamaño, Eduardo. “La armonización de responsabilidades laborales y familiares: un nuevo fin para el derecho del trabajo. </w:t>
      </w:r>
    </w:p>
  </w:footnote>
  <w:footnote w:id="2">
    <w:p w14:paraId="7AF6CA46" w14:textId="77777777" w:rsidR="00E83C7D" w:rsidRDefault="00FB5626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8"/>
          <w:szCs w:val="18"/>
        </w:rPr>
        <w:t xml:space="preserve"> Universidad del Pacífico. “Balance trabajo-familia: cultura, nivel de conflicto y voluntad de permanencia en la empresa”. </w:t>
      </w:r>
    </w:p>
  </w:footnote>
  <w:footnote w:id="3">
    <w:p w14:paraId="68BAE699" w14:textId="77777777" w:rsidR="00E83C7D" w:rsidRDefault="00FB5626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Campillo Poza, Inés. “Políticas de conciliación de la vida laboral, personal y familiar en la Unión Europea”. Unión de Asociaciones Familiares.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AD9" w14:textId="77777777" w:rsidR="00E83C7D" w:rsidRDefault="00FB562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44"/>
      </w:tabs>
      <w:spacing w:line="20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4854F57B" wp14:editId="7E5A44F3">
          <wp:simplePos x="0" y="0"/>
          <wp:positionH relativeFrom="page">
            <wp:posOffset>259080</wp:posOffset>
          </wp:positionH>
          <wp:positionV relativeFrom="page">
            <wp:posOffset>202969</wp:posOffset>
          </wp:positionV>
          <wp:extent cx="1061085" cy="1017905"/>
          <wp:effectExtent l="0" t="0" r="0" b="0"/>
          <wp:wrapNone/>
          <wp:docPr id="3" name="image2.pn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 wp14:anchorId="6814133D" wp14:editId="6532F9D4">
          <wp:simplePos x="0" y="0"/>
          <wp:positionH relativeFrom="page">
            <wp:posOffset>6630034</wp:posOffset>
          </wp:positionH>
          <wp:positionV relativeFrom="page">
            <wp:posOffset>246376</wp:posOffset>
          </wp:positionV>
          <wp:extent cx="857250" cy="857250"/>
          <wp:effectExtent l="0" t="0" r="0" b="0"/>
          <wp:wrapNone/>
          <wp:docPr id="4" name="image1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FA71EB7" wp14:editId="7952577A">
              <wp:simplePos x="0" y="0"/>
              <wp:positionH relativeFrom="page">
                <wp:posOffset>6457950</wp:posOffset>
              </wp:positionH>
              <wp:positionV relativeFrom="page">
                <wp:posOffset>18444844</wp:posOffset>
              </wp:positionV>
              <wp:extent cx="276859" cy="253475"/>
              <wp:effectExtent l="0" t="0" r="0" b="0"/>
              <wp:wrapNone/>
              <wp:docPr id="1" name="Rectángulo 1" descr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1858" y="3667550"/>
                        <a:ext cx="248284" cy="22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B34E7" w14:textId="77777777" w:rsidR="00E83C7D" w:rsidRDefault="00FB5626">
                          <w:pPr>
                            <w:spacing w:line="245" w:lineRule="auto"/>
                            <w:ind w:left="40" w:firstLine="20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id="Rectángulo 1" o:spid="_x0000_s1026" alt="Rectángulo 7" style="position:absolute;margin-left:508.5pt;margin-top:1452.35pt;width:21.8pt;height:19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" filled="f" stroked="f">
              <v:textbox inset="0,0,0,0">
                <w:txbxContent>
                  <w:p w:rsidR="00E83C7D" w:rsidRDefault="00000000">
                    <w:pPr>
                      <w:spacing w:line="245" w:lineRule="auto"/>
                      <w:ind w:left="40" w:firstLine="20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6F2CD0B" wp14:editId="0BB1043A">
              <wp:simplePos x="0" y="0"/>
              <wp:positionH relativeFrom="column">
                <wp:posOffset>812800</wp:posOffset>
              </wp:positionH>
              <wp:positionV relativeFrom="paragraph">
                <wp:posOffset>0</wp:posOffset>
              </wp:positionV>
              <wp:extent cx="3937635" cy="61531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1470" y="3486630"/>
                        <a:ext cx="390906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D4D46" w14:textId="77777777" w:rsidR="00E83C7D" w:rsidRDefault="00FB562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“2023, Centenario de la Muerte del General Francisco Villa” </w:t>
                          </w:r>
                        </w:p>
                        <w:p w14:paraId="7DDA4447" w14:textId="77777777" w:rsidR="00E83C7D" w:rsidRDefault="00FB562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“2023, Cien Años del Rotarismo en Chihuahua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45700" tIns="45700" rIns="457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id="Rectángulo 2" o:spid="_x0000_s1027" style="position:absolute;margin-left:64pt;margin-top:0;width:310.05pt;height:4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" filled="f" stroked="f">
              <v:textbox inset="1.2694mm,1.2694mm,1.2694mm,1.2694mm">
                <w:txbxContent>
                  <w:p w:rsidR="00E83C7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 xml:space="preserve">“2023, Centenario de la Muerte del General Francisco Villa” </w:t>
                    </w:r>
                  </w:p>
                  <w:p w:rsidR="00E83C7D" w:rsidRDefault="00000000">
                    <w:pPr>
                      <w:jc w:val="right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“2023, Cien Años del Rotarismo en Chihuahua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</w:rPr>
                      <w:t>”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3027"/>
    <w:multiLevelType w:val="multilevel"/>
    <w:tmpl w:val="05F253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7D"/>
    <w:rsid w:val="0003680F"/>
    <w:rsid w:val="003D31D2"/>
    <w:rsid w:val="005001C8"/>
    <w:rsid w:val="00657310"/>
    <w:rsid w:val="006D216F"/>
    <w:rsid w:val="009A11EE"/>
    <w:rsid w:val="00BB0DCE"/>
    <w:rsid w:val="00E83C7D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D2C6"/>
  <w15:docId w15:val="{58837CEB-882C-9148-BF7D-533EC196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2023-06-23T20:39:00Z</dcterms:created>
  <dcterms:modified xsi:type="dcterms:W3CDTF">2023-06-23T20:39:00Z</dcterms:modified>
</cp:coreProperties>
</file>