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A52F" w14:textId="77777777" w:rsidR="002638F1" w:rsidRPr="002638F1" w:rsidRDefault="002638F1" w:rsidP="002638F1">
      <w:pPr>
        <w:spacing w:after="120"/>
        <w:rPr>
          <w:rFonts w:ascii="Calibri" w:hAnsi="Calibri" w:cs="Calibri"/>
          <w:b/>
          <w:bCs/>
          <w:sz w:val="24"/>
          <w:szCs w:val="24"/>
        </w:rPr>
      </w:pPr>
      <w:r w:rsidRPr="002638F1">
        <w:rPr>
          <w:rFonts w:ascii="Calibri" w:hAnsi="Calibri" w:cs="Calibri"/>
          <w:b/>
          <w:bCs/>
          <w:sz w:val="24"/>
          <w:szCs w:val="24"/>
        </w:rPr>
        <w:t>H. CONGRESO DEL ESTADO</w:t>
      </w:r>
    </w:p>
    <w:p w14:paraId="3D24B193" w14:textId="77777777" w:rsidR="002638F1" w:rsidRPr="002638F1" w:rsidRDefault="002638F1" w:rsidP="002638F1">
      <w:pPr>
        <w:spacing w:after="120"/>
        <w:rPr>
          <w:rFonts w:ascii="Calibri" w:hAnsi="Calibri" w:cs="Calibri"/>
          <w:b/>
          <w:bCs/>
          <w:sz w:val="24"/>
          <w:szCs w:val="24"/>
        </w:rPr>
      </w:pPr>
      <w:r w:rsidRPr="002638F1">
        <w:rPr>
          <w:rFonts w:ascii="Calibri" w:hAnsi="Calibri" w:cs="Calibri"/>
          <w:b/>
          <w:bCs/>
          <w:sz w:val="24"/>
          <w:szCs w:val="24"/>
        </w:rPr>
        <w:t xml:space="preserve">P R E S E N T E.- </w:t>
      </w:r>
    </w:p>
    <w:p w14:paraId="43BD2267" w14:textId="77777777" w:rsidR="002638F1" w:rsidRPr="002638F1" w:rsidRDefault="002638F1" w:rsidP="002638F1">
      <w:pPr>
        <w:spacing w:after="120"/>
        <w:rPr>
          <w:rFonts w:ascii="Calibri" w:hAnsi="Calibri" w:cs="Calibri"/>
          <w:b/>
          <w:bCs/>
          <w:sz w:val="24"/>
          <w:szCs w:val="24"/>
        </w:rPr>
      </w:pPr>
    </w:p>
    <w:p w14:paraId="49DDA6A1" w14:textId="73415291" w:rsidR="002638F1" w:rsidRPr="002638F1" w:rsidRDefault="002638F1" w:rsidP="002638F1">
      <w:pPr>
        <w:spacing w:after="120" w:line="360" w:lineRule="auto"/>
        <w:jc w:val="both"/>
        <w:rPr>
          <w:rFonts w:ascii="Calibri" w:hAnsi="Calibri" w:cs="Calibri"/>
          <w:sz w:val="24"/>
          <w:szCs w:val="24"/>
        </w:rPr>
      </w:pPr>
      <w:r w:rsidRPr="002638F1">
        <w:rPr>
          <w:rFonts w:ascii="Calibri" w:hAnsi="Calibri" w:cs="Calibri"/>
          <w:sz w:val="24"/>
          <w:szCs w:val="24"/>
        </w:rPr>
        <w:t xml:space="preserve">Los que suscriben </w:t>
      </w:r>
      <w:r w:rsidRPr="002638F1">
        <w:rPr>
          <w:rFonts w:ascii="Calibri" w:hAnsi="Calibri" w:cs="Calibri"/>
          <w:b/>
          <w:bCs/>
          <w:sz w:val="24"/>
          <w:szCs w:val="24"/>
        </w:rPr>
        <w:t xml:space="preserve">Leticia Ortega Máynez, Edin Cuauhtémoc Estrada Sotelo , Oscar Daniel Avitia Arellanes, Rosana Diaz Reyes , Gustavo De La Rosa </w:t>
      </w:r>
      <w:proofErr w:type="spellStart"/>
      <w:r w:rsidRPr="002638F1">
        <w:rPr>
          <w:rFonts w:ascii="Calibri" w:hAnsi="Calibri" w:cs="Calibri"/>
          <w:b/>
          <w:bCs/>
          <w:sz w:val="24"/>
          <w:szCs w:val="24"/>
        </w:rPr>
        <w:t>Hickerson</w:t>
      </w:r>
      <w:proofErr w:type="spellEnd"/>
      <w:r w:rsidRPr="002638F1">
        <w:rPr>
          <w:rFonts w:ascii="Calibri" w:hAnsi="Calibri" w:cs="Calibri"/>
          <w:b/>
          <w:bCs/>
          <w:sz w:val="24"/>
          <w:szCs w:val="24"/>
        </w:rPr>
        <w:t xml:space="preserve">, Magdalena Rentería Pérez, </w:t>
      </w:r>
      <w:proofErr w:type="spellStart"/>
      <w:r w:rsidRPr="002638F1">
        <w:rPr>
          <w:rFonts w:ascii="Calibri" w:hAnsi="Calibri" w:cs="Calibri"/>
          <w:b/>
          <w:bCs/>
          <w:sz w:val="24"/>
          <w:szCs w:val="24"/>
        </w:rPr>
        <w:t>Maria</w:t>
      </w:r>
      <w:proofErr w:type="spellEnd"/>
      <w:r w:rsidRPr="002638F1">
        <w:rPr>
          <w:rFonts w:ascii="Calibri" w:hAnsi="Calibri" w:cs="Calibri"/>
          <w:b/>
          <w:bCs/>
          <w:sz w:val="24"/>
          <w:szCs w:val="24"/>
        </w:rPr>
        <w:t xml:space="preserve"> Antonieta Pérez Reyes,</w:t>
      </w:r>
      <w:r>
        <w:rPr>
          <w:rFonts w:ascii="Calibri" w:hAnsi="Calibri" w:cs="Calibri"/>
          <w:b/>
          <w:bCs/>
          <w:sz w:val="24"/>
          <w:szCs w:val="24"/>
        </w:rPr>
        <w:t xml:space="preserve"> América García Soto,</w:t>
      </w:r>
      <w:r w:rsidRPr="002638F1">
        <w:rPr>
          <w:rFonts w:ascii="Calibri" w:hAnsi="Calibri" w:cs="Calibri"/>
          <w:b/>
          <w:bCs/>
          <w:sz w:val="24"/>
          <w:szCs w:val="24"/>
        </w:rPr>
        <w:t xml:space="preserve"> Benjamín Carrera Chávez y David Oscar Castrejón Rivas, </w:t>
      </w:r>
      <w:r w:rsidRPr="002638F1">
        <w:rPr>
          <w:rFonts w:ascii="Calibri" w:hAnsi="Calibri" w:cs="Calibri"/>
          <w:sz w:val="24"/>
          <w:szCs w:val="24"/>
        </w:rPr>
        <w:t xml:space="preserve">en nuestro carácter de Diputados y Diputadas de la Sexagésima Séptima Legislatura del Honorable Congreso del Estado de Chihuahua integrantes del </w:t>
      </w:r>
      <w:r w:rsidRPr="002638F1">
        <w:rPr>
          <w:rFonts w:ascii="Calibri" w:hAnsi="Calibri" w:cs="Calibri"/>
          <w:b/>
          <w:bCs/>
          <w:sz w:val="24"/>
          <w:szCs w:val="24"/>
        </w:rPr>
        <w:t>Grupo Parlamentario de MORENA</w:t>
      </w:r>
      <w:r w:rsidRPr="002638F1">
        <w:rPr>
          <w:rFonts w:ascii="Calibri" w:hAnsi="Calibri" w:cs="Calibri"/>
          <w:sz w:val="24"/>
          <w:szCs w:val="24"/>
        </w:rPr>
        <w:t xml:space="preserve">, con fundamento en lo dispuesto por los artículos 68 fracción I, de la Constitución Política del Estado de Chihuahua;167 fracción I, de la Ley Orgánica del Poder Legislativo; así como los numerales 75 y 77 del Reglamento Interior de </w:t>
      </w:r>
      <w:proofErr w:type="spellStart"/>
      <w:r w:rsidRPr="002638F1">
        <w:rPr>
          <w:rFonts w:ascii="Calibri" w:hAnsi="Calibri" w:cs="Calibri"/>
          <w:sz w:val="24"/>
          <w:szCs w:val="24"/>
        </w:rPr>
        <w:t>Practicas</w:t>
      </w:r>
      <w:proofErr w:type="spellEnd"/>
      <w:r w:rsidRPr="002638F1">
        <w:rPr>
          <w:rFonts w:ascii="Calibri" w:hAnsi="Calibri" w:cs="Calibri"/>
          <w:sz w:val="24"/>
          <w:szCs w:val="24"/>
        </w:rPr>
        <w:t xml:space="preserve"> Parlamentarias del Poder Legislativo; todos ordenamientos del Estado de Chihuahua, acudimos ante esta Honorable Asamblea Legislativa , a fin de someter a consideración del Pleno el siguiente proyecto con </w:t>
      </w:r>
      <w:r w:rsidRPr="002638F1">
        <w:rPr>
          <w:rFonts w:ascii="Calibri" w:hAnsi="Calibri" w:cs="Calibri"/>
          <w:b/>
          <w:bCs/>
          <w:sz w:val="24"/>
          <w:szCs w:val="24"/>
        </w:rPr>
        <w:t xml:space="preserve">carácter de DECRETO , </w:t>
      </w:r>
      <w:r w:rsidRPr="002638F1">
        <w:rPr>
          <w:rFonts w:ascii="Calibri" w:hAnsi="Calibri" w:cs="Calibri"/>
          <w:sz w:val="24"/>
          <w:szCs w:val="24"/>
        </w:rPr>
        <w:t xml:space="preserve">por medio del cual se modifican los artículos 5 y 6 de la </w:t>
      </w:r>
      <w:r w:rsidRPr="002638F1">
        <w:rPr>
          <w:rFonts w:ascii="Calibri" w:hAnsi="Calibri" w:cs="Calibri"/>
          <w:b/>
          <w:bCs/>
          <w:sz w:val="24"/>
          <w:szCs w:val="24"/>
        </w:rPr>
        <w:t xml:space="preserve">Ley Estatal del Derecho de las Mujeres a una Vida Libre de Violencia </w:t>
      </w:r>
      <w:r w:rsidRPr="002638F1">
        <w:rPr>
          <w:rFonts w:ascii="Calibri" w:hAnsi="Calibri" w:cs="Calibri"/>
          <w:sz w:val="24"/>
          <w:szCs w:val="24"/>
        </w:rPr>
        <w:t xml:space="preserve">referente a los tipos y modalidades de violencia contra las mujeres, lo anterior con sustento en la siguiente: </w:t>
      </w:r>
    </w:p>
    <w:p w14:paraId="574E46D4" w14:textId="77777777" w:rsidR="002638F1" w:rsidRPr="002638F1" w:rsidRDefault="002638F1" w:rsidP="002638F1">
      <w:pPr>
        <w:spacing w:after="120" w:line="360" w:lineRule="auto"/>
        <w:jc w:val="both"/>
        <w:rPr>
          <w:rFonts w:ascii="Calibri" w:hAnsi="Calibri" w:cs="Calibri"/>
          <w:sz w:val="24"/>
          <w:szCs w:val="24"/>
        </w:rPr>
      </w:pPr>
    </w:p>
    <w:p w14:paraId="710012C5" w14:textId="77777777" w:rsidR="002638F1" w:rsidRPr="002638F1" w:rsidRDefault="002638F1" w:rsidP="002638F1">
      <w:pPr>
        <w:spacing w:after="120" w:line="360" w:lineRule="auto"/>
        <w:jc w:val="center"/>
        <w:rPr>
          <w:rFonts w:ascii="Calibri" w:hAnsi="Calibri" w:cs="Calibri"/>
          <w:b/>
          <w:bCs/>
          <w:sz w:val="24"/>
          <w:szCs w:val="24"/>
        </w:rPr>
      </w:pPr>
      <w:r w:rsidRPr="002638F1">
        <w:rPr>
          <w:rFonts w:ascii="Calibri" w:hAnsi="Calibri" w:cs="Calibri"/>
          <w:b/>
          <w:bCs/>
          <w:sz w:val="24"/>
          <w:szCs w:val="24"/>
        </w:rPr>
        <w:t xml:space="preserve">EXPOSICIÓN DE MOTIVOS </w:t>
      </w:r>
    </w:p>
    <w:p w14:paraId="2ADD1504" w14:textId="77777777" w:rsidR="002638F1" w:rsidRPr="002638F1" w:rsidRDefault="002638F1" w:rsidP="002638F1">
      <w:pPr>
        <w:spacing w:after="120" w:line="360" w:lineRule="auto"/>
        <w:jc w:val="center"/>
        <w:rPr>
          <w:rFonts w:ascii="Calibri" w:hAnsi="Calibri" w:cs="Calibri"/>
          <w:b/>
          <w:bCs/>
          <w:sz w:val="24"/>
          <w:szCs w:val="24"/>
        </w:rPr>
      </w:pPr>
    </w:p>
    <w:p w14:paraId="7E7C0142" w14:textId="77777777" w:rsidR="002638F1" w:rsidRPr="002638F1" w:rsidRDefault="002638F1" w:rsidP="002638F1">
      <w:pPr>
        <w:spacing w:after="120" w:line="360" w:lineRule="auto"/>
        <w:jc w:val="both"/>
        <w:rPr>
          <w:rFonts w:ascii="Calibri" w:hAnsi="Calibri" w:cs="Calibri"/>
          <w:i/>
          <w:iCs/>
          <w:sz w:val="24"/>
          <w:szCs w:val="24"/>
        </w:rPr>
      </w:pPr>
      <w:r w:rsidRPr="002638F1">
        <w:rPr>
          <w:rFonts w:ascii="Calibri" w:hAnsi="Calibri" w:cs="Calibri"/>
          <w:b/>
          <w:bCs/>
          <w:sz w:val="24"/>
          <w:szCs w:val="24"/>
        </w:rPr>
        <w:t>I.-</w:t>
      </w:r>
      <w:r w:rsidRPr="002638F1">
        <w:rPr>
          <w:rFonts w:ascii="Calibri" w:hAnsi="Calibri" w:cs="Calibri"/>
          <w:sz w:val="24"/>
          <w:szCs w:val="24"/>
        </w:rPr>
        <w:t xml:space="preserve"> La Declaración sobre la eliminación de la violencia contra la mujer de las Naciones Unidas define esta como </w:t>
      </w:r>
      <w:r w:rsidRPr="002638F1">
        <w:rPr>
          <w:rFonts w:ascii="Calibri" w:hAnsi="Calibri" w:cs="Calibri"/>
          <w:i/>
          <w:iCs/>
          <w:sz w:val="24"/>
          <w:szCs w:val="24"/>
        </w:rPr>
        <w:t xml:space="preserve">“Todo acto de violencia basado en la pertenencia del sexo femenino que tenga o pueda tener como resultado un daño o sufrimiento físico, sexual o psicológico para la mujer, así como las amenazas de tales actos, la coacción o la privación arbitraria de la libertad, tanto si se producen en la vida </w:t>
      </w:r>
      <w:proofErr w:type="spellStart"/>
      <w:r w:rsidRPr="002638F1">
        <w:rPr>
          <w:rFonts w:ascii="Calibri" w:hAnsi="Calibri" w:cs="Calibri"/>
          <w:i/>
          <w:iCs/>
          <w:sz w:val="24"/>
          <w:szCs w:val="24"/>
        </w:rPr>
        <w:t>publica</w:t>
      </w:r>
      <w:proofErr w:type="spellEnd"/>
      <w:r w:rsidRPr="002638F1">
        <w:rPr>
          <w:rFonts w:ascii="Calibri" w:hAnsi="Calibri" w:cs="Calibri"/>
          <w:i/>
          <w:iCs/>
          <w:sz w:val="24"/>
          <w:szCs w:val="24"/>
        </w:rPr>
        <w:t xml:space="preserve"> como en la vida </w:t>
      </w:r>
      <w:proofErr w:type="gramStart"/>
      <w:r w:rsidRPr="002638F1">
        <w:rPr>
          <w:rFonts w:ascii="Calibri" w:hAnsi="Calibri" w:cs="Calibri"/>
          <w:i/>
          <w:iCs/>
          <w:sz w:val="24"/>
          <w:szCs w:val="24"/>
        </w:rPr>
        <w:t>privada“</w:t>
      </w:r>
      <w:proofErr w:type="gramEnd"/>
      <w:r w:rsidRPr="002638F1">
        <w:rPr>
          <w:rFonts w:ascii="Calibri" w:hAnsi="Calibri" w:cs="Calibri"/>
          <w:i/>
          <w:iCs/>
          <w:sz w:val="24"/>
          <w:szCs w:val="24"/>
        </w:rPr>
        <w:t>.</w:t>
      </w:r>
    </w:p>
    <w:p w14:paraId="367836CC" w14:textId="77777777" w:rsidR="002638F1" w:rsidRDefault="002638F1" w:rsidP="002638F1">
      <w:pPr>
        <w:spacing w:after="120" w:line="360" w:lineRule="auto"/>
        <w:jc w:val="both"/>
        <w:rPr>
          <w:rFonts w:ascii="Calibri" w:hAnsi="Calibri" w:cs="Calibri"/>
          <w:sz w:val="24"/>
          <w:szCs w:val="24"/>
        </w:rPr>
      </w:pPr>
    </w:p>
    <w:p w14:paraId="764933C4" w14:textId="3C702CEC" w:rsidR="002638F1" w:rsidRPr="002638F1" w:rsidRDefault="002638F1" w:rsidP="002638F1">
      <w:pPr>
        <w:spacing w:after="120" w:line="360" w:lineRule="auto"/>
        <w:jc w:val="both"/>
        <w:rPr>
          <w:rFonts w:ascii="Calibri" w:hAnsi="Calibri" w:cs="Calibri"/>
          <w:sz w:val="24"/>
          <w:szCs w:val="24"/>
        </w:rPr>
      </w:pPr>
      <w:r w:rsidRPr="002638F1">
        <w:rPr>
          <w:rFonts w:ascii="Calibri" w:hAnsi="Calibri" w:cs="Calibri"/>
          <w:b/>
          <w:bCs/>
          <w:sz w:val="24"/>
          <w:szCs w:val="24"/>
        </w:rPr>
        <w:lastRenderedPageBreak/>
        <w:t>II.-</w:t>
      </w:r>
      <w:r w:rsidRPr="002638F1">
        <w:rPr>
          <w:rFonts w:ascii="Calibri" w:hAnsi="Calibri" w:cs="Calibri"/>
          <w:sz w:val="24"/>
          <w:szCs w:val="24"/>
        </w:rPr>
        <w:t xml:space="preserve"> La violencia contra la mujer -especialmente la ejercida por la pareja y la violencia sexual- constituye un grave problema de salud pública y una violación de los derechos humanos de las mujeres. Esta arraigada y perpetúa las desigualdades de género.  </w:t>
      </w:r>
    </w:p>
    <w:p w14:paraId="7153CA88" w14:textId="77777777" w:rsidR="002638F1" w:rsidRPr="002638F1" w:rsidRDefault="002638F1" w:rsidP="002638F1">
      <w:pPr>
        <w:spacing w:after="120" w:line="360" w:lineRule="auto"/>
        <w:jc w:val="both"/>
        <w:rPr>
          <w:rFonts w:ascii="Calibri" w:hAnsi="Calibri" w:cs="Calibri"/>
          <w:sz w:val="24"/>
          <w:szCs w:val="24"/>
        </w:rPr>
      </w:pPr>
      <w:r w:rsidRPr="002638F1">
        <w:rPr>
          <w:rFonts w:ascii="Calibri" w:hAnsi="Calibri" w:cs="Calibri"/>
          <w:sz w:val="24"/>
          <w:szCs w:val="24"/>
        </w:rPr>
        <w:t>En todo el mundo, 1 de cada 3 mujeres sufren violencia física y/o sexual alguna vez en su vida, generalmente infligida por su pareja. Este es un claro recordatorio de la magnitud alcanzada por la desigualdad de género y la discriminación contra la mujer. </w:t>
      </w:r>
    </w:p>
    <w:p w14:paraId="37C95B97" w14:textId="77777777" w:rsidR="002638F1" w:rsidRDefault="002638F1" w:rsidP="002638F1">
      <w:pPr>
        <w:spacing w:after="120" w:line="360" w:lineRule="auto"/>
        <w:jc w:val="both"/>
        <w:rPr>
          <w:rFonts w:ascii="Calibri" w:hAnsi="Calibri" w:cs="Calibri"/>
          <w:sz w:val="24"/>
          <w:szCs w:val="24"/>
        </w:rPr>
      </w:pPr>
    </w:p>
    <w:p w14:paraId="368DA5A3" w14:textId="4352C83E" w:rsidR="002638F1" w:rsidRPr="002638F1" w:rsidRDefault="002638F1" w:rsidP="002638F1">
      <w:pPr>
        <w:spacing w:after="120" w:line="360" w:lineRule="auto"/>
        <w:jc w:val="both"/>
        <w:rPr>
          <w:rFonts w:ascii="Calibri" w:hAnsi="Calibri" w:cs="Calibri"/>
          <w:i/>
          <w:iCs/>
          <w:sz w:val="24"/>
          <w:szCs w:val="24"/>
        </w:rPr>
      </w:pPr>
      <w:r w:rsidRPr="002638F1">
        <w:rPr>
          <w:rFonts w:ascii="Calibri" w:hAnsi="Calibri" w:cs="Calibri"/>
          <w:b/>
          <w:bCs/>
          <w:sz w:val="24"/>
          <w:szCs w:val="24"/>
        </w:rPr>
        <w:t>III.-</w:t>
      </w:r>
      <w:r w:rsidRPr="002638F1">
        <w:rPr>
          <w:rFonts w:ascii="Calibri" w:hAnsi="Calibri" w:cs="Calibri"/>
          <w:sz w:val="24"/>
          <w:szCs w:val="24"/>
        </w:rPr>
        <w:t xml:space="preserve"> La CONVENCIÓN INTERAMERICANA PARA PREVENIR, SANCIONAR Y ERRADICAR LA VIOLENCIA CONTRA LA MUJER “CONVENCIÓN DE BELÉM DO PARÁ”, </w:t>
      </w:r>
      <w:r>
        <w:rPr>
          <w:rFonts w:ascii="Calibri" w:hAnsi="Calibri" w:cs="Calibri"/>
          <w:sz w:val="24"/>
          <w:szCs w:val="24"/>
        </w:rPr>
        <w:t>e</w:t>
      </w:r>
      <w:r w:rsidRPr="002638F1">
        <w:rPr>
          <w:rFonts w:ascii="Calibri" w:hAnsi="Calibri" w:cs="Calibri"/>
          <w:sz w:val="24"/>
          <w:szCs w:val="24"/>
        </w:rPr>
        <w:t xml:space="preserve">stipula en su artículo tercero </w:t>
      </w:r>
      <w:r w:rsidRPr="002638F1">
        <w:rPr>
          <w:rFonts w:ascii="Calibri" w:hAnsi="Calibri" w:cs="Calibri"/>
          <w:i/>
          <w:iCs/>
          <w:sz w:val="24"/>
          <w:szCs w:val="24"/>
        </w:rPr>
        <w:t xml:space="preserve">“Toda mujer tiene derecho a una vida libre de violencia, tanto en el ámbito público como en el privado.” </w:t>
      </w:r>
      <w:r w:rsidRPr="002638F1">
        <w:rPr>
          <w:rFonts w:ascii="Calibri" w:hAnsi="Calibri" w:cs="Calibri"/>
          <w:sz w:val="24"/>
          <w:szCs w:val="24"/>
        </w:rPr>
        <w:t xml:space="preserve">Así como su cuarto precepto que estipula </w:t>
      </w:r>
      <w:r w:rsidRPr="002638F1">
        <w:rPr>
          <w:rFonts w:ascii="Calibri" w:hAnsi="Calibri" w:cs="Calibri"/>
          <w:i/>
          <w:iCs/>
          <w:sz w:val="24"/>
          <w:szCs w:val="24"/>
        </w:rPr>
        <w:t xml:space="preserve">“Toda mujer tiene derecho al reconocimiento, goce, ejercicio y protección de todos los derechos humanos y a las libertades consagradas por los instrumentos regionales e internacionales sobre derechos humanos. Estos derechos comprenden, entre otros: </w:t>
      </w:r>
    </w:p>
    <w:p w14:paraId="73183D25" w14:textId="77777777" w:rsidR="002638F1" w:rsidRPr="002638F1" w:rsidRDefault="002638F1" w:rsidP="002638F1">
      <w:pPr>
        <w:spacing w:after="120" w:line="360" w:lineRule="auto"/>
        <w:jc w:val="both"/>
        <w:rPr>
          <w:rFonts w:ascii="Calibri" w:hAnsi="Calibri" w:cs="Calibri"/>
          <w:i/>
          <w:iCs/>
          <w:sz w:val="24"/>
          <w:szCs w:val="24"/>
        </w:rPr>
      </w:pPr>
      <w:r w:rsidRPr="002638F1">
        <w:rPr>
          <w:rFonts w:ascii="Calibri" w:hAnsi="Calibri" w:cs="Calibri"/>
          <w:i/>
          <w:iCs/>
          <w:sz w:val="24"/>
          <w:szCs w:val="24"/>
        </w:rPr>
        <w:t>a. El derecho a que se respete su vida;</w:t>
      </w:r>
    </w:p>
    <w:p w14:paraId="03EEB9F8" w14:textId="77777777" w:rsidR="002638F1" w:rsidRPr="002638F1" w:rsidRDefault="002638F1" w:rsidP="002638F1">
      <w:pPr>
        <w:spacing w:after="120" w:line="360" w:lineRule="auto"/>
        <w:jc w:val="both"/>
        <w:rPr>
          <w:rFonts w:ascii="Calibri" w:hAnsi="Calibri" w:cs="Calibri"/>
          <w:i/>
          <w:iCs/>
          <w:sz w:val="24"/>
          <w:szCs w:val="24"/>
        </w:rPr>
      </w:pPr>
      <w:r w:rsidRPr="002638F1">
        <w:rPr>
          <w:rFonts w:ascii="Calibri" w:hAnsi="Calibri" w:cs="Calibri"/>
          <w:i/>
          <w:iCs/>
          <w:sz w:val="24"/>
          <w:szCs w:val="24"/>
        </w:rPr>
        <w:t>b. El derecho a que se respete su integridad física, psíquica y moral;</w:t>
      </w:r>
    </w:p>
    <w:p w14:paraId="78610694" w14:textId="77777777" w:rsidR="002638F1" w:rsidRPr="002638F1" w:rsidRDefault="002638F1" w:rsidP="002638F1">
      <w:pPr>
        <w:spacing w:after="120" w:line="360" w:lineRule="auto"/>
        <w:jc w:val="both"/>
        <w:rPr>
          <w:rFonts w:ascii="Calibri" w:hAnsi="Calibri" w:cs="Calibri"/>
          <w:i/>
          <w:iCs/>
          <w:sz w:val="24"/>
          <w:szCs w:val="24"/>
        </w:rPr>
      </w:pPr>
      <w:r w:rsidRPr="002638F1">
        <w:rPr>
          <w:rFonts w:ascii="Calibri" w:hAnsi="Calibri" w:cs="Calibri"/>
          <w:i/>
          <w:iCs/>
          <w:sz w:val="24"/>
          <w:szCs w:val="24"/>
        </w:rPr>
        <w:t>c. El derecho a la libertad y a la seguridad personales;</w:t>
      </w:r>
    </w:p>
    <w:p w14:paraId="3D465167" w14:textId="77777777" w:rsidR="002638F1" w:rsidRPr="002638F1" w:rsidRDefault="002638F1" w:rsidP="002638F1">
      <w:pPr>
        <w:spacing w:after="120" w:line="360" w:lineRule="auto"/>
        <w:jc w:val="both"/>
        <w:rPr>
          <w:rFonts w:ascii="Calibri" w:hAnsi="Calibri" w:cs="Calibri"/>
          <w:i/>
          <w:iCs/>
          <w:sz w:val="24"/>
          <w:szCs w:val="24"/>
        </w:rPr>
      </w:pPr>
      <w:r w:rsidRPr="002638F1">
        <w:rPr>
          <w:rFonts w:ascii="Calibri" w:hAnsi="Calibri" w:cs="Calibri"/>
          <w:i/>
          <w:iCs/>
          <w:sz w:val="24"/>
          <w:szCs w:val="24"/>
        </w:rPr>
        <w:t xml:space="preserve"> d. El derecho a no ser sometida a torturas;</w:t>
      </w:r>
    </w:p>
    <w:p w14:paraId="4DADBD26" w14:textId="77777777" w:rsidR="002638F1" w:rsidRPr="002638F1" w:rsidRDefault="002638F1" w:rsidP="002638F1">
      <w:pPr>
        <w:spacing w:after="120" w:line="360" w:lineRule="auto"/>
        <w:jc w:val="both"/>
        <w:rPr>
          <w:rFonts w:ascii="Calibri" w:hAnsi="Calibri" w:cs="Calibri"/>
          <w:i/>
          <w:iCs/>
          <w:sz w:val="24"/>
          <w:szCs w:val="24"/>
        </w:rPr>
      </w:pPr>
      <w:r w:rsidRPr="002638F1">
        <w:rPr>
          <w:rFonts w:ascii="Calibri" w:hAnsi="Calibri" w:cs="Calibri"/>
          <w:i/>
          <w:iCs/>
          <w:sz w:val="24"/>
          <w:szCs w:val="24"/>
        </w:rPr>
        <w:t xml:space="preserve"> e. El derecho a que se respete la dignidad inherente a su persona y que se proteja a su familia;</w:t>
      </w:r>
    </w:p>
    <w:p w14:paraId="1D3E47C1" w14:textId="77777777" w:rsidR="002638F1" w:rsidRPr="002638F1" w:rsidRDefault="002638F1" w:rsidP="002638F1">
      <w:pPr>
        <w:spacing w:after="120" w:line="360" w:lineRule="auto"/>
        <w:jc w:val="both"/>
        <w:rPr>
          <w:rFonts w:ascii="Calibri" w:hAnsi="Calibri" w:cs="Calibri"/>
          <w:i/>
          <w:iCs/>
          <w:sz w:val="24"/>
          <w:szCs w:val="24"/>
        </w:rPr>
      </w:pPr>
      <w:r w:rsidRPr="002638F1">
        <w:rPr>
          <w:rFonts w:ascii="Calibri" w:hAnsi="Calibri" w:cs="Calibri"/>
          <w:i/>
          <w:iCs/>
          <w:sz w:val="24"/>
          <w:szCs w:val="24"/>
        </w:rPr>
        <w:t xml:space="preserve"> f. El derecho a igualdad de protección ante la ley y de la ley;</w:t>
      </w:r>
    </w:p>
    <w:p w14:paraId="79536EA2" w14:textId="77777777" w:rsidR="002638F1" w:rsidRPr="002638F1" w:rsidRDefault="002638F1" w:rsidP="002638F1">
      <w:pPr>
        <w:spacing w:after="120" w:line="360" w:lineRule="auto"/>
        <w:jc w:val="both"/>
        <w:rPr>
          <w:rFonts w:ascii="Calibri" w:hAnsi="Calibri" w:cs="Calibri"/>
          <w:i/>
          <w:iCs/>
          <w:sz w:val="24"/>
          <w:szCs w:val="24"/>
        </w:rPr>
      </w:pPr>
      <w:r w:rsidRPr="002638F1">
        <w:rPr>
          <w:rFonts w:ascii="Calibri" w:hAnsi="Calibri" w:cs="Calibri"/>
          <w:i/>
          <w:iCs/>
          <w:sz w:val="24"/>
          <w:szCs w:val="24"/>
        </w:rPr>
        <w:t xml:space="preserve"> g. El derecho a un recurso sencillo y rápido ante los tribunales competentes, que la ampare contra actos que violen sus derechos;</w:t>
      </w:r>
    </w:p>
    <w:p w14:paraId="10C82D8C" w14:textId="77777777" w:rsidR="002638F1" w:rsidRPr="002638F1" w:rsidRDefault="002638F1" w:rsidP="002638F1">
      <w:pPr>
        <w:spacing w:after="120" w:line="360" w:lineRule="auto"/>
        <w:jc w:val="both"/>
        <w:rPr>
          <w:rFonts w:ascii="Calibri" w:hAnsi="Calibri" w:cs="Calibri"/>
          <w:i/>
          <w:iCs/>
          <w:sz w:val="24"/>
          <w:szCs w:val="24"/>
        </w:rPr>
      </w:pPr>
      <w:r w:rsidRPr="002638F1">
        <w:rPr>
          <w:rFonts w:ascii="Calibri" w:hAnsi="Calibri" w:cs="Calibri"/>
          <w:i/>
          <w:iCs/>
          <w:sz w:val="24"/>
          <w:szCs w:val="24"/>
        </w:rPr>
        <w:t xml:space="preserve"> h. El derecho a libertad de asociación; </w:t>
      </w:r>
    </w:p>
    <w:p w14:paraId="6A880E87" w14:textId="77777777" w:rsidR="002638F1" w:rsidRPr="002638F1" w:rsidRDefault="002638F1" w:rsidP="002638F1">
      <w:pPr>
        <w:spacing w:after="120" w:line="360" w:lineRule="auto"/>
        <w:jc w:val="both"/>
        <w:rPr>
          <w:rFonts w:ascii="Calibri" w:hAnsi="Calibri" w:cs="Calibri"/>
          <w:i/>
          <w:iCs/>
          <w:sz w:val="24"/>
          <w:szCs w:val="24"/>
        </w:rPr>
      </w:pPr>
      <w:r w:rsidRPr="002638F1">
        <w:rPr>
          <w:rFonts w:ascii="Calibri" w:hAnsi="Calibri" w:cs="Calibri"/>
          <w:i/>
          <w:iCs/>
          <w:sz w:val="24"/>
          <w:szCs w:val="24"/>
        </w:rPr>
        <w:lastRenderedPageBreak/>
        <w:t>i. el derecho a la libertad de profesar la religión y las creencias propias dentro de la ley, y</w:t>
      </w:r>
    </w:p>
    <w:p w14:paraId="00A23381" w14:textId="77777777" w:rsidR="002638F1" w:rsidRPr="002638F1" w:rsidRDefault="002638F1" w:rsidP="002638F1">
      <w:pPr>
        <w:spacing w:after="120" w:line="360" w:lineRule="auto"/>
        <w:jc w:val="both"/>
        <w:rPr>
          <w:rFonts w:ascii="Calibri" w:hAnsi="Calibri" w:cs="Calibri"/>
          <w:i/>
          <w:iCs/>
          <w:sz w:val="24"/>
          <w:szCs w:val="24"/>
        </w:rPr>
      </w:pPr>
      <w:r w:rsidRPr="002638F1">
        <w:rPr>
          <w:rFonts w:ascii="Calibri" w:hAnsi="Calibri" w:cs="Calibri"/>
          <w:i/>
          <w:iCs/>
          <w:sz w:val="24"/>
          <w:szCs w:val="24"/>
        </w:rPr>
        <w:t xml:space="preserve"> j. El derecho a tener igualdad de acceso a las funciones públicas de su país y a participar en los asuntos públicos, incluyendo la toma de decisiones.</w:t>
      </w:r>
    </w:p>
    <w:p w14:paraId="32C1BB7E" w14:textId="77777777" w:rsidR="002638F1" w:rsidRDefault="002638F1" w:rsidP="002638F1">
      <w:pPr>
        <w:spacing w:after="120" w:line="360" w:lineRule="auto"/>
        <w:jc w:val="both"/>
        <w:rPr>
          <w:rFonts w:ascii="Calibri" w:hAnsi="Calibri" w:cs="Calibri"/>
          <w:sz w:val="24"/>
          <w:szCs w:val="24"/>
        </w:rPr>
      </w:pPr>
    </w:p>
    <w:p w14:paraId="699E82E6" w14:textId="4AC2EB17" w:rsidR="002638F1" w:rsidRPr="002638F1" w:rsidRDefault="002638F1" w:rsidP="002638F1">
      <w:pPr>
        <w:spacing w:after="120" w:line="360" w:lineRule="auto"/>
        <w:jc w:val="both"/>
        <w:rPr>
          <w:rFonts w:ascii="Calibri" w:hAnsi="Calibri" w:cs="Calibri"/>
          <w:sz w:val="24"/>
          <w:szCs w:val="24"/>
        </w:rPr>
      </w:pPr>
      <w:r w:rsidRPr="002638F1">
        <w:rPr>
          <w:rFonts w:ascii="Calibri" w:hAnsi="Calibri" w:cs="Calibri"/>
          <w:b/>
          <w:bCs/>
          <w:sz w:val="24"/>
          <w:szCs w:val="24"/>
        </w:rPr>
        <w:t>IV.-</w:t>
      </w:r>
      <w:r w:rsidRPr="002638F1">
        <w:rPr>
          <w:rFonts w:ascii="Calibri" w:hAnsi="Calibri" w:cs="Calibri"/>
          <w:sz w:val="24"/>
          <w:szCs w:val="24"/>
        </w:rPr>
        <w:t xml:space="preserve"> Lograr la igualdad de género, requiere adoptar medidas urgentes para eliminar las causas profundas de la discriminación que sigue restringiendo los derechos de las mujeres, tanto en la esfera pública como privada. Entre otras cosas, es necesario un cambio en las leyes discriminatorias y apropiar otras que promuevan activamente la igualdad. </w:t>
      </w:r>
    </w:p>
    <w:p w14:paraId="0110A3C0" w14:textId="77777777" w:rsidR="002638F1" w:rsidRPr="002638F1" w:rsidRDefault="002638F1" w:rsidP="002638F1">
      <w:pPr>
        <w:spacing w:after="120" w:line="360" w:lineRule="auto"/>
        <w:jc w:val="both"/>
        <w:rPr>
          <w:rFonts w:ascii="Calibri" w:hAnsi="Calibri" w:cs="Calibri"/>
          <w:sz w:val="24"/>
          <w:szCs w:val="24"/>
        </w:rPr>
      </w:pPr>
      <w:r w:rsidRPr="002638F1">
        <w:rPr>
          <w:rFonts w:ascii="Calibri" w:hAnsi="Calibri" w:cs="Calibri"/>
          <w:sz w:val="24"/>
          <w:szCs w:val="24"/>
        </w:rPr>
        <w:t xml:space="preserve">La Erradicación de la violencia de genero debe ser una prioridad, ya que constituye una de las violaciones de los derechos humanos </w:t>
      </w:r>
      <w:proofErr w:type="spellStart"/>
      <w:r w:rsidRPr="002638F1">
        <w:rPr>
          <w:rFonts w:ascii="Calibri" w:hAnsi="Calibri" w:cs="Calibri"/>
          <w:sz w:val="24"/>
          <w:szCs w:val="24"/>
        </w:rPr>
        <w:t>mas</w:t>
      </w:r>
      <w:proofErr w:type="spellEnd"/>
      <w:r w:rsidRPr="002638F1">
        <w:rPr>
          <w:rFonts w:ascii="Calibri" w:hAnsi="Calibri" w:cs="Calibri"/>
          <w:sz w:val="24"/>
          <w:szCs w:val="24"/>
        </w:rPr>
        <w:t xml:space="preserve"> grandes en el mundo actual, podemos encontrar esto en los siguientes datos: </w:t>
      </w:r>
    </w:p>
    <w:p w14:paraId="7666B4CB" w14:textId="77777777" w:rsidR="002638F1" w:rsidRPr="002638F1" w:rsidRDefault="002638F1" w:rsidP="002638F1">
      <w:pPr>
        <w:spacing w:after="120" w:line="360" w:lineRule="auto"/>
        <w:jc w:val="both"/>
        <w:rPr>
          <w:rFonts w:ascii="Calibri" w:hAnsi="Calibri" w:cs="Calibri"/>
          <w:sz w:val="24"/>
          <w:szCs w:val="24"/>
        </w:rPr>
      </w:pPr>
      <w:r w:rsidRPr="002638F1">
        <w:rPr>
          <w:rFonts w:ascii="Calibri" w:hAnsi="Calibri" w:cs="Calibri"/>
          <w:sz w:val="24"/>
          <w:szCs w:val="24"/>
        </w:rPr>
        <w:t>En 2021, a nivel nacional, del total de mujeres de 15 años y más, 70.1% han experimentado al menos un incidente de violencia, que puede ser psicológica, económica, patrimonial, física, sexual o de discriminación en al menos un ámbito y ejercida por cualquier persona agresora a lo largo de su vida.</w:t>
      </w:r>
    </w:p>
    <w:p w14:paraId="5D32CADA" w14:textId="77777777" w:rsidR="002638F1" w:rsidRPr="002638F1" w:rsidRDefault="002638F1" w:rsidP="002638F1">
      <w:pPr>
        <w:spacing w:after="120" w:line="360" w:lineRule="auto"/>
        <w:jc w:val="both"/>
        <w:rPr>
          <w:rFonts w:ascii="Calibri" w:hAnsi="Calibri" w:cs="Calibri"/>
          <w:sz w:val="24"/>
          <w:szCs w:val="24"/>
        </w:rPr>
      </w:pPr>
      <w:r w:rsidRPr="002638F1">
        <w:rPr>
          <w:rFonts w:ascii="Calibri" w:hAnsi="Calibri" w:cs="Calibri"/>
          <w:sz w:val="24"/>
          <w:szCs w:val="24"/>
        </w:rPr>
        <w:t>La violencia psicológica es la que presenta mayor prevalencia (51.6 %), seguida de la violencia sexual (49.7 %), la violencia física (34.7 %) y la violencia económica, patrimonial y/o discriminación (27.4 %).</w:t>
      </w:r>
    </w:p>
    <w:p w14:paraId="009D035D" w14:textId="77777777" w:rsidR="002638F1" w:rsidRPr="002638F1" w:rsidRDefault="002638F1" w:rsidP="002638F1">
      <w:pPr>
        <w:spacing w:after="120" w:line="360" w:lineRule="auto"/>
        <w:jc w:val="both"/>
        <w:rPr>
          <w:rFonts w:ascii="Calibri" w:hAnsi="Calibri" w:cs="Calibri"/>
          <w:sz w:val="24"/>
          <w:szCs w:val="24"/>
        </w:rPr>
      </w:pPr>
      <w:r w:rsidRPr="002638F1">
        <w:rPr>
          <w:rFonts w:ascii="Calibri" w:hAnsi="Calibri" w:cs="Calibri"/>
          <w:sz w:val="24"/>
          <w:szCs w:val="24"/>
        </w:rPr>
        <w:t>Mientras que, de octubre 2020 a octubre 2021, 42.8 % de las de mujeres de 15 años y más experimentaron algún tipo de violencia, la violencia psicológica es la que presenta mayor prevalencia (29.4 %), seguida de la violencia sexual (23.3 %), la violencia económica, patrimonial y/o discriminación (16.2 %) y la violencia física (10.2 %)</w:t>
      </w:r>
    </w:p>
    <w:p w14:paraId="2296A50F" w14:textId="77777777" w:rsidR="002638F1" w:rsidRPr="002638F1" w:rsidRDefault="002638F1" w:rsidP="002638F1">
      <w:pPr>
        <w:spacing w:after="120" w:line="360" w:lineRule="auto"/>
        <w:jc w:val="both"/>
        <w:rPr>
          <w:rFonts w:ascii="Calibri" w:hAnsi="Calibri" w:cs="Calibri"/>
          <w:sz w:val="24"/>
          <w:szCs w:val="24"/>
        </w:rPr>
      </w:pPr>
      <w:r w:rsidRPr="002638F1">
        <w:rPr>
          <w:rFonts w:ascii="Calibri" w:hAnsi="Calibri" w:cs="Calibri"/>
          <w:sz w:val="24"/>
          <w:szCs w:val="24"/>
        </w:rPr>
        <w:t xml:space="preserve">De acuerdo con la ENDIREH 2021, la prevalencia de violencia (de cualquier tipo a lo largo de la vida) contra las mujeres de 15 años y más en México, muestra que aquéllas que experimentan mayor violencia son: las que residen en áreas urbanas (73.0 %); de edades </w:t>
      </w:r>
      <w:r w:rsidRPr="002638F1">
        <w:rPr>
          <w:rFonts w:ascii="Calibri" w:hAnsi="Calibri" w:cs="Calibri"/>
          <w:sz w:val="24"/>
          <w:szCs w:val="24"/>
        </w:rPr>
        <w:lastRenderedPageBreak/>
        <w:t>entre 25 y 34 años (75.0 %); quienes cuentan con un nivel de escolaridad superior (77.9 %) y las que se encuentran separadas, divorciadas o viudas (74.0 %).</w:t>
      </w:r>
    </w:p>
    <w:p w14:paraId="6DDCD52D" w14:textId="77777777" w:rsidR="002638F1" w:rsidRDefault="002638F1" w:rsidP="002638F1">
      <w:pPr>
        <w:spacing w:after="120" w:line="360" w:lineRule="auto"/>
        <w:jc w:val="both"/>
        <w:rPr>
          <w:rFonts w:ascii="Calibri" w:hAnsi="Calibri" w:cs="Calibri"/>
          <w:b/>
          <w:bCs/>
          <w:sz w:val="24"/>
          <w:szCs w:val="24"/>
        </w:rPr>
      </w:pPr>
    </w:p>
    <w:p w14:paraId="0846F29E" w14:textId="59D8D128" w:rsidR="002638F1" w:rsidRPr="002638F1" w:rsidRDefault="002638F1" w:rsidP="002638F1">
      <w:pPr>
        <w:spacing w:after="120" w:line="360" w:lineRule="auto"/>
        <w:jc w:val="both"/>
        <w:rPr>
          <w:rFonts w:ascii="Calibri" w:hAnsi="Calibri" w:cs="Calibri"/>
          <w:sz w:val="24"/>
          <w:szCs w:val="24"/>
        </w:rPr>
      </w:pPr>
      <w:r w:rsidRPr="002638F1">
        <w:rPr>
          <w:rFonts w:ascii="Calibri" w:hAnsi="Calibri" w:cs="Calibri"/>
          <w:b/>
          <w:bCs/>
          <w:sz w:val="24"/>
          <w:szCs w:val="24"/>
        </w:rPr>
        <w:t xml:space="preserve">V.- </w:t>
      </w:r>
      <w:r w:rsidRPr="002638F1">
        <w:rPr>
          <w:rFonts w:ascii="Calibri" w:hAnsi="Calibri" w:cs="Calibri"/>
          <w:sz w:val="24"/>
          <w:szCs w:val="24"/>
        </w:rPr>
        <w:t xml:space="preserve">La violencia contra las mujeres en los espacios públicos o comunitarios es sobre todo de índole sexual, que va desde frases ofensivas de tipo </w:t>
      </w:r>
      <w:proofErr w:type="gramStart"/>
      <w:r w:rsidRPr="002638F1">
        <w:rPr>
          <w:rFonts w:ascii="Calibri" w:hAnsi="Calibri" w:cs="Calibri"/>
          <w:sz w:val="24"/>
          <w:szCs w:val="24"/>
        </w:rPr>
        <w:t>sexual ,</w:t>
      </w:r>
      <w:proofErr w:type="gramEnd"/>
      <w:r w:rsidRPr="002638F1">
        <w:rPr>
          <w:rFonts w:ascii="Calibri" w:hAnsi="Calibri" w:cs="Calibri"/>
          <w:sz w:val="24"/>
          <w:szCs w:val="24"/>
        </w:rPr>
        <w:t xml:space="preserve"> acecho y abuso sexual; en el ámbito comunitario estas situaciones ocurren en los siguientes espacios: la calle el lugar donde ocurren más agresiones de este tipo, con 62% de incidencia, mientras que 51% sucede en el transporte público, 44% lo sufren en el trabajo y 26% en la escuela. Entre las principales situaciones de </w:t>
      </w:r>
      <w:r w:rsidRPr="002638F1">
        <w:rPr>
          <w:rFonts w:ascii="Calibri" w:hAnsi="Calibri" w:cs="Calibri"/>
          <w:b/>
          <w:bCs/>
          <w:sz w:val="24"/>
          <w:szCs w:val="24"/>
        </w:rPr>
        <w:t>acoso</w:t>
      </w:r>
      <w:r w:rsidRPr="002638F1">
        <w:rPr>
          <w:rFonts w:ascii="Calibri" w:hAnsi="Calibri" w:cs="Calibri"/>
          <w:sz w:val="24"/>
          <w:szCs w:val="24"/>
        </w:rPr>
        <w:t>, a 80% de las mujeres las han molestado o hecho sentir incómodas en el transporte público, 75% han recibido comentarios ofensivos sobre su cuerpo y 71% sufrido tocamientos sin su consentimiento.</w:t>
      </w:r>
    </w:p>
    <w:p w14:paraId="16CCEE79" w14:textId="77777777" w:rsidR="002638F1" w:rsidRDefault="002638F1" w:rsidP="002638F1">
      <w:pPr>
        <w:spacing w:after="120" w:line="360" w:lineRule="auto"/>
        <w:jc w:val="both"/>
        <w:rPr>
          <w:rFonts w:ascii="Calibri" w:hAnsi="Calibri" w:cs="Calibri"/>
          <w:b/>
          <w:bCs/>
          <w:sz w:val="24"/>
          <w:szCs w:val="24"/>
        </w:rPr>
      </w:pPr>
    </w:p>
    <w:p w14:paraId="24D63EED" w14:textId="4BEB23E5" w:rsidR="002638F1" w:rsidRPr="002638F1" w:rsidRDefault="002638F1" w:rsidP="002638F1">
      <w:pPr>
        <w:spacing w:after="120" w:line="360" w:lineRule="auto"/>
        <w:jc w:val="both"/>
        <w:rPr>
          <w:rFonts w:ascii="Calibri" w:hAnsi="Calibri" w:cs="Calibri"/>
          <w:sz w:val="24"/>
          <w:szCs w:val="24"/>
        </w:rPr>
      </w:pPr>
      <w:r w:rsidRPr="002638F1">
        <w:rPr>
          <w:rFonts w:ascii="Calibri" w:hAnsi="Calibri" w:cs="Calibri"/>
          <w:b/>
          <w:bCs/>
          <w:sz w:val="24"/>
          <w:szCs w:val="24"/>
        </w:rPr>
        <w:t xml:space="preserve">VI.- </w:t>
      </w:r>
      <w:r w:rsidRPr="002638F1">
        <w:rPr>
          <w:rFonts w:ascii="Calibri" w:hAnsi="Calibri" w:cs="Calibri"/>
          <w:sz w:val="24"/>
          <w:szCs w:val="24"/>
        </w:rPr>
        <w:t xml:space="preserve">La Encuesta Nacional de Victimizaciones y Percepción sobre Seguridad </w:t>
      </w:r>
      <w:proofErr w:type="spellStart"/>
      <w:r w:rsidRPr="002638F1">
        <w:rPr>
          <w:rFonts w:ascii="Calibri" w:hAnsi="Calibri" w:cs="Calibri"/>
          <w:sz w:val="24"/>
          <w:szCs w:val="24"/>
        </w:rPr>
        <w:t>Publica</w:t>
      </w:r>
      <w:proofErr w:type="spellEnd"/>
      <w:r w:rsidRPr="002638F1">
        <w:rPr>
          <w:rFonts w:ascii="Calibri" w:hAnsi="Calibri" w:cs="Calibri"/>
          <w:sz w:val="24"/>
          <w:szCs w:val="24"/>
        </w:rPr>
        <w:t xml:space="preserve"> (ENVIPE) que lleva a cabo el INEGI, entre otras cosas recaba información sobre la incidencia delictiva que afecta a los hogares y las personas integrantes del hogar, la cifra negra, las características del delito, las </w:t>
      </w:r>
      <w:proofErr w:type="spellStart"/>
      <w:r w:rsidRPr="002638F1">
        <w:rPr>
          <w:rFonts w:ascii="Calibri" w:hAnsi="Calibri" w:cs="Calibri"/>
          <w:sz w:val="24"/>
          <w:szCs w:val="24"/>
        </w:rPr>
        <w:t>victimas</w:t>
      </w:r>
      <w:proofErr w:type="spellEnd"/>
      <w:r w:rsidRPr="002638F1">
        <w:rPr>
          <w:rFonts w:ascii="Calibri" w:hAnsi="Calibri" w:cs="Calibri"/>
          <w:sz w:val="24"/>
          <w:szCs w:val="24"/>
        </w:rPr>
        <w:t xml:space="preserve"> y el contexto de la victimización; señalando respecto del tema del acoso en la vía pública, que uno de los espacios donde la población se sintió </w:t>
      </w:r>
      <w:proofErr w:type="spellStart"/>
      <w:r w:rsidRPr="002638F1">
        <w:rPr>
          <w:rFonts w:ascii="Calibri" w:hAnsi="Calibri" w:cs="Calibri"/>
          <w:sz w:val="24"/>
          <w:szCs w:val="24"/>
        </w:rPr>
        <w:t>mas</w:t>
      </w:r>
      <w:proofErr w:type="spellEnd"/>
      <w:r w:rsidRPr="002638F1">
        <w:rPr>
          <w:rFonts w:ascii="Calibri" w:hAnsi="Calibri" w:cs="Calibri"/>
          <w:sz w:val="24"/>
          <w:szCs w:val="24"/>
        </w:rPr>
        <w:t xml:space="preserve"> insegura, con 74.2% fue en el transporte público. Por lo que debe considerarse la necesidad social y legal de garantizar, a través de una norma que prohíba y sancione aquellas conductas que violenten la esfera jurídica de las mujeres en los espacios de acceso público, así como en el transporte público.</w:t>
      </w:r>
    </w:p>
    <w:p w14:paraId="4D329701" w14:textId="77777777" w:rsidR="002638F1" w:rsidRDefault="002638F1" w:rsidP="002638F1">
      <w:pPr>
        <w:spacing w:after="120" w:line="360" w:lineRule="auto"/>
        <w:jc w:val="both"/>
        <w:rPr>
          <w:rFonts w:ascii="Calibri" w:hAnsi="Calibri" w:cs="Calibri"/>
          <w:sz w:val="24"/>
          <w:szCs w:val="24"/>
        </w:rPr>
      </w:pPr>
    </w:p>
    <w:p w14:paraId="4A38C9AD" w14:textId="4EE5491C" w:rsidR="002638F1" w:rsidRPr="002638F1" w:rsidRDefault="002638F1" w:rsidP="002638F1">
      <w:pPr>
        <w:spacing w:after="120" w:line="360" w:lineRule="auto"/>
        <w:jc w:val="both"/>
        <w:rPr>
          <w:rFonts w:ascii="Calibri" w:hAnsi="Calibri" w:cs="Calibri"/>
          <w:strike/>
          <w:sz w:val="24"/>
          <w:szCs w:val="24"/>
        </w:rPr>
      </w:pPr>
      <w:r w:rsidRPr="002638F1">
        <w:rPr>
          <w:rFonts w:ascii="Calibri" w:hAnsi="Calibri" w:cs="Calibri"/>
          <w:sz w:val="24"/>
          <w:szCs w:val="24"/>
        </w:rPr>
        <w:t xml:space="preserve">VII.- Uno de los temas pendientes es la armonización legislativa, la cual debe impulsarse en el marco del cumplimiento de los compromisos internacionales en materia de derechos humanos, a fin de garantizar leyes que den una verdadera fuerza jurídica a los preceptos de </w:t>
      </w:r>
      <w:r w:rsidRPr="002638F1">
        <w:rPr>
          <w:rFonts w:ascii="Calibri" w:hAnsi="Calibri" w:cs="Calibri"/>
          <w:sz w:val="24"/>
          <w:szCs w:val="24"/>
        </w:rPr>
        <w:lastRenderedPageBreak/>
        <w:t>progresividad de los estándares universales para la protección de las mujeres y niñas. Lo anterior cobra relevancia en el contexto del 9º informe de cumplimiento ante el Comité para la Eliminación de todas las Formas de Discriminación contra la Mujer de la ONU, ya que en el apartado correspondiente al tema parlamentario realiza una serie de reconocimientos, recomendaciones y reiteraciones; destacando el papel fundamental que desempeña el Poder Legislativo para garantizar la plena aplicación de la Convención.</w:t>
      </w:r>
    </w:p>
    <w:p w14:paraId="7F9DBD2F" w14:textId="77777777" w:rsidR="002638F1" w:rsidRPr="002638F1" w:rsidRDefault="002638F1" w:rsidP="002638F1">
      <w:pPr>
        <w:spacing w:after="120" w:line="360" w:lineRule="auto"/>
        <w:jc w:val="both"/>
        <w:rPr>
          <w:rFonts w:ascii="Calibri" w:hAnsi="Calibri" w:cs="Calibri"/>
          <w:sz w:val="24"/>
          <w:szCs w:val="24"/>
        </w:rPr>
      </w:pPr>
      <w:r w:rsidRPr="002638F1">
        <w:rPr>
          <w:rFonts w:ascii="Calibri" w:hAnsi="Calibri" w:cs="Calibri"/>
          <w:sz w:val="24"/>
          <w:szCs w:val="24"/>
        </w:rPr>
        <w:t>VIII.- Si bien es cierto, las políticas públicas de carácter preventivo deben cobrar mayor relevancia dentro nuestro marco jurídico, también es cierto que la sociedad actual reclama de normas que sancionen de forma más contundente la comisión de conductas antisociales tales como las palabras en doble sentido, miradas lascivas, piropos obscenos y agresivos, señas o gestos obscenos, fotografías tomadas sin autorización, contacto físico, tocamientos, entre otras conductas. Lo anterior al tratarse de acciones que se realizan sin el consentimiento de la víctima y que tienen como consecuencia el detrimento, inhibición, limitación e incluso la eliminación de los derechos humanos de las víctimas, ya que en un principio se afecta el estado emocional de las mujeres, por ser un elemento que limita el ejercicio del derecho a la ciudad por motivos de género, y que genera un tipo de violencia específica, ya que ocurre en entornos de vulnerabilidad como lo son los espacios públicos y el transporte público.</w:t>
      </w:r>
    </w:p>
    <w:p w14:paraId="7DD5B67B" w14:textId="77777777" w:rsidR="002638F1" w:rsidRDefault="002638F1" w:rsidP="002638F1">
      <w:pPr>
        <w:spacing w:after="120" w:line="360" w:lineRule="auto"/>
        <w:jc w:val="both"/>
        <w:rPr>
          <w:rFonts w:ascii="Calibri" w:hAnsi="Calibri" w:cs="Calibri"/>
          <w:sz w:val="24"/>
          <w:szCs w:val="24"/>
        </w:rPr>
      </w:pPr>
    </w:p>
    <w:p w14:paraId="616FB998" w14:textId="28D7E76B" w:rsidR="002638F1" w:rsidRPr="002638F1" w:rsidRDefault="002638F1" w:rsidP="002638F1">
      <w:pPr>
        <w:spacing w:after="120" w:line="360" w:lineRule="auto"/>
        <w:jc w:val="both"/>
        <w:rPr>
          <w:rFonts w:ascii="Calibri" w:hAnsi="Calibri" w:cs="Calibri"/>
          <w:sz w:val="24"/>
          <w:szCs w:val="24"/>
        </w:rPr>
      </w:pPr>
      <w:r w:rsidRPr="002638F1">
        <w:rPr>
          <w:rFonts w:ascii="Calibri" w:hAnsi="Calibri" w:cs="Calibri"/>
          <w:sz w:val="24"/>
          <w:szCs w:val="24"/>
        </w:rPr>
        <w:t xml:space="preserve">IX.- A nivel nacional, en nuestro país se han generado leyes, políticas, planes nacionales, campañas, protocolos, entre otras acciones para prevenir, erradicar y sancionar la violencia contra las mujeres, fortaleciendo sus Derechos Humanos. En el 2006 se publicó la Ley General para la Igualdad entre Mujeres y Hombres y en el 2007 la Ley General de Acceso de las Mujeres a una Vida Libre de Violencia. También, en el mismo año se crearon el Sistema Nacional para Prevenir, Atender, Sancionar y Erradicar la Violencia contra las Mujeres y la Comisión Nacional para Prevenir y Erradicar la Violencia contra las Mujeres (CONAVIM).   </w:t>
      </w:r>
      <w:r w:rsidRPr="002638F1">
        <w:rPr>
          <w:rFonts w:ascii="Calibri" w:hAnsi="Calibri" w:cs="Calibri"/>
          <w:sz w:val="24"/>
          <w:szCs w:val="24"/>
        </w:rPr>
        <w:lastRenderedPageBreak/>
        <w:t xml:space="preserve">Aun y cuando se han tenido avances significativos éstos han sido paulatinos, hace falta la concientización en todos los ámbitos, para eliminar las relaciones de inequidad entre mujeres y hombres que traen como consecuencia que muchas mujeres sean subordinadas en el seno del hogar, la escuela, el trabajo, o en otros ámbitos como son el social y político. </w:t>
      </w:r>
    </w:p>
    <w:p w14:paraId="7B1834AA" w14:textId="77777777" w:rsidR="002638F1" w:rsidRDefault="002638F1" w:rsidP="002638F1">
      <w:pPr>
        <w:spacing w:after="120" w:line="360" w:lineRule="auto"/>
        <w:jc w:val="both"/>
        <w:rPr>
          <w:rFonts w:ascii="Calibri" w:hAnsi="Calibri" w:cs="Calibri"/>
          <w:sz w:val="24"/>
          <w:szCs w:val="24"/>
        </w:rPr>
      </w:pPr>
    </w:p>
    <w:p w14:paraId="162FF06F" w14:textId="0AC678E2" w:rsidR="002638F1" w:rsidRPr="002638F1" w:rsidRDefault="002638F1" w:rsidP="002638F1">
      <w:pPr>
        <w:spacing w:after="120" w:line="360" w:lineRule="auto"/>
        <w:jc w:val="both"/>
        <w:rPr>
          <w:rFonts w:ascii="Calibri" w:hAnsi="Calibri" w:cs="Calibri"/>
          <w:sz w:val="24"/>
          <w:szCs w:val="24"/>
        </w:rPr>
      </w:pPr>
      <w:r w:rsidRPr="002638F1">
        <w:rPr>
          <w:rFonts w:ascii="Calibri" w:hAnsi="Calibri" w:cs="Calibri"/>
          <w:sz w:val="24"/>
          <w:szCs w:val="24"/>
        </w:rPr>
        <w:t>X. En el Estado de Chihuahua, contamos desde el 25 de enero del 2007 con la Ley Estatal del Derecho de las Mujeres a una Vida Libre de Violencia, la cual, entre otras cosas, establece las bases para la prevención, atención y erradicación de la violencia contra las mujeres de cualquier edad en el ámbito público o privado; así como las bases para diseñar el contenido de las políticas públicas, programas y acciones, así como promover la aplicación las medidas tendientes a erradicar la violencia contra las mujeres. </w:t>
      </w:r>
    </w:p>
    <w:p w14:paraId="4827A199" w14:textId="77777777" w:rsidR="002638F1" w:rsidRPr="002638F1" w:rsidRDefault="002638F1" w:rsidP="002638F1">
      <w:pPr>
        <w:spacing w:after="120" w:line="360" w:lineRule="auto"/>
        <w:jc w:val="both"/>
        <w:rPr>
          <w:rFonts w:ascii="Calibri" w:hAnsi="Calibri" w:cs="Calibri"/>
          <w:sz w:val="24"/>
          <w:szCs w:val="24"/>
        </w:rPr>
      </w:pPr>
      <w:r w:rsidRPr="002638F1">
        <w:rPr>
          <w:rFonts w:ascii="Calibri" w:hAnsi="Calibri" w:cs="Calibri"/>
          <w:sz w:val="24"/>
          <w:szCs w:val="24"/>
        </w:rPr>
        <w:t xml:space="preserve">De igual manera establece los principios, tipos y modalidades de violencia contra las mujeres, así como una serie de disposiciones y </w:t>
      </w:r>
      <w:proofErr w:type="gramStart"/>
      <w:r w:rsidRPr="002638F1">
        <w:rPr>
          <w:rFonts w:ascii="Calibri" w:hAnsi="Calibri" w:cs="Calibri"/>
          <w:sz w:val="24"/>
          <w:szCs w:val="24"/>
        </w:rPr>
        <w:t>de  contenidos</w:t>
      </w:r>
      <w:proofErr w:type="gramEnd"/>
      <w:r w:rsidRPr="002638F1">
        <w:rPr>
          <w:rFonts w:ascii="Calibri" w:hAnsi="Calibri" w:cs="Calibri"/>
          <w:sz w:val="24"/>
          <w:szCs w:val="24"/>
        </w:rPr>
        <w:t xml:space="preserve"> que orientan el quehacer de las instituciones públicas, y las medidas para concientizar y sensibilizar a la comunidad con el propósito de prevenir y erradicar todas las formas de violencia contra las mujeres. Para saber en qué momento se ejerce la violencia contra la mujer es necesario conocer las formas, manifestaciones y conductas que la reflejan, así como los ámbitos y espacios en donde ésta puede ocurrir. </w:t>
      </w:r>
    </w:p>
    <w:p w14:paraId="336F4B2A" w14:textId="77777777" w:rsidR="002638F1" w:rsidRPr="002638F1" w:rsidRDefault="002638F1" w:rsidP="002638F1">
      <w:pPr>
        <w:spacing w:after="120" w:line="360" w:lineRule="auto"/>
        <w:jc w:val="both"/>
        <w:rPr>
          <w:rFonts w:ascii="Calibri" w:hAnsi="Calibri" w:cs="Calibri"/>
          <w:sz w:val="24"/>
          <w:szCs w:val="24"/>
        </w:rPr>
      </w:pPr>
      <w:r w:rsidRPr="002638F1">
        <w:rPr>
          <w:rFonts w:ascii="Calibri" w:hAnsi="Calibri" w:cs="Calibri"/>
          <w:sz w:val="24"/>
          <w:szCs w:val="24"/>
        </w:rPr>
        <w:t>En nuestra legislación estatal se establecen seis tipos de violencia contra la mujer, física, sexual, psicológica, patrimonial, económica y obstétrica; y seis tipos de modalidades: violencia familiar, institucional, laboral, docente, en la comunidad y el feminicidio. </w:t>
      </w:r>
    </w:p>
    <w:p w14:paraId="4FA36944" w14:textId="77777777" w:rsidR="002638F1" w:rsidRPr="002638F1" w:rsidRDefault="002638F1" w:rsidP="002638F1">
      <w:pPr>
        <w:spacing w:after="120" w:line="360" w:lineRule="auto"/>
        <w:jc w:val="both"/>
        <w:rPr>
          <w:rFonts w:ascii="Calibri" w:hAnsi="Calibri" w:cs="Calibri"/>
          <w:sz w:val="24"/>
          <w:szCs w:val="24"/>
        </w:rPr>
      </w:pPr>
      <w:r w:rsidRPr="002638F1">
        <w:rPr>
          <w:rFonts w:ascii="Calibri" w:hAnsi="Calibri" w:cs="Calibri"/>
          <w:sz w:val="24"/>
          <w:szCs w:val="24"/>
        </w:rPr>
        <w:t>No debemos ser tolerantes con ningún acto que vulnere nuestros derechos como mujeres.</w:t>
      </w:r>
    </w:p>
    <w:p w14:paraId="7CA0AE0B" w14:textId="77777777" w:rsidR="002638F1" w:rsidRDefault="002638F1" w:rsidP="002638F1">
      <w:pPr>
        <w:spacing w:after="120" w:line="360" w:lineRule="auto"/>
        <w:jc w:val="both"/>
        <w:rPr>
          <w:rFonts w:ascii="Calibri" w:hAnsi="Calibri" w:cs="Calibri"/>
          <w:sz w:val="24"/>
          <w:szCs w:val="24"/>
        </w:rPr>
      </w:pPr>
    </w:p>
    <w:p w14:paraId="4B0A3BD4" w14:textId="6AA9514C" w:rsidR="002638F1" w:rsidRPr="002638F1" w:rsidRDefault="002638F1" w:rsidP="002638F1">
      <w:pPr>
        <w:spacing w:after="120" w:line="360" w:lineRule="auto"/>
        <w:jc w:val="both"/>
        <w:rPr>
          <w:rFonts w:ascii="Calibri" w:hAnsi="Calibri" w:cs="Calibri"/>
          <w:b/>
          <w:bCs/>
          <w:sz w:val="24"/>
          <w:szCs w:val="24"/>
        </w:rPr>
      </w:pPr>
      <w:r w:rsidRPr="002638F1">
        <w:rPr>
          <w:rFonts w:ascii="Calibri" w:hAnsi="Calibri" w:cs="Calibri"/>
          <w:sz w:val="24"/>
          <w:szCs w:val="24"/>
        </w:rPr>
        <w:t xml:space="preserve">XI.- En ese orden de ideas, la presente iniciativa plantea reformar la Ley de Acceso de las Mujeres a una Vida Libre de Violencia a efecto de que la violencia ocurrida en espacios de </w:t>
      </w:r>
      <w:r w:rsidRPr="002638F1">
        <w:rPr>
          <w:rFonts w:ascii="Calibri" w:hAnsi="Calibri" w:cs="Calibri"/>
          <w:sz w:val="24"/>
          <w:szCs w:val="24"/>
        </w:rPr>
        <w:lastRenderedPageBreak/>
        <w:t>acceso público y en medios de transporte públicos sea considerada dentro de la modalidad ya contemplada de Violencia en la Comunidad, al tiempo de establecer que esta se sancionará de acuerdo a lo establecido en el Código Penal. Asimismo, ampliar las descripciones de los tipos de violencia contemplados en el art. 5 de la Ley Estatal del Derecho de las Mujeres a una Vida Libre de Violencia,</w:t>
      </w:r>
      <w:r w:rsidRPr="002638F1">
        <w:rPr>
          <w:rFonts w:ascii="Calibri" w:hAnsi="Calibri" w:cs="Calibri"/>
          <w:b/>
          <w:bCs/>
          <w:sz w:val="24"/>
          <w:szCs w:val="24"/>
        </w:rPr>
        <w:t xml:space="preserve"> con la finalidad de incorporar comportamientos y conductas que también configuran esas violencias y que deben ser mencionadas. </w:t>
      </w:r>
    </w:p>
    <w:p w14:paraId="62A623F5" w14:textId="77777777" w:rsidR="002638F1" w:rsidRPr="002638F1" w:rsidRDefault="002638F1" w:rsidP="002638F1">
      <w:pPr>
        <w:spacing w:after="120" w:line="360" w:lineRule="auto"/>
        <w:jc w:val="both"/>
        <w:rPr>
          <w:rFonts w:ascii="Calibri" w:hAnsi="Calibri" w:cs="Calibri"/>
          <w:b/>
          <w:bCs/>
          <w:sz w:val="24"/>
          <w:szCs w:val="24"/>
        </w:rPr>
      </w:pPr>
      <w:r w:rsidRPr="002638F1">
        <w:rPr>
          <w:rFonts w:ascii="Calibri" w:hAnsi="Calibri" w:cs="Calibri"/>
          <w:b/>
          <w:bCs/>
          <w:sz w:val="24"/>
          <w:szCs w:val="24"/>
        </w:rPr>
        <w:t xml:space="preserve">En lo que corresponde a la Violencia Psicológica, se pretenden incorporar aquellos comportamientos y decisiones que puedan llevar a la víctima a la depresión, al aislamiento, a la devaluación de la autoestima e incluso al suicidio, consistente en negligencia y abandono, entre otras consecuencias referentes a la salud mental de la mujer. </w:t>
      </w:r>
    </w:p>
    <w:p w14:paraId="1ABE5615" w14:textId="77777777" w:rsidR="002638F1" w:rsidRPr="002638F1" w:rsidRDefault="002638F1" w:rsidP="002638F1">
      <w:pPr>
        <w:spacing w:after="120" w:line="360" w:lineRule="auto"/>
        <w:jc w:val="both"/>
        <w:rPr>
          <w:rFonts w:ascii="Calibri" w:hAnsi="Calibri" w:cs="Calibri"/>
          <w:b/>
          <w:bCs/>
          <w:sz w:val="24"/>
          <w:szCs w:val="24"/>
        </w:rPr>
      </w:pPr>
      <w:r w:rsidRPr="002638F1">
        <w:rPr>
          <w:rFonts w:ascii="Calibri" w:hAnsi="Calibri" w:cs="Calibri"/>
          <w:b/>
          <w:bCs/>
          <w:sz w:val="24"/>
          <w:szCs w:val="24"/>
        </w:rPr>
        <w:t xml:space="preserve">En la Violencia Física se propone agregar los objetos o líquidos con los que se puede dañar la integridad física de una </w:t>
      </w:r>
      <w:proofErr w:type="gramStart"/>
      <w:r w:rsidRPr="002638F1">
        <w:rPr>
          <w:rFonts w:ascii="Calibri" w:hAnsi="Calibri" w:cs="Calibri"/>
          <w:b/>
          <w:bCs/>
          <w:sz w:val="24"/>
          <w:szCs w:val="24"/>
        </w:rPr>
        <w:t>mujer,  ya</w:t>
      </w:r>
      <w:proofErr w:type="gramEnd"/>
      <w:r w:rsidRPr="002638F1">
        <w:rPr>
          <w:rFonts w:ascii="Calibri" w:hAnsi="Calibri" w:cs="Calibri"/>
          <w:b/>
          <w:bCs/>
          <w:sz w:val="24"/>
          <w:szCs w:val="24"/>
        </w:rPr>
        <w:t xml:space="preserve"> sea algún tipo de arma, ácido o sustancia corrosiva, cáustica, irritante, tóxica o </w:t>
      </w:r>
      <w:proofErr w:type="spellStart"/>
      <w:r w:rsidRPr="002638F1">
        <w:rPr>
          <w:rFonts w:ascii="Calibri" w:hAnsi="Calibri" w:cs="Calibri"/>
          <w:b/>
          <w:bCs/>
          <w:sz w:val="24"/>
          <w:szCs w:val="24"/>
        </w:rPr>
        <w:t>flamable</w:t>
      </w:r>
      <w:proofErr w:type="spellEnd"/>
      <w:r w:rsidRPr="002638F1">
        <w:rPr>
          <w:rFonts w:ascii="Calibri" w:hAnsi="Calibri" w:cs="Calibri"/>
          <w:b/>
          <w:bCs/>
          <w:sz w:val="24"/>
          <w:szCs w:val="24"/>
        </w:rPr>
        <w:t xml:space="preserve"> o cualquier otra sustancia que, en determinadas condiciones, pueda provocar o no lesiones ya sean internas, externas, o ambas;</w:t>
      </w:r>
    </w:p>
    <w:p w14:paraId="7AB004B1" w14:textId="77777777" w:rsidR="002638F1" w:rsidRPr="002638F1" w:rsidRDefault="002638F1" w:rsidP="002638F1">
      <w:pPr>
        <w:spacing w:after="120" w:line="360" w:lineRule="auto"/>
        <w:jc w:val="both"/>
        <w:rPr>
          <w:rFonts w:ascii="Calibri" w:hAnsi="Calibri" w:cs="Calibri"/>
          <w:b/>
          <w:bCs/>
          <w:sz w:val="24"/>
          <w:szCs w:val="24"/>
        </w:rPr>
      </w:pPr>
      <w:r w:rsidRPr="002638F1">
        <w:rPr>
          <w:rFonts w:ascii="Calibri" w:hAnsi="Calibri" w:cs="Calibri"/>
          <w:b/>
          <w:bCs/>
          <w:sz w:val="24"/>
          <w:szCs w:val="24"/>
        </w:rPr>
        <w:t>Y, en el tipo de Violencia Sexual, agregar que la violencia sexual es una expresión de abuso de poder que implica la supremacía masculina sobre la mujer, al denigrarla y verla como un simple objeto para satisfacer necesidades.</w:t>
      </w:r>
    </w:p>
    <w:p w14:paraId="4DB0E958" w14:textId="77777777" w:rsidR="002638F1" w:rsidRPr="002638F1" w:rsidRDefault="002638F1" w:rsidP="002638F1">
      <w:pPr>
        <w:spacing w:after="120" w:line="360" w:lineRule="auto"/>
        <w:jc w:val="both"/>
        <w:rPr>
          <w:rFonts w:ascii="Calibri" w:hAnsi="Calibri" w:cs="Calibri"/>
          <w:b/>
          <w:bCs/>
          <w:sz w:val="24"/>
          <w:szCs w:val="24"/>
        </w:rPr>
      </w:pPr>
      <w:r w:rsidRPr="002638F1">
        <w:rPr>
          <w:rFonts w:ascii="Calibri" w:hAnsi="Calibri" w:cs="Calibri"/>
          <w:b/>
          <w:bCs/>
          <w:sz w:val="24"/>
          <w:szCs w:val="24"/>
        </w:rPr>
        <w:t xml:space="preserve">Recae en nosotros como legisladoras y legisladores, especificar todas las formas en las que una mujer puede ser agredida, acosada, violentada, maltratada, discriminada y afectada. Y extender el contenido de los tipos y modalidades referentes al artículo 5to y 6to de la Ley Estatal del Derecho de las Mujeres a una Vida Libre de Violencia, para contemplar todos los supuestos, con el fin de que se lleven a cabo campañas, programas o cualquier forma de exteriorización, con el fin de informar y de esta forma se creen </w:t>
      </w:r>
      <w:r w:rsidRPr="002638F1">
        <w:rPr>
          <w:rFonts w:ascii="Calibri" w:hAnsi="Calibri" w:cs="Calibri"/>
          <w:b/>
          <w:bCs/>
          <w:sz w:val="24"/>
          <w:szCs w:val="24"/>
        </w:rPr>
        <w:lastRenderedPageBreak/>
        <w:t xml:space="preserve">medidas para prevenir o castigar este tipo de conductas y acercarnos </w:t>
      </w:r>
      <w:proofErr w:type="spellStart"/>
      <w:r w:rsidRPr="002638F1">
        <w:rPr>
          <w:rFonts w:ascii="Calibri" w:hAnsi="Calibri" w:cs="Calibri"/>
          <w:b/>
          <w:bCs/>
          <w:sz w:val="24"/>
          <w:szCs w:val="24"/>
        </w:rPr>
        <w:t>mas</w:t>
      </w:r>
      <w:proofErr w:type="spellEnd"/>
      <w:r w:rsidRPr="002638F1">
        <w:rPr>
          <w:rFonts w:ascii="Calibri" w:hAnsi="Calibri" w:cs="Calibri"/>
          <w:b/>
          <w:bCs/>
          <w:sz w:val="24"/>
          <w:szCs w:val="24"/>
        </w:rPr>
        <w:t xml:space="preserve"> a una vida libre de violencia y discriminación hacia la mujer.</w:t>
      </w:r>
    </w:p>
    <w:p w14:paraId="65D22311" w14:textId="77777777" w:rsidR="002638F1" w:rsidRDefault="002638F1" w:rsidP="002638F1">
      <w:pPr>
        <w:spacing w:line="360" w:lineRule="auto"/>
        <w:jc w:val="both"/>
        <w:rPr>
          <w:rFonts w:ascii="Calibri" w:hAnsi="Calibri" w:cs="Calibri"/>
          <w:sz w:val="24"/>
          <w:szCs w:val="24"/>
        </w:rPr>
      </w:pPr>
    </w:p>
    <w:p w14:paraId="16F4B64E" w14:textId="3B41C93E" w:rsidR="002638F1" w:rsidRPr="002638F1" w:rsidRDefault="002638F1" w:rsidP="002638F1">
      <w:pPr>
        <w:spacing w:line="360" w:lineRule="auto"/>
        <w:jc w:val="both"/>
        <w:rPr>
          <w:rFonts w:ascii="Calibri" w:hAnsi="Calibri" w:cs="Calibri"/>
          <w:sz w:val="24"/>
          <w:szCs w:val="24"/>
        </w:rPr>
      </w:pPr>
      <w:r w:rsidRPr="002638F1">
        <w:rPr>
          <w:rFonts w:ascii="Calibri" w:hAnsi="Calibri" w:cs="Calibri"/>
          <w:sz w:val="24"/>
          <w:szCs w:val="24"/>
        </w:rPr>
        <w:t>Por los anteriores motivos y consideraciones, nos permitimos a someter a esta soberanía, el siguiente proyecto de:</w:t>
      </w:r>
    </w:p>
    <w:p w14:paraId="45027FF0" w14:textId="77777777" w:rsidR="002638F1" w:rsidRPr="002638F1" w:rsidRDefault="002638F1" w:rsidP="002638F1">
      <w:pPr>
        <w:spacing w:line="360" w:lineRule="auto"/>
        <w:jc w:val="center"/>
        <w:rPr>
          <w:rFonts w:ascii="Calibri" w:hAnsi="Calibri" w:cs="Calibri"/>
          <w:b/>
          <w:bCs/>
          <w:sz w:val="24"/>
          <w:szCs w:val="24"/>
        </w:rPr>
      </w:pPr>
      <w:r w:rsidRPr="002638F1">
        <w:rPr>
          <w:rFonts w:ascii="Calibri" w:hAnsi="Calibri" w:cs="Calibri"/>
          <w:b/>
          <w:bCs/>
          <w:sz w:val="24"/>
          <w:szCs w:val="24"/>
        </w:rPr>
        <w:t>D E C R E T O</w:t>
      </w:r>
    </w:p>
    <w:p w14:paraId="0BF2FD79" w14:textId="77777777" w:rsidR="002638F1" w:rsidRPr="002638F1" w:rsidRDefault="002638F1" w:rsidP="002638F1">
      <w:pPr>
        <w:spacing w:line="360" w:lineRule="auto"/>
        <w:jc w:val="both"/>
        <w:rPr>
          <w:rFonts w:ascii="Calibri" w:hAnsi="Calibri" w:cs="Calibri"/>
          <w:sz w:val="24"/>
          <w:szCs w:val="24"/>
        </w:rPr>
      </w:pPr>
      <w:r w:rsidRPr="002638F1">
        <w:rPr>
          <w:rFonts w:ascii="Calibri" w:hAnsi="Calibri" w:cs="Calibri"/>
          <w:b/>
          <w:bCs/>
          <w:sz w:val="24"/>
          <w:szCs w:val="24"/>
        </w:rPr>
        <w:t xml:space="preserve">ARTICULO PRIMERO. -  </w:t>
      </w:r>
      <w:r w:rsidRPr="002638F1">
        <w:rPr>
          <w:rFonts w:ascii="Calibri" w:hAnsi="Calibri" w:cs="Calibri"/>
          <w:sz w:val="24"/>
          <w:szCs w:val="24"/>
        </w:rPr>
        <w:t xml:space="preserve"> Se modifican las fracciones I, II, III y IV del artículo 5 y la fracción IV del artículo 6 de la Ley Estatal del Derecho de las Mujeres a una Vida Libre de Violencia referente a los tipos y modalidades de violencia, para quedar en los siguientes términos </w:t>
      </w:r>
    </w:p>
    <w:p w14:paraId="03F2B1EC" w14:textId="77777777" w:rsidR="002638F1" w:rsidRPr="002638F1" w:rsidRDefault="002638F1" w:rsidP="002638F1">
      <w:pPr>
        <w:spacing w:line="360" w:lineRule="auto"/>
        <w:jc w:val="both"/>
        <w:rPr>
          <w:rFonts w:ascii="Calibri" w:hAnsi="Calibri" w:cs="Calibri"/>
          <w:sz w:val="24"/>
          <w:szCs w:val="24"/>
        </w:rPr>
      </w:pPr>
      <w:proofErr w:type="spellStart"/>
      <w:r w:rsidRPr="002638F1">
        <w:rPr>
          <w:rFonts w:ascii="Calibri" w:hAnsi="Calibri" w:cs="Calibri"/>
          <w:sz w:val="24"/>
          <w:szCs w:val="24"/>
        </w:rPr>
        <w:t>Articulo</w:t>
      </w:r>
      <w:proofErr w:type="spellEnd"/>
      <w:r w:rsidRPr="002638F1">
        <w:rPr>
          <w:rFonts w:ascii="Calibri" w:hAnsi="Calibri" w:cs="Calibri"/>
          <w:sz w:val="24"/>
          <w:szCs w:val="24"/>
        </w:rPr>
        <w:t xml:space="preserve"> 5. Los tipos de violencia contra las mujeres son: </w:t>
      </w:r>
    </w:p>
    <w:p w14:paraId="10A06F99" w14:textId="77777777" w:rsidR="002638F1" w:rsidRPr="002638F1" w:rsidRDefault="002638F1" w:rsidP="002638F1">
      <w:pPr>
        <w:spacing w:line="360" w:lineRule="auto"/>
        <w:jc w:val="both"/>
        <w:rPr>
          <w:rFonts w:ascii="Calibri" w:hAnsi="Calibri" w:cs="Calibri"/>
          <w:b/>
          <w:bCs/>
          <w:sz w:val="24"/>
          <w:szCs w:val="24"/>
        </w:rPr>
      </w:pPr>
      <w:r w:rsidRPr="002638F1">
        <w:rPr>
          <w:rFonts w:ascii="Calibri" w:hAnsi="Calibri" w:cs="Calibri"/>
          <w:sz w:val="24"/>
          <w:szCs w:val="24"/>
        </w:rPr>
        <w:t xml:space="preserve">I.- Violencia Física:  Es cualquier acto que inflige daño a la mujer a través del uso de la fuerza física, </w:t>
      </w:r>
      <w:r w:rsidRPr="002638F1">
        <w:rPr>
          <w:rFonts w:ascii="Calibri" w:hAnsi="Calibri" w:cs="Calibri"/>
          <w:b/>
          <w:bCs/>
          <w:sz w:val="24"/>
          <w:szCs w:val="24"/>
        </w:rPr>
        <w:t>o algún tipo de arma, objeto, ácido o sustancia corrosiva, cáustica, irritante, tóxica o inflamable o cualquier otra sustancia que, en determinadas condiciones, pueda provocar o no lesiones ya sean internas, externas, o ambas.</w:t>
      </w:r>
    </w:p>
    <w:p w14:paraId="75E5F148" w14:textId="77777777" w:rsidR="002638F1" w:rsidRPr="002638F1" w:rsidRDefault="002638F1" w:rsidP="002638F1">
      <w:pPr>
        <w:spacing w:line="360" w:lineRule="auto"/>
        <w:jc w:val="both"/>
        <w:rPr>
          <w:rFonts w:ascii="Calibri" w:hAnsi="Calibri" w:cs="Calibri"/>
          <w:b/>
          <w:bCs/>
          <w:sz w:val="24"/>
          <w:szCs w:val="24"/>
        </w:rPr>
      </w:pPr>
      <w:r w:rsidRPr="002638F1">
        <w:rPr>
          <w:rFonts w:ascii="Calibri" w:hAnsi="Calibri" w:cs="Calibri"/>
          <w:sz w:val="24"/>
          <w:szCs w:val="24"/>
        </w:rPr>
        <w:t xml:space="preserve">II.- Violencia Sexual: Es cualquier acto u omisión que atenta o limita el derecho a la libertad y seguridad sexuales de las mujeres </w:t>
      </w:r>
      <w:r w:rsidRPr="002638F1">
        <w:rPr>
          <w:rFonts w:ascii="Calibri" w:hAnsi="Calibri" w:cs="Calibri"/>
          <w:b/>
          <w:bCs/>
          <w:sz w:val="24"/>
          <w:szCs w:val="24"/>
        </w:rPr>
        <w:t>como miradas o palabras lascivas, hostigamiento, prácticas sexuales no voluntarias, acoso, violación, explotación sexual comercial, trata de personas para la explotación sexual o el uso denigrante de la imagen de la mujer. Es una expresión de abuso de poder que implica supremacía masculina sobre la mujer, al denigrarla y concebirla como objeto;</w:t>
      </w:r>
    </w:p>
    <w:p w14:paraId="116659E9" w14:textId="77777777" w:rsidR="002638F1" w:rsidRPr="002638F1" w:rsidRDefault="002638F1" w:rsidP="002638F1">
      <w:pPr>
        <w:spacing w:line="360" w:lineRule="auto"/>
        <w:jc w:val="both"/>
        <w:rPr>
          <w:rFonts w:ascii="Calibri" w:hAnsi="Calibri" w:cs="Calibri"/>
          <w:b/>
          <w:bCs/>
          <w:sz w:val="24"/>
          <w:szCs w:val="24"/>
        </w:rPr>
      </w:pPr>
      <w:r w:rsidRPr="002638F1">
        <w:rPr>
          <w:rFonts w:ascii="Calibri" w:hAnsi="Calibri" w:cs="Calibri"/>
          <w:sz w:val="24"/>
          <w:szCs w:val="24"/>
        </w:rPr>
        <w:t xml:space="preserve">III.- Violencia sicológica : Es cualquier acto u omisión que daña la estabilidad emocional, altera la salud mental de la mujer que recibe el maltrato consistente, </w:t>
      </w:r>
      <w:r w:rsidRPr="002638F1">
        <w:rPr>
          <w:rFonts w:ascii="Calibri" w:hAnsi="Calibri" w:cs="Calibri"/>
          <w:b/>
          <w:bCs/>
          <w:sz w:val="24"/>
          <w:szCs w:val="24"/>
        </w:rPr>
        <w:t xml:space="preserve">así como intimidar o controlar sus acciones, comportamientos y decisiones las cuales conllevan a la víctima a la depresión, al asilamiento, a la devaluación de su autoestima e incluso al suicidio, consistente en negligencia, abandono, prohibiciones, coacciones, condicionamientos, intimidaciones, insultos, amenazas, celotipia, desdén, indiferencia, descuido reiterado, chantaje, humillaciones, comparaciones destructivas, abandono o actitudes </w:t>
      </w:r>
      <w:r w:rsidRPr="002638F1">
        <w:rPr>
          <w:rFonts w:ascii="Calibri" w:hAnsi="Calibri" w:cs="Calibri"/>
          <w:b/>
          <w:bCs/>
          <w:sz w:val="24"/>
          <w:szCs w:val="24"/>
        </w:rPr>
        <w:lastRenderedPageBreak/>
        <w:t xml:space="preserve">devaluatorias, marginación, comparaciones destructivas, rechazo, restricción a la autodeterminación, amenazas o cualquier otra, que provoque en quien la recibe alteración </w:t>
      </w:r>
      <w:proofErr w:type="spellStart"/>
      <w:r w:rsidRPr="002638F1">
        <w:rPr>
          <w:rFonts w:ascii="Calibri" w:hAnsi="Calibri" w:cs="Calibri"/>
          <w:b/>
          <w:bCs/>
          <w:sz w:val="24"/>
          <w:szCs w:val="24"/>
        </w:rPr>
        <w:t>autocognitiva</w:t>
      </w:r>
      <w:proofErr w:type="spellEnd"/>
      <w:r w:rsidRPr="002638F1">
        <w:rPr>
          <w:rFonts w:ascii="Calibri" w:hAnsi="Calibri" w:cs="Calibri"/>
          <w:b/>
          <w:bCs/>
          <w:sz w:val="24"/>
          <w:szCs w:val="24"/>
        </w:rPr>
        <w:t xml:space="preserve"> y </w:t>
      </w:r>
      <w:proofErr w:type="spellStart"/>
      <w:r w:rsidRPr="002638F1">
        <w:rPr>
          <w:rFonts w:ascii="Calibri" w:hAnsi="Calibri" w:cs="Calibri"/>
          <w:b/>
          <w:bCs/>
          <w:sz w:val="24"/>
          <w:szCs w:val="24"/>
        </w:rPr>
        <w:t>autovalorativa</w:t>
      </w:r>
      <w:proofErr w:type="spellEnd"/>
      <w:r w:rsidRPr="002638F1">
        <w:rPr>
          <w:rFonts w:ascii="Calibri" w:hAnsi="Calibri" w:cs="Calibri"/>
          <w:b/>
          <w:bCs/>
          <w:sz w:val="24"/>
          <w:szCs w:val="24"/>
        </w:rPr>
        <w:t xml:space="preserve"> que integran su autoestima o alteraciones en alguna esfera o área de su estructura psíquica.</w:t>
      </w:r>
    </w:p>
    <w:p w14:paraId="1E93F1C6" w14:textId="77777777" w:rsidR="002638F1" w:rsidRPr="002638F1" w:rsidRDefault="002638F1" w:rsidP="002638F1">
      <w:pPr>
        <w:spacing w:line="360" w:lineRule="auto"/>
        <w:jc w:val="both"/>
        <w:rPr>
          <w:rFonts w:ascii="Calibri" w:hAnsi="Calibri" w:cs="Calibri"/>
          <w:b/>
          <w:bCs/>
          <w:sz w:val="24"/>
          <w:szCs w:val="24"/>
        </w:rPr>
      </w:pPr>
      <w:r w:rsidRPr="002638F1">
        <w:rPr>
          <w:rFonts w:ascii="Calibri" w:hAnsi="Calibri" w:cs="Calibri"/>
          <w:b/>
          <w:bCs/>
          <w:sz w:val="24"/>
          <w:szCs w:val="24"/>
        </w:rPr>
        <w:t>IV a VII…</w:t>
      </w:r>
    </w:p>
    <w:p w14:paraId="2CAF0043" w14:textId="77777777" w:rsidR="002638F1" w:rsidRPr="002638F1" w:rsidRDefault="002638F1" w:rsidP="002638F1">
      <w:pPr>
        <w:spacing w:line="360" w:lineRule="auto"/>
        <w:jc w:val="both"/>
        <w:rPr>
          <w:rFonts w:ascii="Calibri" w:hAnsi="Calibri" w:cs="Calibri"/>
          <w:sz w:val="24"/>
          <w:szCs w:val="24"/>
        </w:rPr>
      </w:pPr>
    </w:p>
    <w:p w14:paraId="50A9E12E" w14:textId="77777777" w:rsidR="002638F1" w:rsidRPr="002638F1" w:rsidRDefault="002638F1" w:rsidP="002638F1">
      <w:pPr>
        <w:spacing w:line="360" w:lineRule="auto"/>
        <w:jc w:val="both"/>
        <w:rPr>
          <w:rFonts w:ascii="Calibri" w:hAnsi="Calibri" w:cs="Calibri"/>
          <w:sz w:val="24"/>
          <w:szCs w:val="24"/>
        </w:rPr>
      </w:pPr>
      <w:r w:rsidRPr="002638F1">
        <w:rPr>
          <w:rFonts w:ascii="Calibri" w:hAnsi="Calibri" w:cs="Calibri"/>
          <w:sz w:val="24"/>
          <w:szCs w:val="24"/>
        </w:rPr>
        <w:t xml:space="preserve">ARTICULO 6.- Las modalidades de Violencia son: </w:t>
      </w:r>
    </w:p>
    <w:p w14:paraId="20308F8F" w14:textId="77777777" w:rsidR="002638F1" w:rsidRPr="002638F1" w:rsidRDefault="002638F1" w:rsidP="002638F1">
      <w:pPr>
        <w:spacing w:line="360" w:lineRule="auto"/>
        <w:jc w:val="both"/>
        <w:rPr>
          <w:rFonts w:ascii="Calibri" w:hAnsi="Calibri" w:cs="Calibri"/>
          <w:sz w:val="24"/>
          <w:szCs w:val="24"/>
        </w:rPr>
      </w:pPr>
      <w:r w:rsidRPr="002638F1">
        <w:rPr>
          <w:rFonts w:ascii="Calibri" w:hAnsi="Calibri" w:cs="Calibri"/>
          <w:sz w:val="24"/>
          <w:szCs w:val="24"/>
        </w:rPr>
        <w:t>I a III ….</w:t>
      </w:r>
    </w:p>
    <w:p w14:paraId="02001F5E" w14:textId="77777777" w:rsidR="002638F1" w:rsidRPr="002638F1" w:rsidRDefault="002638F1" w:rsidP="002638F1">
      <w:pPr>
        <w:spacing w:line="360" w:lineRule="auto"/>
        <w:jc w:val="both"/>
        <w:rPr>
          <w:rFonts w:ascii="Calibri" w:hAnsi="Calibri" w:cs="Calibri"/>
          <w:sz w:val="24"/>
          <w:szCs w:val="24"/>
        </w:rPr>
      </w:pPr>
      <w:r w:rsidRPr="002638F1">
        <w:rPr>
          <w:rFonts w:ascii="Calibri" w:hAnsi="Calibri" w:cs="Calibri"/>
          <w:sz w:val="24"/>
          <w:szCs w:val="24"/>
        </w:rPr>
        <w:t>IV.- Violencia en la Comunidad: Son los actos individuales o colectivos que transgreden derechos fundamentales de las mujeres en el ámbito público y propician su denigración, discriminación, marginación o exclusión.</w:t>
      </w:r>
    </w:p>
    <w:p w14:paraId="59C01863" w14:textId="77777777" w:rsidR="002638F1" w:rsidRPr="002638F1" w:rsidRDefault="002638F1" w:rsidP="002638F1">
      <w:pPr>
        <w:spacing w:line="360" w:lineRule="auto"/>
        <w:jc w:val="both"/>
        <w:rPr>
          <w:rFonts w:ascii="Calibri" w:hAnsi="Calibri" w:cs="Calibri"/>
          <w:b/>
          <w:bCs/>
          <w:sz w:val="24"/>
          <w:szCs w:val="24"/>
        </w:rPr>
      </w:pPr>
      <w:r w:rsidRPr="002638F1">
        <w:rPr>
          <w:rFonts w:ascii="Calibri" w:hAnsi="Calibri" w:cs="Calibri"/>
          <w:b/>
          <w:bCs/>
          <w:sz w:val="24"/>
          <w:szCs w:val="24"/>
        </w:rPr>
        <w:t>Se considerará también aquella que ocurre en los espacios de acceso público y medios de transporte público, a través de conductas físicas o verbales, basadas en el género.</w:t>
      </w:r>
    </w:p>
    <w:p w14:paraId="3974737F" w14:textId="77777777" w:rsidR="002638F1" w:rsidRPr="002638F1" w:rsidRDefault="002638F1" w:rsidP="002638F1">
      <w:pPr>
        <w:spacing w:line="360" w:lineRule="auto"/>
        <w:jc w:val="both"/>
        <w:rPr>
          <w:rFonts w:ascii="Calibri" w:hAnsi="Calibri" w:cs="Calibri"/>
          <w:b/>
          <w:bCs/>
          <w:sz w:val="24"/>
          <w:szCs w:val="24"/>
        </w:rPr>
      </w:pPr>
      <w:r w:rsidRPr="002638F1">
        <w:rPr>
          <w:rFonts w:ascii="Calibri" w:hAnsi="Calibri" w:cs="Calibri"/>
          <w:sz w:val="24"/>
          <w:szCs w:val="24"/>
        </w:rPr>
        <w:t>V a VI…</w:t>
      </w:r>
    </w:p>
    <w:p w14:paraId="437F9E56" w14:textId="77777777" w:rsidR="002638F1" w:rsidRPr="002638F1" w:rsidRDefault="002638F1" w:rsidP="002638F1">
      <w:pPr>
        <w:spacing w:line="360" w:lineRule="auto"/>
        <w:jc w:val="center"/>
        <w:rPr>
          <w:rFonts w:ascii="Calibri" w:hAnsi="Calibri" w:cs="Calibri"/>
          <w:b/>
          <w:bCs/>
          <w:sz w:val="24"/>
          <w:szCs w:val="24"/>
        </w:rPr>
      </w:pPr>
      <w:r w:rsidRPr="002638F1">
        <w:rPr>
          <w:rFonts w:ascii="Calibri" w:hAnsi="Calibri" w:cs="Calibri"/>
          <w:b/>
          <w:bCs/>
          <w:sz w:val="24"/>
          <w:szCs w:val="24"/>
        </w:rPr>
        <w:t>T R A N S I T O R I O S:</w:t>
      </w:r>
    </w:p>
    <w:p w14:paraId="11EA22DC" w14:textId="77777777" w:rsidR="002638F1" w:rsidRPr="002638F1" w:rsidRDefault="002638F1" w:rsidP="002638F1">
      <w:pPr>
        <w:spacing w:line="360" w:lineRule="auto"/>
        <w:jc w:val="center"/>
        <w:rPr>
          <w:rFonts w:ascii="Calibri" w:hAnsi="Calibri" w:cs="Calibri"/>
          <w:b/>
          <w:bCs/>
          <w:sz w:val="24"/>
          <w:szCs w:val="24"/>
        </w:rPr>
      </w:pPr>
    </w:p>
    <w:p w14:paraId="5E480EB0" w14:textId="77777777" w:rsidR="002638F1" w:rsidRPr="002638F1" w:rsidRDefault="002638F1" w:rsidP="002638F1">
      <w:pPr>
        <w:spacing w:line="360" w:lineRule="auto"/>
        <w:jc w:val="both"/>
        <w:rPr>
          <w:rFonts w:ascii="Calibri" w:hAnsi="Calibri" w:cs="Calibri"/>
          <w:sz w:val="24"/>
          <w:szCs w:val="24"/>
        </w:rPr>
      </w:pPr>
      <w:r w:rsidRPr="002638F1">
        <w:rPr>
          <w:rFonts w:ascii="Calibri" w:hAnsi="Calibri" w:cs="Calibri"/>
          <w:b/>
          <w:bCs/>
          <w:sz w:val="24"/>
          <w:szCs w:val="24"/>
        </w:rPr>
        <w:t xml:space="preserve">ARTICULO PRIMERO. </w:t>
      </w:r>
      <w:r w:rsidRPr="002638F1">
        <w:rPr>
          <w:rFonts w:ascii="Calibri" w:hAnsi="Calibri" w:cs="Calibri"/>
          <w:sz w:val="24"/>
          <w:szCs w:val="24"/>
        </w:rPr>
        <w:t>El presente decreto entrara en vigor al día siguiente de su publicación en el Periódico Oficial del Estado.</w:t>
      </w:r>
    </w:p>
    <w:p w14:paraId="0D685BB2" w14:textId="77777777" w:rsidR="002638F1" w:rsidRPr="002638F1" w:rsidRDefault="002638F1" w:rsidP="002638F1">
      <w:pPr>
        <w:spacing w:line="360" w:lineRule="auto"/>
        <w:jc w:val="both"/>
        <w:rPr>
          <w:rFonts w:ascii="Calibri" w:hAnsi="Calibri" w:cs="Calibri"/>
          <w:sz w:val="24"/>
          <w:szCs w:val="24"/>
        </w:rPr>
      </w:pPr>
      <w:r w:rsidRPr="002638F1">
        <w:rPr>
          <w:rFonts w:ascii="Calibri" w:hAnsi="Calibri" w:cs="Calibri"/>
          <w:b/>
          <w:bCs/>
          <w:sz w:val="24"/>
          <w:szCs w:val="24"/>
        </w:rPr>
        <w:t xml:space="preserve">ECONOMICO: </w:t>
      </w:r>
      <w:r w:rsidRPr="002638F1">
        <w:rPr>
          <w:rFonts w:ascii="Calibri" w:hAnsi="Calibri" w:cs="Calibri"/>
          <w:sz w:val="24"/>
          <w:szCs w:val="24"/>
        </w:rPr>
        <w:t xml:space="preserve">Aprobado que sea túrnese a la Secretaria de Asuntos Legislativos y Jurídicos para que elabore la minuta de Decreto en los términos que deba publicarse </w:t>
      </w:r>
    </w:p>
    <w:p w14:paraId="77926266" w14:textId="0EDF5361" w:rsidR="002638F1" w:rsidRPr="002638F1" w:rsidRDefault="002638F1" w:rsidP="002638F1">
      <w:pPr>
        <w:spacing w:line="360" w:lineRule="auto"/>
        <w:jc w:val="both"/>
        <w:rPr>
          <w:rFonts w:ascii="Calibri" w:hAnsi="Calibri" w:cs="Calibri"/>
          <w:sz w:val="24"/>
          <w:szCs w:val="24"/>
        </w:rPr>
      </w:pPr>
      <w:r w:rsidRPr="002638F1">
        <w:rPr>
          <w:rFonts w:ascii="Calibri" w:hAnsi="Calibri" w:cs="Calibri"/>
          <w:sz w:val="24"/>
          <w:szCs w:val="24"/>
        </w:rPr>
        <w:t xml:space="preserve">D A D O en el salón de sesiones del Poder Legislativo a los </w:t>
      </w:r>
      <w:r>
        <w:rPr>
          <w:rFonts w:ascii="Calibri" w:hAnsi="Calibri" w:cs="Calibri"/>
          <w:sz w:val="24"/>
          <w:szCs w:val="24"/>
        </w:rPr>
        <w:t>30</w:t>
      </w:r>
      <w:r w:rsidRPr="002638F1">
        <w:rPr>
          <w:rFonts w:ascii="Calibri" w:hAnsi="Calibri" w:cs="Calibri"/>
          <w:sz w:val="24"/>
          <w:szCs w:val="24"/>
        </w:rPr>
        <w:t xml:space="preserve"> días del mes de mayo del año dos mil veintitrés.</w:t>
      </w:r>
    </w:p>
    <w:p w14:paraId="45D5DFBC" w14:textId="77777777" w:rsidR="002638F1" w:rsidRPr="006D7F89" w:rsidRDefault="002638F1" w:rsidP="002638F1">
      <w:pPr>
        <w:spacing w:line="360" w:lineRule="auto"/>
        <w:jc w:val="both"/>
        <w:rPr>
          <w:rFonts w:ascii="Arial" w:hAnsi="Arial" w:cs="Arial"/>
          <w:b/>
          <w:bCs/>
        </w:rPr>
      </w:pPr>
    </w:p>
    <w:p w14:paraId="38F512BA" w14:textId="77777777" w:rsidR="002638F1" w:rsidRPr="00806102" w:rsidRDefault="002638F1" w:rsidP="002638F1">
      <w:pPr>
        <w:spacing w:line="360" w:lineRule="auto"/>
        <w:jc w:val="both"/>
        <w:rPr>
          <w:rFonts w:ascii="Arial" w:hAnsi="Arial" w:cs="Arial"/>
        </w:rPr>
      </w:pPr>
    </w:p>
    <w:p w14:paraId="61B8905A" w14:textId="77777777" w:rsidR="00C702F6" w:rsidRDefault="00C702F6" w:rsidP="00A1086F">
      <w:pPr>
        <w:pBdr>
          <w:top w:val="nil"/>
          <w:left w:val="nil"/>
          <w:bottom w:val="nil"/>
          <w:right w:val="nil"/>
          <w:between w:val="nil"/>
        </w:pBdr>
        <w:spacing w:after="192" w:line="480" w:lineRule="auto"/>
        <w:ind w:right="49"/>
        <w:jc w:val="both"/>
        <w:rPr>
          <w:rFonts w:ascii="Century Gothic" w:eastAsia="Century Gothic" w:hAnsi="Century Gothic" w:cs="Century Gothic"/>
          <w:bCs/>
          <w:color w:val="000000"/>
          <w:sz w:val="24"/>
          <w:szCs w:val="24"/>
        </w:rPr>
      </w:pPr>
    </w:p>
    <w:p w14:paraId="7B23C32C" w14:textId="77777777" w:rsidR="002638F1" w:rsidRPr="00C702F6" w:rsidRDefault="002638F1" w:rsidP="00A1086F">
      <w:pPr>
        <w:pBdr>
          <w:top w:val="nil"/>
          <w:left w:val="nil"/>
          <w:bottom w:val="nil"/>
          <w:right w:val="nil"/>
          <w:between w:val="nil"/>
        </w:pBdr>
        <w:spacing w:after="192" w:line="480" w:lineRule="auto"/>
        <w:ind w:right="49"/>
        <w:jc w:val="both"/>
        <w:rPr>
          <w:rFonts w:ascii="Century Gothic" w:eastAsia="Century Gothic" w:hAnsi="Century Gothic" w:cs="Century Gothic"/>
          <w:bCs/>
          <w:color w:val="000000"/>
          <w:sz w:val="24"/>
          <w:szCs w:val="24"/>
        </w:rPr>
      </w:pPr>
    </w:p>
    <w:p w14:paraId="171ED658" w14:textId="77777777" w:rsidR="00B05008" w:rsidRPr="00FD6878" w:rsidRDefault="0000547A" w:rsidP="006F6E47">
      <w:pPr>
        <w:spacing w:after="120" w:line="480" w:lineRule="auto"/>
        <w:jc w:val="center"/>
        <w:rPr>
          <w:rFonts w:ascii="Century Gothic" w:eastAsia="Century Gothic" w:hAnsi="Century Gothic" w:cs="Century Gothic"/>
          <w:b/>
          <w:sz w:val="24"/>
          <w:szCs w:val="24"/>
        </w:rPr>
      </w:pPr>
      <w:r w:rsidRPr="00FD6878">
        <w:rPr>
          <w:rFonts w:ascii="Century Gothic" w:eastAsia="Century Gothic" w:hAnsi="Century Gothic" w:cs="Century Gothic"/>
          <w:b/>
          <w:sz w:val="24"/>
          <w:szCs w:val="24"/>
        </w:rPr>
        <w:lastRenderedPageBreak/>
        <w:t>A T E N T A M E N T E</w:t>
      </w:r>
    </w:p>
    <w:p w14:paraId="49FF1FC6" w14:textId="77777777" w:rsidR="00B05008" w:rsidRPr="00FD6878" w:rsidRDefault="00B05008" w:rsidP="006F6E47">
      <w:pPr>
        <w:pBdr>
          <w:top w:val="nil"/>
          <w:left w:val="nil"/>
          <w:bottom w:val="nil"/>
          <w:right w:val="nil"/>
          <w:between w:val="nil"/>
        </w:pBdr>
        <w:spacing w:after="120" w:line="480" w:lineRule="auto"/>
        <w:rPr>
          <w:rFonts w:ascii="Century Gothic" w:eastAsia="Century Gothic" w:hAnsi="Century Gothic" w:cs="Century Gothic"/>
          <w:b/>
          <w:color w:val="000000"/>
          <w:sz w:val="24"/>
          <w:szCs w:val="24"/>
          <w:highlight w:val="white"/>
        </w:rPr>
      </w:pPr>
    </w:p>
    <w:p w14:paraId="5B72C984" w14:textId="77777777" w:rsidR="00B05008" w:rsidRPr="00FD6878" w:rsidRDefault="0000547A" w:rsidP="006F6E47">
      <w:pPr>
        <w:spacing w:after="120" w:line="480" w:lineRule="auto"/>
        <w:jc w:val="center"/>
        <w:rPr>
          <w:rFonts w:ascii="Century Gothic" w:eastAsia="Century Gothic" w:hAnsi="Century Gothic" w:cs="Century Gothic"/>
          <w:b/>
          <w:sz w:val="24"/>
          <w:szCs w:val="24"/>
        </w:rPr>
      </w:pPr>
      <w:r w:rsidRPr="00FD6878">
        <w:rPr>
          <w:rFonts w:ascii="Century Gothic" w:eastAsia="Century Gothic" w:hAnsi="Century Gothic" w:cs="Century Gothic"/>
          <w:b/>
          <w:sz w:val="24"/>
          <w:szCs w:val="24"/>
        </w:rPr>
        <w:t>DIP. LETICIA ORTEGA MÁYNEZ</w:t>
      </w:r>
    </w:p>
    <w:tbl>
      <w:tblPr>
        <w:tblStyle w:val="a"/>
        <w:tblW w:w="8828" w:type="dxa"/>
        <w:tblInd w:w="0" w:type="dxa"/>
        <w:tblLayout w:type="fixed"/>
        <w:tblLook w:val="0400" w:firstRow="0" w:lastRow="0" w:firstColumn="0" w:lastColumn="0" w:noHBand="0" w:noVBand="1"/>
      </w:tblPr>
      <w:tblGrid>
        <w:gridCol w:w="4106"/>
        <w:gridCol w:w="4722"/>
      </w:tblGrid>
      <w:tr w:rsidR="00B05008" w:rsidRPr="00FD6878" w14:paraId="239F317A" w14:textId="77777777" w:rsidTr="00FC5458">
        <w:trPr>
          <w:trHeight w:val="1984"/>
        </w:trPr>
        <w:tc>
          <w:tcPr>
            <w:tcW w:w="4106" w:type="dxa"/>
            <w:vAlign w:val="bottom"/>
          </w:tcPr>
          <w:p w14:paraId="5DA9BDF2" w14:textId="77777777" w:rsidR="00B05008" w:rsidRPr="00FD6878" w:rsidRDefault="0000547A" w:rsidP="009D038F">
            <w:pPr>
              <w:spacing w:after="120" w:line="480" w:lineRule="auto"/>
              <w:rPr>
                <w:rFonts w:ascii="Century Gothic" w:eastAsia="Century Gothic" w:hAnsi="Century Gothic" w:cs="Century Gothic"/>
                <w:b/>
                <w:sz w:val="24"/>
                <w:szCs w:val="24"/>
              </w:rPr>
            </w:pPr>
            <w:r w:rsidRPr="00FD6878">
              <w:rPr>
                <w:rFonts w:ascii="Century Gothic" w:eastAsia="Century Gothic" w:hAnsi="Century Gothic" w:cs="Century Gothic"/>
                <w:b/>
                <w:sz w:val="24"/>
                <w:szCs w:val="24"/>
              </w:rPr>
              <w:t>DIP. EDIN CUAUTHÉMOC ESTRADA</w:t>
            </w:r>
          </w:p>
        </w:tc>
        <w:tc>
          <w:tcPr>
            <w:tcW w:w="4722" w:type="dxa"/>
            <w:vAlign w:val="bottom"/>
          </w:tcPr>
          <w:p w14:paraId="53E8C375" w14:textId="77777777" w:rsidR="00B05008" w:rsidRPr="00FD6878" w:rsidRDefault="0000547A" w:rsidP="006F6E47">
            <w:pPr>
              <w:spacing w:after="120" w:line="480" w:lineRule="auto"/>
              <w:jc w:val="center"/>
              <w:rPr>
                <w:rFonts w:ascii="Century Gothic" w:eastAsia="Century Gothic" w:hAnsi="Century Gothic" w:cs="Century Gothic"/>
                <w:b/>
                <w:sz w:val="24"/>
                <w:szCs w:val="24"/>
              </w:rPr>
            </w:pPr>
            <w:r w:rsidRPr="00FD6878">
              <w:rPr>
                <w:rFonts w:ascii="Century Gothic" w:eastAsia="Century Gothic" w:hAnsi="Century Gothic" w:cs="Century Gothic"/>
                <w:b/>
                <w:sz w:val="24"/>
                <w:szCs w:val="24"/>
              </w:rPr>
              <w:t>DIP. ÓSCAR DANIEL AVITIA ARELLANES</w:t>
            </w:r>
          </w:p>
        </w:tc>
      </w:tr>
      <w:tr w:rsidR="00B05008" w:rsidRPr="00FD6878" w14:paraId="76513507" w14:textId="77777777" w:rsidTr="00FC5458">
        <w:trPr>
          <w:trHeight w:val="1984"/>
        </w:trPr>
        <w:tc>
          <w:tcPr>
            <w:tcW w:w="4106" w:type="dxa"/>
            <w:vAlign w:val="bottom"/>
          </w:tcPr>
          <w:p w14:paraId="2D39E439" w14:textId="77777777" w:rsidR="00B05008" w:rsidRPr="00FD6878" w:rsidRDefault="0000547A" w:rsidP="006F6E47">
            <w:pPr>
              <w:spacing w:after="120" w:line="480" w:lineRule="auto"/>
              <w:jc w:val="center"/>
              <w:rPr>
                <w:rFonts w:ascii="Century Gothic" w:eastAsia="Century Gothic" w:hAnsi="Century Gothic" w:cs="Century Gothic"/>
                <w:b/>
                <w:sz w:val="24"/>
                <w:szCs w:val="24"/>
              </w:rPr>
            </w:pPr>
            <w:r w:rsidRPr="00FD6878">
              <w:rPr>
                <w:rFonts w:ascii="Century Gothic" w:eastAsia="Century Gothic" w:hAnsi="Century Gothic" w:cs="Century Gothic"/>
                <w:b/>
                <w:sz w:val="24"/>
                <w:szCs w:val="24"/>
              </w:rPr>
              <w:t>DIP. ROSANA DÍAZ REYES</w:t>
            </w:r>
          </w:p>
        </w:tc>
        <w:tc>
          <w:tcPr>
            <w:tcW w:w="4722" w:type="dxa"/>
            <w:vAlign w:val="bottom"/>
          </w:tcPr>
          <w:p w14:paraId="20F51C73" w14:textId="77777777" w:rsidR="00B05008" w:rsidRPr="00FD6878" w:rsidRDefault="0000547A" w:rsidP="006F6E47">
            <w:pPr>
              <w:spacing w:after="120" w:line="480" w:lineRule="auto"/>
              <w:jc w:val="center"/>
              <w:rPr>
                <w:rFonts w:ascii="Century Gothic" w:eastAsia="Century Gothic" w:hAnsi="Century Gothic" w:cs="Century Gothic"/>
                <w:b/>
                <w:sz w:val="24"/>
                <w:szCs w:val="24"/>
              </w:rPr>
            </w:pPr>
            <w:r w:rsidRPr="00FD6878">
              <w:rPr>
                <w:rFonts w:ascii="Century Gothic" w:eastAsia="Century Gothic" w:hAnsi="Century Gothic" w:cs="Century Gothic"/>
                <w:b/>
                <w:sz w:val="24"/>
                <w:szCs w:val="24"/>
              </w:rPr>
              <w:t>DIP. GUSTAVO DE LA ROSA HICKERSON</w:t>
            </w:r>
          </w:p>
        </w:tc>
      </w:tr>
      <w:tr w:rsidR="00B05008" w:rsidRPr="00FD6878" w14:paraId="7432115C" w14:textId="77777777" w:rsidTr="00FC5458">
        <w:trPr>
          <w:trHeight w:val="1984"/>
        </w:trPr>
        <w:tc>
          <w:tcPr>
            <w:tcW w:w="4106" w:type="dxa"/>
            <w:vAlign w:val="bottom"/>
          </w:tcPr>
          <w:p w14:paraId="246C31CD" w14:textId="77777777" w:rsidR="00B05008" w:rsidRPr="00FD6878" w:rsidRDefault="0000547A" w:rsidP="006F6E47">
            <w:pPr>
              <w:spacing w:after="120" w:line="480" w:lineRule="auto"/>
              <w:jc w:val="center"/>
              <w:rPr>
                <w:rFonts w:ascii="Century Gothic" w:eastAsia="Century Gothic" w:hAnsi="Century Gothic" w:cs="Century Gothic"/>
                <w:b/>
                <w:sz w:val="24"/>
                <w:szCs w:val="24"/>
              </w:rPr>
            </w:pPr>
            <w:r w:rsidRPr="00FD6878">
              <w:rPr>
                <w:rFonts w:ascii="Century Gothic" w:eastAsia="Century Gothic" w:hAnsi="Century Gothic" w:cs="Century Gothic"/>
                <w:b/>
                <w:sz w:val="24"/>
                <w:szCs w:val="24"/>
              </w:rPr>
              <w:t>DIP. MAGDALENA RENTERÍA PÉREZ</w:t>
            </w:r>
          </w:p>
        </w:tc>
        <w:tc>
          <w:tcPr>
            <w:tcW w:w="4722" w:type="dxa"/>
            <w:vAlign w:val="bottom"/>
          </w:tcPr>
          <w:p w14:paraId="65BF3A72" w14:textId="77777777" w:rsidR="00B05008" w:rsidRPr="00FD6878" w:rsidRDefault="0000547A" w:rsidP="006F6E47">
            <w:pPr>
              <w:spacing w:after="120" w:line="480" w:lineRule="auto"/>
              <w:jc w:val="center"/>
              <w:rPr>
                <w:rFonts w:ascii="Century Gothic" w:eastAsia="Century Gothic" w:hAnsi="Century Gothic" w:cs="Century Gothic"/>
                <w:b/>
                <w:sz w:val="24"/>
                <w:szCs w:val="24"/>
              </w:rPr>
            </w:pPr>
            <w:r w:rsidRPr="00FD6878">
              <w:rPr>
                <w:rFonts w:ascii="Century Gothic" w:eastAsia="Century Gothic" w:hAnsi="Century Gothic" w:cs="Century Gothic"/>
                <w:b/>
                <w:sz w:val="24"/>
                <w:szCs w:val="24"/>
              </w:rPr>
              <w:t>DIP. MARÍA ANTONIETA PÉREZ REYES</w:t>
            </w:r>
          </w:p>
        </w:tc>
      </w:tr>
      <w:tr w:rsidR="00B05008" w:rsidRPr="00FD6878" w14:paraId="05CF4557" w14:textId="77777777" w:rsidTr="00FC5458">
        <w:trPr>
          <w:trHeight w:val="1984"/>
        </w:trPr>
        <w:tc>
          <w:tcPr>
            <w:tcW w:w="4106" w:type="dxa"/>
            <w:vAlign w:val="bottom"/>
          </w:tcPr>
          <w:p w14:paraId="3FD0F07B" w14:textId="7BE8A6BA" w:rsidR="00B05008" w:rsidRPr="00FD6878" w:rsidRDefault="0000547A" w:rsidP="006F6E47">
            <w:pPr>
              <w:spacing w:after="120" w:line="480" w:lineRule="auto"/>
              <w:jc w:val="center"/>
              <w:rPr>
                <w:rFonts w:ascii="Century Gothic" w:eastAsia="Century Gothic" w:hAnsi="Century Gothic" w:cs="Century Gothic"/>
                <w:b/>
                <w:sz w:val="24"/>
                <w:szCs w:val="24"/>
              </w:rPr>
            </w:pPr>
            <w:r w:rsidRPr="00FD6878">
              <w:rPr>
                <w:rFonts w:ascii="Century Gothic" w:eastAsia="Century Gothic" w:hAnsi="Century Gothic" w:cs="Century Gothic"/>
                <w:b/>
                <w:sz w:val="24"/>
                <w:szCs w:val="24"/>
              </w:rPr>
              <w:t xml:space="preserve">DIP. </w:t>
            </w:r>
            <w:r w:rsidR="000623B0">
              <w:rPr>
                <w:rFonts w:ascii="Century Gothic" w:eastAsia="Century Gothic" w:hAnsi="Century Gothic" w:cs="Century Gothic"/>
                <w:b/>
                <w:sz w:val="24"/>
                <w:szCs w:val="24"/>
              </w:rPr>
              <w:t>AMÉRICA GARCÍA SOTO</w:t>
            </w:r>
          </w:p>
        </w:tc>
        <w:tc>
          <w:tcPr>
            <w:tcW w:w="4722" w:type="dxa"/>
            <w:vAlign w:val="bottom"/>
          </w:tcPr>
          <w:p w14:paraId="4DA6747A" w14:textId="77777777" w:rsidR="00B05008" w:rsidRPr="00FD6878" w:rsidRDefault="0000547A" w:rsidP="006F6E47">
            <w:pPr>
              <w:spacing w:after="120" w:line="480" w:lineRule="auto"/>
              <w:jc w:val="center"/>
              <w:rPr>
                <w:rFonts w:ascii="Century Gothic" w:eastAsia="Century Gothic" w:hAnsi="Century Gothic" w:cs="Century Gothic"/>
                <w:b/>
                <w:sz w:val="24"/>
                <w:szCs w:val="24"/>
              </w:rPr>
            </w:pPr>
            <w:r w:rsidRPr="00FD6878">
              <w:rPr>
                <w:rFonts w:ascii="Century Gothic" w:eastAsia="Century Gothic" w:hAnsi="Century Gothic" w:cs="Century Gothic"/>
                <w:b/>
                <w:sz w:val="24"/>
                <w:szCs w:val="24"/>
              </w:rPr>
              <w:t>DIP. BENJAMÍN CARRERA CHÁVEZ</w:t>
            </w:r>
          </w:p>
        </w:tc>
      </w:tr>
      <w:tr w:rsidR="00B05008" w:rsidRPr="00FD6878" w14:paraId="4ECBF8EC" w14:textId="77777777" w:rsidTr="00FC5458">
        <w:trPr>
          <w:trHeight w:val="1984"/>
        </w:trPr>
        <w:tc>
          <w:tcPr>
            <w:tcW w:w="4106" w:type="dxa"/>
            <w:vAlign w:val="bottom"/>
          </w:tcPr>
          <w:p w14:paraId="54EF5B44" w14:textId="77777777" w:rsidR="00B05008" w:rsidRPr="00FD6878" w:rsidRDefault="00B05008" w:rsidP="009D038F">
            <w:pPr>
              <w:spacing w:after="120" w:line="480" w:lineRule="auto"/>
              <w:rPr>
                <w:rFonts w:ascii="Century Gothic" w:eastAsia="Century Gothic" w:hAnsi="Century Gothic" w:cs="Century Gothic"/>
                <w:b/>
                <w:sz w:val="24"/>
                <w:szCs w:val="24"/>
              </w:rPr>
            </w:pPr>
          </w:p>
          <w:p w14:paraId="7D8D3051" w14:textId="77777777" w:rsidR="00B05008" w:rsidRPr="00FD6878" w:rsidRDefault="0000547A" w:rsidP="006F6E47">
            <w:pPr>
              <w:spacing w:after="120" w:line="480" w:lineRule="auto"/>
              <w:jc w:val="center"/>
              <w:rPr>
                <w:rFonts w:ascii="Century Gothic" w:eastAsia="Century Gothic" w:hAnsi="Century Gothic" w:cs="Century Gothic"/>
                <w:b/>
                <w:sz w:val="24"/>
                <w:szCs w:val="24"/>
              </w:rPr>
            </w:pPr>
            <w:r w:rsidRPr="00FD6878">
              <w:rPr>
                <w:rFonts w:ascii="Century Gothic" w:eastAsia="Century Gothic" w:hAnsi="Century Gothic" w:cs="Century Gothic"/>
                <w:b/>
                <w:sz w:val="24"/>
                <w:szCs w:val="24"/>
              </w:rPr>
              <w:t>DIP. DAVID ÓSCAR CASTREJÓN RIVAS</w:t>
            </w:r>
          </w:p>
        </w:tc>
        <w:tc>
          <w:tcPr>
            <w:tcW w:w="4722" w:type="dxa"/>
          </w:tcPr>
          <w:p w14:paraId="4DD885E8" w14:textId="77777777" w:rsidR="00B05008" w:rsidRPr="00FD6878" w:rsidRDefault="00B05008" w:rsidP="006F6E47">
            <w:pPr>
              <w:spacing w:after="120" w:line="480" w:lineRule="auto"/>
              <w:jc w:val="center"/>
              <w:rPr>
                <w:rFonts w:ascii="Century Gothic" w:eastAsia="Century Gothic" w:hAnsi="Century Gothic" w:cs="Century Gothic"/>
                <w:sz w:val="24"/>
                <w:szCs w:val="24"/>
              </w:rPr>
            </w:pPr>
          </w:p>
          <w:p w14:paraId="436A6E42" w14:textId="77777777" w:rsidR="00FC5458" w:rsidRPr="00FD6878" w:rsidRDefault="00FC5458" w:rsidP="006F6E47">
            <w:pPr>
              <w:spacing w:after="120" w:line="480" w:lineRule="auto"/>
              <w:jc w:val="center"/>
              <w:rPr>
                <w:rFonts w:ascii="Century Gothic" w:eastAsia="Century Gothic" w:hAnsi="Century Gothic" w:cs="Century Gothic"/>
                <w:sz w:val="24"/>
                <w:szCs w:val="24"/>
              </w:rPr>
            </w:pPr>
          </w:p>
          <w:p w14:paraId="66432A98" w14:textId="77777777" w:rsidR="00FC5458" w:rsidRPr="00FD6878" w:rsidRDefault="00FC5458" w:rsidP="006F6E47">
            <w:pPr>
              <w:spacing w:after="120" w:line="480" w:lineRule="auto"/>
              <w:jc w:val="center"/>
              <w:rPr>
                <w:rFonts w:ascii="Century Gothic" w:eastAsia="Century Gothic" w:hAnsi="Century Gothic" w:cs="Century Gothic"/>
                <w:sz w:val="24"/>
                <w:szCs w:val="24"/>
              </w:rPr>
            </w:pPr>
          </w:p>
          <w:p w14:paraId="2C8393DB" w14:textId="70CF0AF2" w:rsidR="00FC5458" w:rsidRPr="00FD6878" w:rsidRDefault="00FC5458" w:rsidP="006F6E47">
            <w:pPr>
              <w:spacing w:after="120" w:line="480" w:lineRule="auto"/>
              <w:jc w:val="center"/>
              <w:rPr>
                <w:rFonts w:ascii="Century Gothic" w:eastAsia="Century Gothic" w:hAnsi="Century Gothic" w:cs="Century Gothic"/>
                <w:b/>
                <w:bCs/>
                <w:sz w:val="24"/>
                <w:szCs w:val="24"/>
              </w:rPr>
            </w:pPr>
          </w:p>
        </w:tc>
      </w:tr>
    </w:tbl>
    <w:p w14:paraId="021950B4" w14:textId="77777777" w:rsidR="00B05008" w:rsidRPr="00FD6878" w:rsidRDefault="00B05008" w:rsidP="006F6E47">
      <w:pPr>
        <w:spacing w:after="120" w:line="480" w:lineRule="auto"/>
        <w:rPr>
          <w:rFonts w:ascii="Century Gothic" w:eastAsia="Century Gothic" w:hAnsi="Century Gothic" w:cs="Century Gothic"/>
          <w:b/>
          <w:sz w:val="24"/>
          <w:szCs w:val="24"/>
        </w:rPr>
      </w:pPr>
    </w:p>
    <w:sectPr w:rsidR="00B05008" w:rsidRPr="00FD6878">
      <w:headerReference w:type="default" r:id="rId8"/>
      <w:footerReference w:type="default" r:id="rId9"/>
      <w:pgSz w:w="12240" w:h="15840"/>
      <w:pgMar w:top="2552" w:right="1701" w:bottom="1418" w:left="1701" w:header="426" w:footer="3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AB24A" w14:textId="77777777" w:rsidR="000449BE" w:rsidRDefault="000449BE">
      <w:r>
        <w:separator/>
      </w:r>
    </w:p>
  </w:endnote>
  <w:endnote w:type="continuationSeparator" w:id="0">
    <w:p w14:paraId="375093A4" w14:textId="77777777" w:rsidR="000449BE" w:rsidRDefault="00044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9BADD" w14:textId="77777777" w:rsidR="00B05008" w:rsidRDefault="0000547A">
    <w:pPr>
      <w:pBdr>
        <w:top w:val="nil"/>
        <w:left w:val="nil"/>
        <w:bottom w:val="nil"/>
        <w:right w:val="nil"/>
        <w:between w:val="nil"/>
      </w:pBdr>
      <w:tabs>
        <w:tab w:val="center" w:pos="4419"/>
        <w:tab w:val="right" w:pos="8838"/>
      </w:tabs>
      <w:jc w:val="right"/>
      <w:rPr>
        <w:color w:val="525252"/>
      </w:rPr>
    </w:pPr>
    <w:r>
      <w:rPr>
        <w:rFonts w:ascii="Century Gothic" w:eastAsia="Century Gothic" w:hAnsi="Century Gothic" w:cs="Century Gothic"/>
        <w:color w:val="525252"/>
        <w:sz w:val="16"/>
        <w:szCs w:val="16"/>
      </w:rPr>
      <w:t xml:space="preserve">Página </w:t>
    </w:r>
    <w:r>
      <w:rPr>
        <w:rFonts w:ascii="Century Gothic" w:eastAsia="Century Gothic" w:hAnsi="Century Gothic" w:cs="Century Gothic"/>
        <w:b/>
        <w:color w:val="525252"/>
        <w:sz w:val="16"/>
        <w:szCs w:val="16"/>
      </w:rPr>
      <w:fldChar w:fldCharType="begin"/>
    </w:r>
    <w:r>
      <w:rPr>
        <w:rFonts w:ascii="Century Gothic" w:eastAsia="Century Gothic" w:hAnsi="Century Gothic" w:cs="Century Gothic"/>
        <w:b/>
        <w:color w:val="525252"/>
        <w:sz w:val="16"/>
        <w:szCs w:val="16"/>
      </w:rPr>
      <w:instrText>PAGE</w:instrText>
    </w:r>
    <w:r>
      <w:rPr>
        <w:rFonts w:ascii="Century Gothic" w:eastAsia="Century Gothic" w:hAnsi="Century Gothic" w:cs="Century Gothic"/>
        <w:b/>
        <w:color w:val="525252"/>
        <w:sz w:val="16"/>
        <w:szCs w:val="16"/>
      </w:rPr>
      <w:fldChar w:fldCharType="separate"/>
    </w:r>
    <w:r w:rsidR="00C5028B">
      <w:rPr>
        <w:rFonts w:ascii="Century Gothic" w:eastAsia="Century Gothic" w:hAnsi="Century Gothic" w:cs="Century Gothic"/>
        <w:b/>
        <w:noProof/>
        <w:color w:val="525252"/>
        <w:sz w:val="16"/>
        <w:szCs w:val="16"/>
      </w:rPr>
      <w:t>1</w:t>
    </w:r>
    <w:r>
      <w:rPr>
        <w:rFonts w:ascii="Century Gothic" w:eastAsia="Century Gothic" w:hAnsi="Century Gothic" w:cs="Century Gothic"/>
        <w:b/>
        <w:color w:val="525252"/>
        <w:sz w:val="16"/>
        <w:szCs w:val="16"/>
      </w:rPr>
      <w:fldChar w:fldCharType="end"/>
    </w:r>
    <w:r>
      <w:rPr>
        <w:rFonts w:ascii="Century Gothic" w:eastAsia="Century Gothic" w:hAnsi="Century Gothic" w:cs="Century Gothic"/>
        <w:color w:val="525252"/>
        <w:sz w:val="16"/>
        <w:szCs w:val="16"/>
      </w:rPr>
      <w:t xml:space="preserve"> de </w:t>
    </w:r>
    <w:r>
      <w:rPr>
        <w:rFonts w:ascii="Century Gothic" w:eastAsia="Century Gothic" w:hAnsi="Century Gothic" w:cs="Century Gothic"/>
        <w:b/>
        <w:color w:val="525252"/>
        <w:sz w:val="16"/>
        <w:szCs w:val="16"/>
      </w:rPr>
      <w:fldChar w:fldCharType="begin"/>
    </w:r>
    <w:r>
      <w:rPr>
        <w:rFonts w:ascii="Century Gothic" w:eastAsia="Century Gothic" w:hAnsi="Century Gothic" w:cs="Century Gothic"/>
        <w:b/>
        <w:color w:val="525252"/>
        <w:sz w:val="16"/>
        <w:szCs w:val="16"/>
      </w:rPr>
      <w:instrText>NUMPAGES</w:instrText>
    </w:r>
    <w:r>
      <w:rPr>
        <w:rFonts w:ascii="Century Gothic" w:eastAsia="Century Gothic" w:hAnsi="Century Gothic" w:cs="Century Gothic"/>
        <w:b/>
        <w:color w:val="525252"/>
        <w:sz w:val="16"/>
        <w:szCs w:val="16"/>
      </w:rPr>
      <w:fldChar w:fldCharType="separate"/>
    </w:r>
    <w:r w:rsidR="00C5028B">
      <w:rPr>
        <w:rFonts w:ascii="Century Gothic" w:eastAsia="Century Gothic" w:hAnsi="Century Gothic" w:cs="Century Gothic"/>
        <w:b/>
        <w:noProof/>
        <w:color w:val="525252"/>
        <w:sz w:val="16"/>
        <w:szCs w:val="16"/>
      </w:rPr>
      <w:t>2</w:t>
    </w:r>
    <w:r>
      <w:rPr>
        <w:rFonts w:ascii="Century Gothic" w:eastAsia="Century Gothic" w:hAnsi="Century Gothic" w:cs="Century Gothic"/>
        <w:b/>
        <w:color w:val="525252"/>
        <w:sz w:val="16"/>
        <w:szCs w:val="16"/>
      </w:rPr>
      <w:fldChar w:fldCharType="end"/>
    </w:r>
  </w:p>
  <w:p w14:paraId="02125EF8" w14:textId="77777777" w:rsidR="00B05008" w:rsidRDefault="00B0500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6283" w14:textId="77777777" w:rsidR="000449BE" w:rsidRDefault="000449BE">
      <w:r>
        <w:separator/>
      </w:r>
    </w:p>
  </w:footnote>
  <w:footnote w:type="continuationSeparator" w:id="0">
    <w:p w14:paraId="4CE7B17A" w14:textId="77777777" w:rsidR="000449BE" w:rsidRDefault="00044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C6543" w14:textId="77777777" w:rsidR="00C702F6" w:rsidRPr="00C702F6" w:rsidRDefault="00C702F6" w:rsidP="00C702F6">
    <w:pPr>
      <w:pStyle w:val="Encabezado"/>
      <w:jc w:val="right"/>
      <w:rPr>
        <w:rFonts w:ascii="Century Gothic" w:hAnsi="Century Gothic"/>
        <w:b/>
        <w:bCs/>
        <w:i/>
        <w:iCs/>
        <w:sz w:val="18"/>
        <w:szCs w:val="18"/>
      </w:rPr>
    </w:pPr>
    <w:r w:rsidRPr="00C702F6">
      <w:rPr>
        <w:rFonts w:ascii="Century Gothic" w:hAnsi="Century Gothic"/>
        <w:b/>
        <w:bCs/>
        <w:i/>
        <w:iCs/>
        <w:sz w:val="18"/>
        <w:szCs w:val="18"/>
      </w:rPr>
      <w:t xml:space="preserve">2023, Centenario de la Muerte del General Francisco Villa” </w:t>
    </w:r>
  </w:p>
  <w:p w14:paraId="29257AF5" w14:textId="77777777" w:rsidR="00C702F6" w:rsidRPr="00C702F6" w:rsidRDefault="00C702F6" w:rsidP="00C702F6">
    <w:pPr>
      <w:pStyle w:val="Encabezado"/>
      <w:jc w:val="right"/>
      <w:rPr>
        <w:rFonts w:ascii="Century Gothic" w:hAnsi="Century Gothic"/>
        <w:b/>
        <w:bCs/>
        <w:i/>
        <w:iCs/>
        <w:sz w:val="18"/>
        <w:szCs w:val="18"/>
      </w:rPr>
    </w:pPr>
    <w:r w:rsidRPr="00C702F6">
      <w:rPr>
        <w:rFonts w:ascii="Century Gothic" w:hAnsi="Century Gothic"/>
        <w:b/>
        <w:bCs/>
        <w:i/>
        <w:iCs/>
        <w:sz w:val="18"/>
        <w:szCs w:val="18"/>
      </w:rPr>
      <w:t xml:space="preserve">“2023, Cien años del </w:t>
    </w:r>
    <w:proofErr w:type="spellStart"/>
    <w:r w:rsidRPr="00C702F6">
      <w:rPr>
        <w:rFonts w:ascii="Century Gothic" w:hAnsi="Century Gothic"/>
        <w:b/>
        <w:bCs/>
        <w:i/>
        <w:iCs/>
        <w:sz w:val="18"/>
        <w:szCs w:val="18"/>
      </w:rPr>
      <w:t>Rotarismo</w:t>
    </w:r>
    <w:proofErr w:type="spellEnd"/>
    <w:r w:rsidRPr="00C702F6">
      <w:rPr>
        <w:rFonts w:ascii="Century Gothic" w:hAnsi="Century Gothic"/>
        <w:b/>
        <w:bCs/>
        <w:i/>
        <w:iCs/>
        <w:sz w:val="18"/>
        <w:szCs w:val="18"/>
      </w:rPr>
      <w:t xml:space="preserve"> en Chihuahua”</w:t>
    </w:r>
  </w:p>
  <w:p w14:paraId="65A2C1A0" w14:textId="77777777" w:rsidR="00B05008" w:rsidRDefault="00B05008">
    <w:pPr>
      <w:pBdr>
        <w:top w:val="nil"/>
        <w:left w:val="nil"/>
        <w:bottom w:val="nil"/>
        <w:right w:val="nil"/>
        <w:between w:val="nil"/>
      </w:pBdr>
      <w:tabs>
        <w:tab w:val="center" w:pos="4419"/>
        <w:tab w:val="right" w:pos="8838"/>
      </w:tabs>
      <w:rPr>
        <w:color w:val="000000"/>
        <w:sz w:val="24"/>
        <w:szCs w:val="24"/>
      </w:rPr>
    </w:pPr>
  </w:p>
  <w:p w14:paraId="2FEAF589" w14:textId="77777777" w:rsidR="00B05008" w:rsidRDefault="00B05008">
    <w:pPr>
      <w:pBdr>
        <w:top w:val="nil"/>
        <w:left w:val="nil"/>
        <w:bottom w:val="nil"/>
        <w:right w:val="nil"/>
        <w:between w:val="nil"/>
      </w:pBdr>
      <w:tabs>
        <w:tab w:val="center" w:pos="4419"/>
        <w:tab w:val="right" w:pos="8838"/>
      </w:tabs>
      <w:rPr>
        <w:color w:val="000000"/>
        <w:sz w:val="24"/>
        <w:szCs w:val="24"/>
      </w:rPr>
    </w:pPr>
  </w:p>
  <w:p w14:paraId="63DA5D83" w14:textId="77777777" w:rsidR="00B05008" w:rsidRDefault="00B05008">
    <w:pPr>
      <w:pBdr>
        <w:top w:val="nil"/>
        <w:left w:val="nil"/>
        <w:bottom w:val="nil"/>
        <w:right w:val="nil"/>
        <w:between w:val="nil"/>
      </w:pBdr>
      <w:tabs>
        <w:tab w:val="center" w:pos="4419"/>
        <w:tab w:val="right" w:pos="8838"/>
      </w:tabs>
      <w:rPr>
        <w:color w:val="000000"/>
        <w:sz w:val="24"/>
        <w:szCs w:val="24"/>
      </w:rPr>
    </w:pPr>
  </w:p>
  <w:p w14:paraId="4B425523" w14:textId="445A14C6" w:rsidR="00B05008" w:rsidRDefault="00B05008" w:rsidP="00E87DE3">
    <w:pPr>
      <w:pBdr>
        <w:top w:val="nil"/>
        <w:left w:val="nil"/>
        <w:bottom w:val="nil"/>
        <w:right w:val="nil"/>
        <w:between w:val="nil"/>
      </w:pBdr>
      <w:tabs>
        <w:tab w:val="center" w:pos="4419"/>
        <w:tab w:val="right" w:pos="8838"/>
      </w:tabs>
      <w:jc w:val="center"/>
      <w:rPr>
        <w:rFonts w:ascii="Century Gothic" w:eastAsia="Century Gothic" w:hAnsi="Century Gothic" w:cs="Century Gothic"/>
        <w:b/>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27CDF1E"/>
    <w:lvl w:ilvl="0">
      <w:start w:val="1"/>
      <w:numFmt w:val="decimal"/>
      <w:lvlText w:val="%1."/>
      <w:lvlJc w:val="left"/>
      <w:pPr>
        <w:tabs>
          <w:tab w:val="num" w:pos="360"/>
        </w:tabs>
        <w:ind w:left="360" w:hanging="360"/>
      </w:pPr>
    </w:lvl>
  </w:abstractNum>
  <w:abstractNum w:abstractNumId="1" w15:restartNumberingAfterBreak="0">
    <w:nsid w:val="08C931FD"/>
    <w:multiLevelType w:val="hybridMultilevel"/>
    <w:tmpl w:val="0BD444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DF825E7"/>
    <w:multiLevelType w:val="hybridMultilevel"/>
    <w:tmpl w:val="46E2B80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A5B3FF0"/>
    <w:multiLevelType w:val="hybridMultilevel"/>
    <w:tmpl w:val="EC1C8A84"/>
    <w:lvl w:ilvl="0" w:tplc="8C10CAF8">
      <w:start w:val="1"/>
      <w:numFmt w:val="bullet"/>
      <w:lvlText w:val=""/>
      <w:lvlJc w:val="left"/>
      <w:pPr>
        <w:ind w:left="720" w:hanging="360"/>
      </w:pPr>
      <w:rPr>
        <w:rFonts w:ascii="Wingdings" w:hAnsi="Wingdings" w:hint="default"/>
        <w:color w:val="00B050"/>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2850065"/>
    <w:multiLevelType w:val="hybridMultilevel"/>
    <w:tmpl w:val="C39A9D2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73D5F92"/>
    <w:multiLevelType w:val="multilevel"/>
    <w:tmpl w:val="4AAE8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5330A0E"/>
    <w:multiLevelType w:val="hybridMultilevel"/>
    <w:tmpl w:val="EF6A7614"/>
    <w:lvl w:ilvl="0" w:tplc="6602B45A">
      <w:start w:val="1"/>
      <w:numFmt w:val="decimal"/>
      <w:lvlText w:val="%1."/>
      <w:lvlJc w:val="left"/>
      <w:pPr>
        <w:ind w:left="720" w:hanging="360"/>
      </w:pPr>
      <w:rPr>
        <w:rFonts w:ascii="Arial" w:hAnsi="Arial" w:cs="Arial" w:hint="default"/>
        <w:b w:val="0"/>
        <w:bCs w:val="0"/>
        <w:i w:val="0"/>
        <w:iCs w:val="0"/>
        <w:sz w:val="28"/>
        <w:szCs w:val="28"/>
      </w:rPr>
    </w:lvl>
    <w:lvl w:ilvl="1" w:tplc="AFC82B2E">
      <w:start w:val="96"/>
      <w:numFmt w:val="bullet"/>
      <w:lvlText w:val=""/>
      <w:lvlJc w:val="left"/>
      <w:pPr>
        <w:ind w:left="1440" w:hanging="360"/>
      </w:pPr>
      <w:rPr>
        <w:rFonts w:ascii="Symbol" w:eastAsia="Times New Roman" w:hAnsi="Symbo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DFB4C3F"/>
    <w:multiLevelType w:val="hybridMultilevel"/>
    <w:tmpl w:val="46E2B80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2"/>
  </w:num>
  <w:num w:numId="5">
    <w:abstractNumId w:val="7"/>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008"/>
    <w:rsid w:val="0000547A"/>
    <w:rsid w:val="00033E45"/>
    <w:rsid w:val="000449BE"/>
    <w:rsid w:val="00061E96"/>
    <w:rsid w:val="000623B0"/>
    <w:rsid w:val="00082D53"/>
    <w:rsid w:val="000A4E35"/>
    <w:rsid w:val="000E4CD7"/>
    <w:rsid w:val="000E5AA3"/>
    <w:rsid w:val="00113DE2"/>
    <w:rsid w:val="00116E2A"/>
    <w:rsid w:val="001304A5"/>
    <w:rsid w:val="00142759"/>
    <w:rsid w:val="00186EE6"/>
    <w:rsid w:val="00193D88"/>
    <w:rsid w:val="001B39B5"/>
    <w:rsid w:val="001E3D47"/>
    <w:rsid w:val="001F54C6"/>
    <w:rsid w:val="001F64D8"/>
    <w:rsid w:val="0020395B"/>
    <w:rsid w:val="0024077A"/>
    <w:rsid w:val="0024194D"/>
    <w:rsid w:val="00254C92"/>
    <w:rsid w:val="002638F1"/>
    <w:rsid w:val="002D3C0F"/>
    <w:rsid w:val="002E3250"/>
    <w:rsid w:val="00325B88"/>
    <w:rsid w:val="00341F41"/>
    <w:rsid w:val="00353F28"/>
    <w:rsid w:val="003776C3"/>
    <w:rsid w:val="00382FAA"/>
    <w:rsid w:val="003E7250"/>
    <w:rsid w:val="004139B3"/>
    <w:rsid w:val="0042027F"/>
    <w:rsid w:val="00433A7B"/>
    <w:rsid w:val="00455B5F"/>
    <w:rsid w:val="00460F75"/>
    <w:rsid w:val="00462B4C"/>
    <w:rsid w:val="00467D72"/>
    <w:rsid w:val="004A35E2"/>
    <w:rsid w:val="00532350"/>
    <w:rsid w:val="0056143E"/>
    <w:rsid w:val="00562FD4"/>
    <w:rsid w:val="005668BF"/>
    <w:rsid w:val="00580A4B"/>
    <w:rsid w:val="0058632E"/>
    <w:rsid w:val="00596A33"/>
    <w:rsid w:val="005D002F"/>
    <w:rsid w:val="005D7DE9"/>
    <w:rsid w:val="0060108C"/>
    <w:rsid w:val="00620CD6"/>
    <w:rsid w:val="0062671E"/>
    <w:rsid w:val="00633923"/>
    <w:rsid w:val="00634FC5"/>
    <w:rsid w:val="00663789"/>
    <w:rsid w:val="00681A87"/>
    <w:rsid w:val="0069175F"/>
    <w:rsid w:val="006C66BA"/>
    <w:rsid w:val="006F4335"/>
    <w:rsid w:val="006F6E47"/>
    <w:rsid w:val="007078CC"/>
    <w:rsid w:val="00717FBB"/>
    <w:rsid w:val="007218EA"/>
    <w:rsid w:val="00757B25"/>
    <w:rsid w:val="00830167"/>
    <w:rsid w:val="008401D5"/>
    <w:rsid w:val="008533B6"/>
    <w:rsid w:val="00864F05"/>
    <w:rsid w:val="008F6A9D"/>
    <w:rsid w:val="00914460"/>
    <w:rsid w:val="00952B1C"/>
    <w:rsid w:val="009568C4"/>
    <w:rsid w:val="00966393"/>
    <w:rsid w:val="009768FB"/>
    <w:rsid w:val="00980C2E"/>
    <w:rsid w:val="00983084"/>
    <w:rsid w:val="00987FC9"/>
    <w:rsid w:val="00997402"/>
    <w:rsid w:val="009D038F"/>
    <w:rsid w:val="00A1086F"/>
    <w:rsid w:val="00A43F50"/>
    <w:rsid w:val="00AB12DD"/>
    <w:rsid w:val="00AC30E2"/>
    <w:rsid w:val="00AE3499"/>
    <w:rsid w:val="00B05008"/>
    <w:rsid w:val="00B059AC"/>
    <w:rsid w:val="00B24791"/>
    <w:rsid w:val="00B24AB2"/>
    <w:rsid w:val="00B33DFC"/>
    <w:rsid w:val="00B75933"/>
    <w:rsid w:val="00BB5755"/>
    <w:rsid w:val="00BD3610"/>
    <w:rsid w:val="00BE33D5"/>
    <w:rsid w:val="00C010D6"/>
    <w:rsid w:val="00C2361D"/>
    <w:rsid w:val="00C5028B"/>
    <w:rsid w:val="00C702F6"/>
    <w:rsid w:val="00CA69E6"/>
    <w:rsid w:val="00CB5B36"/>
    <w:rsid w:val="00CD5EC0"/>
    <w:rsid w:val="00CF257F"/>
    <w:rsid w:val="00D34A93"/>
    <w:rsid w:val="00D538BB"/>
    <w:rsid w:val="00D54A0F"/>
    <w:rsid w:val="00D825BA"/>
    <w:rsid w:val="00D90625"/>
    <w:rsid w:val="00DC2212"/>
    <w:rsid w:val="00DC3AF2"/>
    <w:rsid w:val="00E23652"/>
    <w:rsid w:val="00E52672"/>
    <w:rsid w:val="00E52BD2"/>
    <w:rsid w:val="00E80863"/>
    <w:rsid w:val="00E87DE3"/>
    <w:rsid w:val="00ED65D5"/>
    <w:rsid w:val="00EE6FF4"/>
    <w:rsid w:val="00EF3745"/>
    <w:rsid w:val="00F209F9"/>
    <w:rsid w:val="00F3141D"/>
    <w:rsid w:val="00F406F3"/>
    <w:rsid w:val="00F41BB7"/>
    <w:rsid w:val="00F7760D"/>
    <w:rsid w:val="00F83DB1"/>
    <w:rsid w:val="00F95346"/>
    <w:rsid w:val="00FA2FAC"/>
    <w:rsid w:val="00FC5458"/>
    <w:rsid w:val="00FD68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3247C"/>
  <w15:docId w15:val="{A9D2CFC1-61B5-4702-90DD-69754E3E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outlineLvl w:val="0"/>
    </w:pPr>
    <w:rPr>
      <w:b/>
      <w:sz w:val="48"/>
      <w:szCs w:val="48"/>
    </w:rPr>
  </w:style>
  <w:style w:type="paragraph" w:styleId="Ttulo2">
    <w:name w:val="heading 2"/>
    <w:basedOn w:val="Normal"/>
    <w:next w:val="Normal"/>
    <w:link w:val="Ttulo2Car"/>
    <w:uiPriority w:val="9"/>
    <w:semiHidden/>
    <w:unhideWhenUsed/>
    <w:qFormat/>
    <w:pPr>
      <w:keepNext/>
      <w:keepLines/>
      <w:spacing w:before="40" w:line="259" w:lineRule="auto"/>
      <w:outlineLvl w:val="1"/>
    </w:pPr>
    <w:rPr>
      <w:rFonts w:ascii="Calibri" w:eastAsia="Calibri" w:hAnsi="Calibri" w:cs="Calibri"/>
      <w:color w:val="2E75B5"/>
      <w:sz w:val="26"/>
      <w:szCs w:val="26"/>
    </w:rPr>
  </w:style>
  <w:style w:type="paragraph" w:styleId="Ttulo3">
    <w:name w:val="heading 3"/>
    <w:basedOn w:val="Normal"/>
    <w:next w:val="Normal"/>
    <w:link w:val="Ttulo3Car"/>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styleId="nfasis">
    <w:name w:val="Emphasis"/>
    <w:basedOn w:val="Fuentedeprrafopredeter"/>
    <w:uiPriority w:val="20"/>
    <w:qFormat/>
    <w:rsid w:val="00C5028B"/>
    <w:rPr>
      <w:i/>
      <w:iCs/>
    </w:rPr>
  </w:style>
  <w:style w:type="character" w:customStyle="1" w:styleId="Ttulo3Car">
    <w:name w:val="Título 3 Car"/>
    <w:basedOn w:val="Fuentedeprrafopredeter"/>
    <w:link w:val="Ttulo3"/>
    <w:uiPriority w:val="9"/>
    <w:rsid w:val="00C5028B"/>
    <w:rPr>
      <w:b/>
      <w:sz w:val="28"/>
      <w:szCs w:val="28"/>
    </w:rPr>
  </w:style>
  <w:style w:type="paragraph" w:styleId="Prrafodelista">
    <w:name w:val="List Paragraph"/>
    <w:aliases w:val="Párrafo de lista1,TEXTO GENERAL SENTENCIAS,Cita texto,Footnote,List Paragraph1,Párrafo de lista2,List Paragraph,CNBV Parrafo1,Parrafo 1,Colorful List - Accent 11,Cuadrícula clara - Énfasis 31"/>
    <w:basedOn w:val="Normal"/>
    <w:link w:val="PrrafodelistaCar"/>
    <w:uiPriority w:val="34"/>
    <w:qFormat/>
    <w:rsid w:val="00C5028B"/>
    <w:pPr>
      <w:ind w:left="708"/>
    </w:pPr>
    <w:rPr>
      <w:lang w:val="es-ES_tradnl"/>
    </w:rPr>
  </w:style>
  <w:style w:type="character" w:customStyle="1" w:styleId="PrrafodelistaCar">
    <w:name w:val="Párrafo de lista Car"/>
    <w:aliases w:val="Párrafo de lista1 Car,TEXTO GENERAL SENTENCIAS Car,Cita texto Car,Footnote Car,List Paragraph1 Car,Párrafo de lista2 Car,List Paragraph Car,CNBV Parrafo1 Car,Parrafo 1 Car,Colorful List - Accent 11 Car"/>
    <w:link w:val="Prrafodelista"/>
    <w:uiPriority w:val="34"/>
    <w:locked/>
    <w:rsid w:val="00C5028B"/>
    <w:rPr>
      <w:lang w:val="es-ES_tradnl"/>
    </w:rPr>
  </w:style>
  <w:style w:type="paragraph" w:customStyle="1" w:styleId="Default">
    <w:name w:val="Default"/>
    <w:rsid w:val="00C5028B"/>
    <w:pPr>
      <w:autoSpaceDE w:val="0"/>
      <w:autoSpaceDN w:val="0"/>
      <w:adjustRightInd w:val="0"/>
    </w:pPr>
    <w:rPr>
      <w:rFonts w:ascii="Verdana" w:eastAsiaTheme="minorHAnsi" w:hAnsi="Verdana" w:cs="Verdana"/>
      <w:color w:val="000000"/>
      <w:sz w:val="24"/>
      <w:szCs w:val="24"/>
      <w:lang w:eastAsia="en-US"/>
    </w:rPr>
  </w:style>
  <w:style w:type="paragraph" w:styleId="Textonotapie">
    <w:name w:val="footnote text"/>
    <w:aliases w:val="FA Fu,Footnote reference,Footnote Text Char Char Char Char Char,Footnote Text Char Char Char Char,Footnote Text Char Char Char,Footnote Text Cha,FA Fußnotentext,FA Fu?notentext,Footnote Text Char Char,FA Fuﬂnotentext,Ca,FA Fu?notente, Car"/>
    <w:basedOn w:val="Normal"/>
    <w:link w:val="TextonotapieCar"/>
    <w:uiPriority w:val="99"/>
    <w:qFormat/>
    <w:rsid w:val="00C5028B"/>
    <w:rPr>
      <w:lang w:val="es-ES_tradnl"/>
    </w:rPr>
  </w:style>
  <w:style w:type="character" w:customStyle="1" w:styleId="TextonotapieCar">
    <w:name w:val="Texto nota pie Car"/>
    <w:aliases w:val="FA Fu Car,Footnote reference Car,Footnote Text Char Char Char Char Char Car,Footnote Text Char Char Char Char Car,Footnote Text Char Char Char Car,Footnote Text Cha Car,FA Fußnotentext Car,FA Fu?notentext Car,FA Fuﬂnotentext Car"/>
    <w:basedOn w:val="Fuentedeprrafopredeter"/>
    <w:link w:val="Textonotapie"/>
    <w:uiPriority w:val="99"/>
    <w:qFormat/>
    <w:rsid w:val="00C5028B"/>
    <w:rPr>
      <w:lang w:val="es-ES_tradnl"/>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julio,Ref,ftref,ftre,R"/>
    <w:link w:val="4GChar"/>
    <w:uiPriority w:val="99"/>
    <w:qFormat/>
    <w:rsid w:val="00C5028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C5028B"/>
    <w:pPr>
      <w:jc w:val="both"/>
    </w:pPr>
    <w:rPr>
      <w:vertAlign w:val="superscript"/>
    </w:rPr>
  </w:style>
  <w:style w:type="paragraph" w:styleId="NormalWeb">
    <w:name w:val="Normal (Web)"/>
    <w:basedOn w:val="Normal"/>
    <w:uiPriority w:val="99"/>
    <w:unhideWhenUsed/>
    <w:rsid w:val="00C5028B"/>
    <w:pPr>
      <w:spacing w:before="100" w:beforeAutospacing="1" w:after="100" w:afterAutospacing="1"/>
    </w:pPr>
    <w:rPr>
      <w:sz w:val="24"/>
      <w:szCs w:val="24"/>
    </w:rPr>
  </w:style>
  <w:style w:type="character" w:styleId="Hipervnculo">
    <w:name w:val="Hyperlink"/>
    <w:basedOn w:val="Fuentedeprrafopredeter"/>
    <w:uiPriority w:val="99"/>
    <w:unhideWhenUsed/>
    <w:rsid w:val="00C5028B"/>
    <w:rPr>
      <w:color w:val="0000FF"/>
      <w:u w:val="single"/>
    </w:rPr>
  </w:style>
  <w:style w:type="paragraph" w:customStyle="1" w:styleId="corte4fondo">
    <w:name w:val="corte4 fondo"/>
    <w:basedOn w:val="Normal"/>
    <w:link w:val="corte4fondoCar1"/>
    <w:qFormat/>
    <w:rsid w:val="00C5028B"/>
    <w:pPr>
      <w:spacing w:line="360" w:lineRule="auto"/>
      <w:ind w:firstLine="709"/>
      <w:jc w:val="both"/>
    </w:pPr>
    <w:rPr>
      <w:rFonts w:ascii="Arial" w:hAnsi="Arial"/>
      <w:sz w:val="30"/>
      <w:lang w:val="es-ES_tradnl"/>
    </w:rPr>
  </w:style>
  <w:style w:type="character" w:customStyle="1" w:styleId="corte4fondoCar1">
    <w:name w:val="corte4 fondo Car1"/>
    <w:link w:val="corte4fondo"/>
    <w:rsid w:val="00C5028B"/>
    <w:rPr>
      <w:rFonts w:ascii="Arial" w:hAnsi="Arial"/>
      <w:sz w:val="30"/>
      <w:lang w:val="es-ES_tradnl"/>
    </w:rPr>
  </w:style>
  <w:style w:type="paragraph" w:styleId="Piedepgina">
    <w:name w:val="footer"/>
    <w:aliases w:val=" Car Car Car Car"/>
    <w:basedOn w:val="Normal"/>
    <w:link w:val="PiedepginaCar"/>
    <w:uiPriority w:val="99"/>
    <w:unhideWhenUsed/>
    <w:rsid w:val="00C5028B"/>
    <w:pPr>
      <w:tabs>
        <w:tab w:val="center" w:pos="4419"/>
        <w:tab w:val="right" w:pos="8838"/>
      </w:tabs>
    </w:pPr>
    <w:rPr>
      <w:lang w:val="es-ES_tradnl"/>
    </w:rPr>
  </w:style>
  <w:style w:type="character" w:customStyle="1" w:styleId="PiedepginaCar">
    <w:name w:val="Pie de página Car"/>
    <w:aliases w:val=" Car Car Car Car Car"/>
    <w:basedOn w:val="Fuentedeprrafopredeter"/>
    <w:link w:val="Piedepgina"/>
    <w:uiPriority w:val="99"/>
    <w:rsid w:val="00C5028B"/>
    <w:rPr>
      <w:lang w:val="es-ES_tradnl"/>
    </w:rPr>
  </w:style>
  <w:style w:type="paragraph" w:customStyle="1" w:styleId="Normal0">
    <w:name w:val="[Normal]"/>
    <w:rsid w:val="00C5028B"/>
    <w:pPr>
      <w:widowControl w:val="0"/>
      <w:autoSpaceDE w:val="0"/>
      <w:autoSpaceDN w:val="0"/>
      <w:adjustRightInd w:val="0"/>
    </w:pPr>
    <w:rPr>
      <w:rFonts w:ascii="Arial" w:hAnsi="Arial" w:cs="Arial"/>
      <w:sz w:val="24"/>
      <w:szCs w:val="24"/>
      <w:lang w:val="es-ES" w:eastAsia="es-ES"/>
    </w:rPr>
  </w:style>
  <w:style w:type="character" w:styleId="Nmerodepgina">
    <w:name w:val="page number"/>
    <w:basedOn w:val="Fuentedeprrafopredeter"/>
    <w:rsid w:val="00C5028B"/>
  </w:style>
  <w:style w:type="paragraph" w:customStyle="1" w:styleId="defaultstyledtext-xb1qmn-0">
    <w:name w:val="default__styledtext-xb1qmn-0"/>
    <w:basedOn w:val="Normal"/>
    <w:rsid w:val="00C5028B"/>
    <w:pPr>
      <w:spacing w:before="100" w:beforeAutospacing="1" w:after="100" w:afterAutospacing="1"/>
    </w:pPr>
    <w:rPr>
      <w:sz w:val="24"/>
      <w:szCs w:val="24"/>
    </w:rPr>
  </w:style>
  <w:style w:type="paragraph" w:customStyle="1" w:styleId="text-center">
    <w:name w:val="text-center"/>
    <w:basedOn w:val="Normal"/>
    <w:rsid w:val="00C5028B"/>
    <w:pPr>
      <w:spacing w:before="100" w:beforeAutospacing="1" w:after="100" w:afterAutospacing="1"/>
    </w:pPr>
    <w:rPr>
      <w:sz w:val="24"/>
      <w:szCs w:val="24"/>
    </w:rPr>
  </w:style>
  <w:style w:type="character" w:styleId="Textoennegrita">
    <w:name w:val="Strong"/>
    <w:basedOn w:val="Fuentedeprrafopredeter"/>
    <w:uiPriority w:val="22"/>
    <w:qFormat/>
    <w:rsid w:val="00C5028B"/>
    <w:rPr>
      <w:b/>
      <w:bCs/>
    </w:rPr>
  </w:style>
  <w:style w:type="paragraph" w:customStyle="1" w:styleId="text-justify">
    <w:name w:val="text-justify"/>
    <w:basedOn w:val="Normal"/>
    <w:rsid w:val="00C5028B"/>
    <w:pPr>
      <w:spacing w:before="100" w:beforeAutospacing="1" w:after="100" w:afterAutospacing="1"/>
    </w:pPr>
    <w:rPr>
      <w:sz w:val="24"/>
      <w:szCs w:val="24"/>
    </w:rPr>
  </w:style>
  <w:style w:type="paragraph" w:styleId="Encabezado">
    <w:name w:val="header"/>
    <w:basedOn w:val="Normal"/>
    <w:link w:val="EncabezadoCar"/>
    <w:uiPriority w:val="99"/>
    <w:unhideWhenUsed/>
    <w:rsid w:val="00C5028B"/>
    <w:pPr>
      <w:tabs>
        <w:tab w:val="center" w:pos="4680"/>
        <w:tab w:val="right" w:pos="9360"/>
      </w:tabs>
    </w:pPr>
    <w:rPr>
      <w:rFonts w:asciiTheme="minorHAnsi" w:eastAsiaTheme="minorEastAsia" w:hAnsiTheme="minorHAnsi" w:cstheme="minorBidi"/>
      <w:sz w:val="24"/>
      <w:szCs w:val="24"/>
      <w:lang w:eastAsia="en-US"/>
    </w:rPr>
  </w:style>
  <w:style w:type="character" w:customStyle="1" w:styleId="EncabezadoCar">
    <w:name w:val="Encabezado Car"/>
    <w:basedOn w:val="Fuentedeprrafopredeter"/>
    <w:link w:val="Encabezado"/>
    <w:uiPriority w:val="99"/>
    <w:rsid w:val="00C5028B"/>
    <w:rPr>
      <w:rFonts w:asciiTheme="minorHAnsi" w:eastAsiaTheme="minorEastAsia" w:hAnsiTheme="minorHAnsi" w:cstheme="minorBidi"/>
      <w:sz w:val="24"/>
      <w:szCs w:val="24"/>
      <w:lang w:eastAsia="en-US"/>
    </w:rPr>
  </w:style>
  <w:style w:type="character" w:customStyle="1" w:styleId="Ttulo2Car">
    <w:name w:val="Título 2 Car"/>
    <w:basedOn w:val="Fuentedeprrafopredeter"/>
    <w:link w:val="Ttulo2"/>
    <w:uiPriority w:val="9"/>
    <w:semiHidden/>
    <w:rsid w:val="00C5028B"/>
    <w:rPr>
      <w:rFonts w:ascii="Calibri" w:eastAsia="Calibri" w:hAnsi="Calibri" w:cs="Calibri"/>
      <w:color w:val="2E75B5"/>
      <w:sz w:val="26"/>
      <w:szCs w:val="26"/>
    </w:rPr>
  </w:style>
  <w:style w:type="character" w:customStyle="1" w:styleId="trcrboxheaderspan">
    <w:name w:val="trc_rbox_header_span"/>
    <w:basedOn w:val="Fuentedeprrafopredeter"/>
    <w:rsid w:val="00C5028B"/>
  </w:style>
  <w:style w:type="character" w:customStyle="1" w:styleId="video-label">
    <w:name w:val="video-label"/>
    <w:basedOn w:val="Fuentedeprrafopredeter"/>
    <w:rsid w:val="00C5028B"/>
  </w:style>
  <w:style w:type="character" w:customStyle="1" w:styleId="branding">
    <w:name w:val="branding"/>
    <w:basedOn w:val="Fuentedeprrafopredeter"/>
    <w:rsid w:val="00C5028B"/>
  </w:style>
  <w:style w:type="character" w:customStyle="1" w:styleId="author">
    <w:name w:val="author"/>
    <w:basedOn w:val="Fuentedeprrafopredeter"/>
    <w:rsid w:val="00C5028B"/>
  </w:style>
  <w:style w:type="character" w:customStyle="1" w:styleId="location">
    <w:name w:val="location"/>
    <w:basedOn w:val="Fuentedeprrafopredeter"/>
    <w:rsid w:val="00C5028B"/>
  </w:style>
  <w:style w:type="character" w:styleId="Textodelmarcadordeposicin">
    <w:name w:val="Placeholder Text"/>
    <w:basedOn w:val="Fuentedeprrafopredeter"/>
    <w:uiPriority w:val="99"/>
    <w:semiHidden/>
    <w:rsid w:val="001F54C6"/>
    <w:rPr>
      <w:color w:val="808080"/>
    </w:rPr>
  </w:style>
  <w:style w:type="table" w:styleId="Tablaconcuadrcula">
    <w:name w:val="Table Grid"/>
    <w:basedOn w:val="Tablanormal"/>
    <w:uiPriority w:val="39"/>
    <w:rsid w:val="002419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te4fondoCar">
    <w:name w:val="corte4 fondo Car"/>
    <w:rsid w:val="000623B0"/>
    <w:rPr>
      <w:rFonts w:ascii="Arial" w:eastAsia="Times New Roman" w:hAnsi="Arial" w:cs="Times New Roman"/>
      <w:sz w:val="3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F07EF-54A7-4FF4-9040-6FE48353D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2572</Words>
  <Characters>14148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cp:lastPrinted>2022-03-14T03:48:00Z</cp:lastPrinted>
  <dcterms:created xsi:type="dcterms:W3CDTF">2023-05-25T20:21:00Z</dcterms:created>
  <dcterms:modified xsi:type="dcterms:W3CDTF">2023-05-25T20:21:00Z</dcterms:modified>
</cp:coreProperties>
</file>