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0D013" w14:textId="77777777" w:rsidR="00A3287B" w:rsidRPr="006E6876" w:rsidRDefault="00A3287B" w:rsidP="006E6876">
      <w:pPr>
        <w:spacing w:line="360" w:lineRule="auto"/>
        <w:rPr>
          <w:rFonts w:ascii="Century Gothic" w:hAnsi="Century Gothic" w:cs="Arial"/>
          <w:b/>
          <w:color w:val="202124"/>
          <w:sz w:val="24"/>
          <w:szCs w:val="24"/>
          <w:shd w:val="clear" w:color="auto" w:fill="FFFFFF"/>
        </w:rPr>
      </w:pPr>
      <w:r w:rsidRPr="006E6876">
        <w:rPr>
          <w:rFonts w:ascii="Century Gothic" w:hAnsi="Century Gothic" w:cs="Arial"/>
          <w:b/>
          <w:color w:val="202124"/>
          <w:sz w:val="24"/>
          <w:szCs w:val="24"/>
          <w:shd w:val="clear" w:color="auto" w:fill="FFFFFF"/>
        </w:rPr>
        <w:t>H. CONGRESO DEL ESTADO</w:t>
      </w:r>
    </w:p>
    <w:p w14:paraId="204B59D2" w14:textId="5BAE1FB4" w:rsidR="00A3287B" w:rsidRPr="006E6876" w:rsidRDefault="00A3287B" w:rsidP="006E6876">
      <w:pPr>
        <w:tabs>
          <w:tab w:val="left" w:pos="6849"/>
        </w:tabs>
        <w:spacing w:line="360" w:lineRule="auto"/>
        <w:rPr>
          <w:rFonts w:ascii="Century Gothic" w:hAnsi="Century Gothic" w:cs="Arial"/>
          <w:b/>
          <w:color w:val="202124"/>
          <w:sz w:val="24"/>
          <w:szCs w:val="24"/>
          <w:shd w:val="clear" w:color="auto" w:fill="FFFFFF"/>
        </w:rPr>
      </w:pPr>
      <w:r w:rsidRPr="006E6876">
        <w:rPr>
          <w:rFonts w:ascii="Century Gothic" w:hAnsi="Century Gothic" w:cs="Arial"/>
          <w:b/>
          <w:color w:val="202124"/>
          <w:sz w:val="24"/>
          <w:szCs w:val="24"/>
          <w:shd w:val="clear" w:color="auto" w:fill="FFFFFF"/>
        </w:rPr>
        <w:t>P R E S E N T E.</w:t>
      </w:r>
      <w:r w:rsidR="007C7EDE" w:rsidRPr="006E6876">
        <w:rPr>
          <w:rFonts w:ascii="Century Gothic" w:hAnsi="Century Gothic" w:cs="Arial"/>
          <w:b/>
          <w:color w:val="202124"/>
          <w:sz w:val="24"/>
          <w:szCs w:val="24"/>
          <w:shd w:val="clear" w:color="auto" w:fill="FFFFFF"/>
        </w:rPr>
        <w:tab/>
      </w:r>
    </w:p>
    <w:p w14:paraId="6FAE803F" w14:textId="09577257" w:rsidR="00A3287B" w:rsidRPr="006E6876" w:rsidRDefault="00A3287B" w:rsidP="006E6876">
      <w:pPr>
        <w:spacing w:line="360" w:lineRule="auto"/>
        <w:jc w:val="both"/>
        <w:rPr>
          <w:rFonts w:ascii="Century Gothic" w:hAnsi="Century Gothic" w:cs="Arial"/>
          <w:b/>
          <w:color w:val="202124"/>
          <w:sz w:val="24"/>
          <w:szCs w:val="24"/>
          <w:shd w:val="clear" w:color="auto" w:fill="FFFFFF"/>
        </w:rPr>
      </w:pPr>
      <w:r w:rsidRPr="006E6876">
        <w:rPr>
          <w:rFonts w:ascii="Century Gothic" w:hAnsi="Century Gothic" w:cs="Arial"/>
          <w:color w:val="202124"/>
          <w:sz w:val="24"/>
          <w:szCs w:val="24"/>
          <w:shd w:val="clear" w:color="auto" w:fill="FFFFFF"/>
        </w:rPr>
        <w:t xml:space="preserve">La suscrita </w:t>
      </w:r>
      <w:r w:rsidR="00B85CDB" w:rsidRPr="006E6876">
        <w:rPr>
          <w:rFonts w:ascii="Century Gothic" w:hAnsi="Century Gothic" w:cs="Arial"/>
          <w:b/>
          <w:color w:val="202124"/>
          <w:sz w:val="24"/>
          <w:szCs w:val="24"/>
          <w:shd w:val="clear" w:color="auto" w:fill="FFFFFF"/>
        </w:rPr>
        <w:t>Ivó</w:t>
      </w:r>
      <w:r w:rsidR="001F2588" w:rsidRPr="006E6876">
        <w:rPr>
          <w:rFonts w:ascii="Century Gothic" w:hAnsi="Century Gothic" w:cs="Arial"/>
          <w:b/>
          <w:color w:val="202124"/>
          <w:sz w:val="24"/>
          <w:szCs w:val="24"/>
          <w:shd w:val="clear" w:color="auto" w:fill="FFFFFF"/>
        </w:rPr>
        <w:t>n</w:t>
      </w:r>
      <w:r w:rsidRPr="006E6876">
        <w:rPr>
          <w:rFonts w:ascii="Century Gothic" w:hAnsi="Century Gothic" w:cs="Arial"/>
          <w:b/>
          <w:color w:val="202124"/>
          <w:sz w:val="24"/>
          <w:szCs w:val="24"/>
          <w:shd w:val="clear" w:color="auto" w:fill="FFFFFF"/>
        </w:rPr>
        <w:t xml:space="preserve"> Salazar Morales,</w:t>
      </w:r>
      <w:r w:rsidRPr="006E6876">
        <w:rPr>
          <w:rFonts w:ascii="Century Gothic" w:hAnsi="Century Gothic" w:cs="Arial"/>
          <w:color w:val="202124"/>
          <w:sz w:val="24"/>
          <w:szCs w:val="24"/>
          <w:shd w:val="clear" w:color="auto" w:fill="FFFFFF"/>
        </w:rPr>
        <w:t xml:space="preserve"> en mi calidad de Diputada de la Sexagésima Séptima Legislatura del H. Congres</w:t>
      </w:r>
      <w:r w:rsidR="009627BE" w:rsidRPr="006E6876">
        <w:rPr>
          <w:rFonts w:ascii="Century Gothic" w:hAnsi="Century Gothic" w:cs="Arial"/>
          <w:color w:val="202124"/>
          <w:sz w:val="24"/>
          <w:szCs w:val="24"/>
          <w:shd w:val="clear" w:color="auto" w:fill="FFFFFF"/>
        </w:rPr>
        <w:t>o del Estado, integrante de la Fracción P</w:t>
      </w:r>
      <w:r w:rsidRPr="006E6876">
        <w:rPr>
          <w:rFonts w:ascii="Century Gothic" w:hAnsi="Century Gothic" w:cs="Arial"/>
          <w:color w:val="202124"/>
          <w:sz w:val="24"/>
          <w:szCs w:val="24"/>
          <w:shd w:val="clear" w:color="auto" w:fill="FFFFFF"/>
        </w:rPr>
        <w:t>arlamentaria del Partido Revolucionario Institucional, con fundamento en los artículos 68</w:t>
      </w:r>
      <w:r w:rsidR="009627BE" w:rsidRPr="006E6876">
        <w:rPr>
          <w:rFonts w:ascii="Century Gothic" w:hAnsi="Century Gothic" w:cs="Arial"/>
          <w:color w:val="202124"/>
          <w:sz w:val="24"/>
          <w:szCs w:val="24"/>
          <w:shd w:val="clear" w:color="auto" w:fill="FFFFFF"/>
        </w:rPr>
        <w:t>,</w:t>
      </w:r>
      <w:r w:rsidRPr="006E6876">
        <w:rPr>
          <w:rFonts w:ascii="Century Gothic" w:hAnsi="Century Gothic" w:cs="Arial"/>
          <w:color w:val="202124"/>
          <w:sz w:val="24"/>
          <w:szCs w:val="24"/>
          <w:shd w:val="clear" w:color="auto" w:fill="FFFFFF"/>
        </w:rPr>
        <w:t xml:space="preserve"> fracción I de la Constitución Política del Estado de Chihuahua, 167 y 168 de la Ley Orgánica del Poder Legislativo, 75 y 76 del Reglamento Interior y Prácticas Parlamentarias del Poder Legislativo y demás relativos, acudimos ante esta Honorable Asamblea Legislativa</w:t>
      </w:r>
      <w:r w:rsidR="009627BE" w:rsidRPr="006E6876">
        <w:rPr>
          <w:rFonts w:ascii="Century Gothic" w:hAnsi="Century Gothic" w:cs="Arial"/>
          <w:color w:val="202124"/>
          <w:sz w:val="24"/>
          <w:szCs w:val="24"/>
          <w:shd w:val="clear" w:color="auto" w:fill="FFFFFF"/>
        </w:rPr>
        <w:t>,</w:t>
      </w:r>
      <w:r w:rsidRPr="006E6876">
        <w:rPr>
          <w:rFonts w:ascii="Century Gothic" w:hAnsi="Century Gothic" w:cs="Arial"/>
          <w:color w:val="202124"/>
          <w:sz w:val="24"/>
          <w:szCs w:val="24"/>
          <w:shd w:val="clear" w:color="auto" w:fill="FFFFFF"/>
        </w:rPr>
        <w:t xml:space="preserve"> a someter a consideración la presente iniciativa con carácter</w:t>
      </w:r>
      <w:r w:rsidR="003E0647" w:rsidRPr="006E6876">
        <w:rPr>
          <w:rFonts w:ascii="Century Gothic" w:hAnsi="Century Gothic" w:cs="Arial"/>
          <w:color w:val="202124"/>
          <w:sz w:val="24"/>
          <w:szCs w:val="24"/>
          <w:shd w:val="clear" w:color="auto" w:fill="FFFFFF"/>
        </w:rPr>
        <w:t xml:space="preserve"> </w:t>
      </w:r>
      <w:r w:rsidR="00F6729C" w:rsidRPr="006E6876">
        <w:rPr>
          <w:rFonts w:ascii="Century Gothic" w:hAnsi="Century Gothic" w:cs="Arial"/>
          <w:b/>
          <w:color w:val="202124"/>
          <w:sz w:val="24"/>
          <w:szCs w:val="24"/>
          <w:shd w:val="clear" w:color="auto" w:fill="FFFFFF"/>
        </w:rPr>
        <w:t>PROPOSICIÓN</w:t>
      </w:r>
      <w:r w:rsidR="00F0180A" w:rsidRPr="006E6876">
        <w:rPr>
          <w:rFonts w:ascii="Century Gothic" w:hAnsi="Century Gothic" w:cs="Arial"/>
          <w:b/>
          <w:color w:val="202124"/>
          <w:sz w:val="24"/>
          <w:szCs w:val="24"/>
          <w:shd w:val="clear" w:color="auto" w:fill="FFFFFF"/>
        </w:rPr>
        <w:t xml:space="preserve"> con carácter de</w:t>
      </w:r>
      <w:r w:rsidR="004C01CF" w:rsidRPr="006E6876">
        <w:rPr>
          <w:rFonts w:ascii="Century Gothic" w:hAnsi="Century Gothic" w:cs="Arial"/>
          <w:b/>
          <w:color w:val="202124"/>
          <w:sz w:val="24"/>
          <w:szCs w:val="24"/>
          <w:shd w:val="clear" w:color="auto" w:fill="FFFFFF"/>
        </w:rPr>
        <w:t xml:space="preserve"> PUNTO DE ACUERDO </w:t>
      </w:r>
      <w:r w:rsidR="005B7C65" w:rsidRPr="006E6876">
        <w:rPr>
          <w:rFonts w:ascii="Century Gothic" w:hAnsi="Century Gothic" w:cs="Arial"/>
          <w:b/>
          <w:color w:val="202124"/>
          <w:sz w:val="24"/>
          <w:szCs w:val="24"/>
          <w:shd w:val="clear" w:color="auto" w:fill="FFFFFF"/>
        </w:rPr>
        <w:t>a efecto de</w:t>
      </w:r>
      <w:r w:rsidR="004C01CF" w:rsidRPr="006E6876">
        <w:rPr>
          <w:rFonts w:ascii="Century Gothic" w:hAnsi="Century Gothic" w:cs="Arial"/>
          <w:b/>
          <w:color w:val="202124"/>
          <w:sz w:val="24"/>
          <w:szCs w:val="24"/>
          <w:shd w:val="clear" w:color="auto" w:fill="FFFFFF"/>
        </w:rPr>
        <w:t xml:space="preserve"> </w:t>
      </w:r>
      <w:r w:rsidR="00344543">
        <w:rPr>
          <w:rFonts w:ascii="Century Gothic" w:hAnsi="Century Gothic" w:cs="Arial"/>
          <w:b/>
          <w:color w:val="202124"/>
          <w:sz w:val="24"/>
          <w:szCs w:val="24"/>
          <w:shd w:val="clear" w:color="auto" w:fill="FFFFFF"/>
        </w:rPr>
        <w:t xml:space="preserve">EXHORTAR al </w:t>
      </w:r>
      <w:r w:rsidR="0072623A">
        <w:rPr>
          <w:rFonts w:ascii="Century Gothic" w:hAnsi="Century Gothic" w:cs="Arial"/>
          <w:b/>
          <w:color w:val="202124"/>
          <w:sz w:val="24"/>
          <w:szCs w:val="24"/>
          <w:shd w:val="clear" w:color="auto" w:fill="FFFFFF"/>
        </w:rPr>
        <w:t>PODER</w:t>
      </w:r>
      <w:r w:rsidR="004C01CF" w:rsidRPr="006E6876">
        <w:rPr>
          <w:rFonts w:ascii="Century Gothic" w:hAnsi="Century Gothic" w:cs="Arial"/>
          <w:b/>
          <w:color w:val="202124"/>
          <w:sz w:val="24"/>
          <w:szCs w:val="24"/>
          <w:shd w:val="clear" w:color="auto" w:fill="FFFFFF"/>
        </w:rPr>
        <w:t xml:space="preserve"> </w:t>
      </w:r>
      <w:r w:rsidR="0072623A">
        <w:rPr>
          <w:rFonts w:ascii="Century Gothic" w:hAnsi="Century Gothic" w:cs="Arial"/>
          <w:b/>
          <w:color w:val="202124"/>
          <w:sz w:val="24"/>
          <w:szCs w:val="24"/>
          <w:shd w:val="clear" w:color="auto" w:fill="FFFFFF"/>
        </w:rPr>
        <w:t xml:space="preserve">EJECUTIVO FEDERAL </w:t>
      </w:r>
      <w:r w:rsidR="002E3639">
        <w:rPr>
          <w:rFonts w:ascii="Century Gothic" w:hAnsi="Century Gothic" w:cs="Arial"/>
          <w:b/>
          <w:color w:val="202124"/>
          <w:sz w:val="24"/>
          <w:szCs w:val="24"/>
          <w:shd w:val="clear" w:color="auto" w:fill="FFFFFF"/>
        </w:rPr>
        <w:t xml:space="preserve">para que </w:t>
      </w:r>
      <w:r w:rsidR="00F0180A" w:rsidRPr="006E6876">
        <w:rPr>
          <w:rFonts w:ascii="Century Gothic" w:hAnsi="Century Gothic" w:cs="Arial"/>
          <w:b/>
          <w:color w:val="202124"/>
          <w:sz w:val="24"/>
          <w:szCs w:val="24"/>
          <w:shd w:val="clear" w:color="auto" w:fill="FFFFFF"/>
        </w:rPr>
        <w:t xml:space="preserve">desarrolle una alternativa de banca rural que </w:t>
      </w:r>
      <w:r w:rsidR="00E960F8" w:rsidRPr="006E6876">
        <w:rPr>
          <w:rFonts w:ascii="Century Gothic" w:hAnsi="Century Gothic" w:cs="Arial"/>
          <w:b/>
          <w:color w:val="202124"/>
          <w:sz w:val="24"/>
          <w:szCs w:val="24"/>
          <w:shd w:val="clear" w:color="auto" w:fill="FFFFFF"/>
        </w:rPr>
        <w:t>apoye y potencialice el campo mexicano</w:t>
      </w:r>
      <w:r w:rsidR="00344543">
        <w:rPr>
          <w:rFonts w:ascii="Century Gothic" w:hAnsi="Century Gothic" w:cs="Arial"/>
          <w:b/>
          <w:color w:val="202124"/>
          <w:sz w:val="24"/>
          <w:szCs w:val="24"/>
          <w:shd w:val="clear" w:color="auto" w:fill="FFFFFF"/>
        </w:rPr>
        <w:t>, tras la desaparición de la Financiera Nacional de Desarrollo Agropecuario, Rural, Forestal y Pesquero</w:t>
      </w:r>
      <w:r w:rsidR="00724533" w:rsidRPr="006E6876">
        <w:rPr>
          <w:rFonts w:ascii="Century Gothic" w:hAnsi="Century Gothic"/>
          <w:b/>
          <w:sz w:val="24"/>
          <w:szCs w:val="24"/>
        </w:rPr>
        <w:t xml:space="preserve">, </w:t>
      </w:r>
      <w:r w:rsidRPr="006E6876">
        <w:rPr>
          <w:rFonts w:ascii="Century Gothic" w:hAnsi="Century Gothic" w:cs="Arial"/>
          <w:color w:val="202124"/>
          <w:sz w:val="24"/>
          <w:szCs w:val="24"/>
          <w:shd w:val="clear" w:color="auto" w:fill="FFFFFF"/>
        </w:rPr>
        <w:t>lo anterior bajo la siguiente:</w:t>
      </w:r>
    </w:p>
    <w:p w14:paraId="147AE1A8" w14:textId="77777777" w:rsidR="00A3287B" w:rsidRPr="006E6876" w:rsidRDefault="00A3287B" w:rsidP="006E6876">
      <w:pPr>
        <w:spacing w:line="360" w:lineRule="auto"/>
        <w:jc w:val="center"/>
        <w:rPr>
          <w:rFonts w:ascii="Century Gothic" w:hAnsi="Century Gothic" w:cs="Arial"/>
          <w:b/>
          <w:color w:val="202124"/>
          <w:sz w:val="24"/>
          <w:szCs w:val="24"/>
          <w:shd w:val="clear" w:color="auto" w:fill="FFFFFF"/>
        </w:rPr>
      </w:pPr>
    </w:p>
    <w:p w14:paraId="1AAEF8DF" w14:textId="458E3091" w:rsidR="000467F0" w:rsidRPr="006E6876" w:rsidRDefault="00A346AA" w:rsidP="006E6876">
      <w:pPr>
        <w:spacing w:line="360" w:lineRule="auto"/>
        <w:jc w:val="center"/>
        <w:rPr>
          <w:rFonts w:ascii="Century Gothic" w:hAnsi="Century Gothic" w:cs="Arial"/>
          <w:b/>
          <w:color w:val="202124"/>
          <w:sz w:val="24"/>
          <w:szCs w:val="24"/>
          <w:shd w:val="clear" w:color="auto" w:fill="FFFFFF"/>
        </w:rPr>
      </w:pPr>
      <w:r w:rsidRPr="006E6876">
        <w:rPr>
          <w:rFonts w:ascii="Century Gothic" w:hAnsi="Century Gothic" w:cs="Arial"/>
          <w:b/>
          <w:color w:val="202124"/>
          <w:sz w:val="24"/>
          <w:szCs w:val="24"/>
          <w:shd w:val="clear" w:color="auto" w:fill="FFFFFF"/>
        </w:rPr>
        <w:t xml:space="preserve">EXPOSICIÓN DE MOTIVOS </w:t>
      </w:r>
    </w:p>
    <w:p w14:paraId="22AAB3FE" w14:textId="76076CD7" w:rsidR="004067FB" w:rsidRDefault="00976E5A" w:rsidP="006E6876">
      <w:pPr>
        <w:spacing w:line="360" w:lineRule="auto"/>
        <w:jc w:val="both"/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</w:pPr>
      <w:r w:rsidRPr="006E6876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 xml:space="preserve">En </w:t>
      </w:r>
      <w:r w:rsidR="004067FB" w:rsidRPr="006E6876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 xml:space="preserve">días pasados se aprobó </w:t>
      </w:r>
      <w:r w:rsidR="005C6382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>por ambas cámaras d</w:t>
      </w:r>
      <w:r w:rsidR="004067FB" w:rsidRPr="006E6876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>el Congreso de la Unión</w:t>
      </w:r>
      <w:r w:rsidR="00576AD5" w:rsidRPr="006E6876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 xml:space="preserve"> </w:t>
      </w:r>
      <w:r w:rsidR="00E37804" w:rsidRPr="006E6876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 xml:space="preserve">el dictamen por el que se extingue el Organismo Público descentralizado </w:t>
      </w:r>
      <w:r w:rsidR="00B962D7" w:rsidRPr="006E6876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>Financiera</w:t>
      </w:r>
      <w:r w:rsidR="000D61F2" w:rsidRPr="006E6876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 xml:space="preserve"> Nacional de Desarrollo </w:t>
      </w:r>
      <w:r w:rsidR="003007B6" w:rsidRPr="006E6876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>Agropecuario,</w:t>
      </w:r>
      <w:r w:rsidR="00B962D7" w:rsidRPr="006E6876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 xml:space="preserve"> Rural</w:t>
      </w:r>
      <w:r w:rsidR="003007B6" w:rsidRPr="006E6876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 xml:space="preserve">, Forestal y Pesquero, </w:t>
      </w:r>
      <w:r w:rsidR="00AE5102" w:rsidRPr="006E6876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 xml:space="preserve">la cual </w:t>
      </w:r>
      <w:r w:rsidR="008077B3" w:rsidRPr="006E6876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>tenía</w:t>
      </w:r>
      <w:r w:rsidR="00AE5102" w:rsidRPr="006E6876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 xml:space="preserve"> como objetivo impulsar el desarrollo </w:t>
      </w:r>
      <w:r w:rsidR="00301B59" w:rsidRPr="006E6876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>de las actividades con el medio rural</w:t>
      </w:r>
      <w:r w:rsidR="0095647E" w:rsidRPr="006E6876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>,</w:t>
      </w:r>
      <w:r w:rsidR="00301B59" w:rsidRPr="006E6876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 xml:space="preserve"> </w:t>
      </w:r>
      <w:r w:rsidR="0095647E" w:rsidRPr="006E6876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 xml:space="preserve">a través de créditos de manera directa </w:t>
      </w:r>
      <w:r w:rsidR="000C13E6" w:rsidRPr="006E6876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>a pequeños productores</w:t>
      </w:r>
      <w:r w:rsidR="00301B59" w:rsidRPr="006E6876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 xml:space="preserve"> </w:t>
      </w:r>
      <w:r w:rsidR="00B962D7" w:rsidRPr="006E6876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 xml:space="preserve">de manera directa </w:t>
      </w:r>
      <w:r w:rsidR="000C13E6" w:rsidRPr="006E6876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 xml:space="preserve">o través de </w:t>
      </w:r>
      <w:r w:rsidR="00B962D7" w:rsidRPr="006E6876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 xml:space="preserve">al desarrollo del sector agropecuario en </w:t>
      </w:r>
      <w:r w:rsidR="00B962D7" w:rsidRPr="006E6876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lastRenderedPageBreak/>
        <w:t>nuestro país a través del financiamiento sustentable para pequeños y medianos productores</w:t>
      </w:r>
      <w:r w:rsidR="00FB0EF0" w:rsidRPr="006E6876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 xml:space="preserve">. </w:t>
      </w:r>
    </w:p>
    <w:p w14:paraId="35B258BD" w14:textId="03CF2A81" w:rsidR="00795B8A" w:rsidRDefault="00FB0EF0" w:rsidP="006E6876">
      <w:pPr>
        <w:spacing w:line="360" w:lineRule="auto"/>
        <w:jc w:val="both"/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</w:pPr>
      <w:r w:rsidRPr="006E6876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>El argumento para la desaparición de este organismo</w:t>
      </w:r>
      <w:r w:rsidR="009127E1" w:rsidRPr="006E6876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 xml:space="preserve"> es </w:t>
      </w:r>
      <w:r w:rsidR="00E17572" w:rsidRPr="006E6876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 xml:space="preserve">que se trataba de un </w:t>
      </w:r>
      <w:r w:rsidR="00290225" w:rsidRPr="006E6876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>“</w:t>
      </w:r>
      <w:r w:rsidR="00E17572" w:rsidRPr="006E6876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>organismo atrofiado, incapaz de cumplir su objeto de impulsar el desarrollo rural.</w:t>
      </w:r>
      <w:r w:rsidR="00B0232B" w:rsidRPr="006E6876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>”</w:t>
      </w:r>
      <w:r w:rsidR="006E6876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>,</w:t>
      </w:r>
      <w:r w:rsidR="00706BEC" w:rsidRPr="006E6876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 xml:space="preserve"> </w:t>
      </w:r>
      <w:r w:rsidR="006E6876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>s</w:t>
      </w:r>
      <w:r w:rsidR="00706BEC" w:rsidRPr="006E6876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>in embargo</w:t>
      </w:r>
      <w:r w:rsidR="006E6876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>,</w:t>
      </w:r>
      <w:r w:rsidR="00706BEC" w:rsidRPr="006E6876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 xml:space="preserve"> </w:t>
      </w:r>
      <w:r w:rsidR="0042215C" w:rsidRPr="006E6876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 xml:space="preserve">no se presenta una alternativa de banca de desarrollo que el campo mexicano requiere. </w:t>
      </w:r>
    </w:p>
    <w:p w14:paraId="4C499CA0" w14:textId="6378C98D" w:rsidR="005C6382" w:rsidRDefault="005C6382" w:rsidP="006E6876">
      <w:pPr>
        <w:spacing w:line="360" w:lineRule="auto"/>
        <w:jc w:val="both"/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</w:pPr>
      <w:r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 xml:space="preserve">Desde la creación del Banco Nacional de Crédito Agrícola S. A. de C.V.  en 1926, nuestro país ha contado con instituciones financieras específicas para el sector rural y las actividades agropecuarias y pesqueras, con el simple objetivo de impulsar el desarrollo del campo mexicano. </w:t>
      </w:r>
    </w:p>
    <w:p w14:paraId="2053F45F" w14:textId="0130B430" w:rsidR="00290225" w:rsidRPr="006E6876" w:rsidRDefault="004B11BA" w:rsidP="006E6876">
      <w:pPr>
        <w:spacing w:line="360" w:lineRule="auto"/>
        <w:jc w:val="both"/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</w:pPr>
      <w:r w:rsidRPr="006E6876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>En el PRI consideramos</w:t>
      </w:r>
      <w:r w:rsidR="005C6382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 xml:space="preserve"> </w:t>
      </w:r>
      <w:r w:rsidRPr="006E6876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>que la capitalización del sector agropecuario debe ser fortalecida</w:t>
      </w:r>
      <w:r w:rsidR="00894163" w:rsidRPr="006E6876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>, con objetivos a largo plazo que permitan darle rentabilidad a los pequeños y medianos productores para fomentar los cultivos y el desarrollo integral de este sector</w:t>
      </w:r>
      <w:r w:rsidR="005C6382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>. Las y los agricultores son personas de trabajo y esfuerzo, acostumbrados a ganar con sus manos el sustento de sus familias y batallar para sacarlos adelante, pero que no, personas sencillas pero comprometidas con México</w:t>
      </w:r>
      <w:r w:rsidR="00894163" w:rsidRPr="006E6876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>.</w:t>
      </w:r>
    </w:p>
    <w:p w14:paraId="3FE9C321" w14:textId="34EFAAF6" w:rsidR="006E6876" w:rsidRDefault="006E6876" w:rsidP="006E6876">
      <w:pPr>
        <w:shd w:val="clear" w:color="auto" w:fill="FFFFFF"/>
        <w:spacing w:after="101" w:line="360" w:lineRule="auto"/>
        <w:jc w:val="both"/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</w:pPr>
      <w:r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 xml:space="preserve">Dentro de la exposición de motivos de la iniciativa presentada por el </w:t>
      </w:r>
      <w:proofErr w:type="gramStart"/>
      <w:r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>Presidente</w:t>
      </w:r>
      <w:proofErr w:type="gramEnd"/>
      <w:r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 xml:space="preserve"> López Obrador</w:t>
      </w:r>
      <w:r w:rsidR="00587AC4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>,</w:t>
      </w:r>
      <w:r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 xml:space="preserve"> menciona los apoyos como sembrando vida, </w:t>
      </w:r>
      <w:r w:rsidR="00606293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>producción para el bienestar, etc. Según las reglas de operación de</w:t>
      </w:r>
      <w:r w:rsidR="00D334B5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 xml:space="preserve">l programa Producción para el </w:t>
      </w:r>
      <w:r w:rsidR="007233E4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>B</w:t>
      </w:r>
      <w:r w:rsidR="00D334B5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>ienestar</w:t>
      </w:r>
      <w:r w:rsidR="00587AC4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 xml:space="preserve"> para el 2023</w:t>
      </w:r>
      <w:r w:rsidR="00FA5675">
        <w:rPr>
          <w:rStyle w:val="Refdenotaalpie"/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footnoteReference w:id="1"/>
      </w:r>
      <w:r w:rsidR="00606293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 xml:space="preserve">, cada productor recibe de manera directa </w:t>
      </w:r>
      <w:r w:rsidR="00D334B5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>la cantidad de</w:t>
      </w:r>
      <w:r w:rsidR="00B50E8B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 xml:space="preserve"> </w:t>
      </w:r>
      <w:r w:rsidR="00F15512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>$2,000.0 pesos por hectárea</w:t>
      </w:r>
      <w:r w:rsidR="00D334B5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 xml:space="preserve"> si </w:t>
      </w:r>
      <w:r w:rsidR="00D334B5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lastRenderedPageBreak/>
        <w:t xml:space="preserve">posee un predio de 0-5 hectáreas y </w:t>
      </w:r>
      <w:r w:rsidR="004A421E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>$</w:t>
      </w:r>
      <w:r w:rsidR="00F15512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>1,200</w:t>
      </w:r>
      <w:r w:rsidR="004A421E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 xml:space="preserve"> por hectárea si su predio es de</w:t>
      </w:r>
      <w:r w:rsidR="006834AE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 xml:space="preserve"> 5</w:t>
      </w:r>
      <w:r w:rsidR="00963E90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>-</w:t>
      </w:r>
      <w:r w:rsidR="006834AE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>20</w:t>
      </w:r>
      <w:r w:rsidR="004A421E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 xml:space="preserve">, como </w:t>
      </w:r>
      <w:r w:rsidR="00620CEC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 xml:space="preserve">son la mayoría en nuestro estado por la extensión territorial característica. </w:t>
      </w:r>
      <w:r w:rsidR="00750B01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 xml:space="preserve">También se menciona que </w:t>
      </w:r>
      <w:r w:rsidR="00475C15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 xml:space="preserve">ningún productor recibirá menos de $6,000 y tampoco más de $24,000. </w:t>
      </w:r>
    </w:p>
    <w:p w14:paraId="7CA93217" w14:textId="77777777" w:rsidR="00B429A3" w:rsidRDefault="00620CEC" w:rsidP="006E6876">
      <w:pPr>
        <w:shd w:val="clear" w:color="auto" w:fill="FFFFFF"/>
        <w:spacing w:after="101" w:line="360" w:lineRule="auto"/>
        <w:jc w:val="both"/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</w:pPr>
      <w:r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 xml:space="preserve">Es decir, si un productor posee 17 hectáreas, </w:t>
      </w:r>
      <w:r w:rsidR="006D4E76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 xml:space="preserve">recibirá de manera anual la cantidad de </w:t>
      </w:r>
      <w:r w:rsidR="00414A48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 xml:space="preserve">$20,400 pesos. En promedio, </w:t>
      </w:r>
      <w:r w:rsidR="002A4EE8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 xml:space="preserve">un tractor </w:t>
      </w:r>
      <w:r w:rsidR="00B410D0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>a</w:t>
      </w:r>
      <w:r w:rsidR="002A4EE8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>gr</w:t>
      </w:r>
      <w:r w:rsidR="00B410D0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>í</w:t>
      </w:r>
      <w:r w:rsidR="002A4EE8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>cola</w:t>
      </w:r>
      <w:r w:rsidR="00B410D0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 xml:space="preserve">, indispensable para la eficiencia de la producción, ronda en el mercado entre </w:t>
      </w:r>
      <w:r w:rsidR="00FA3401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>$1’200,000, para nuestro ejemplo práctico</w:t>
      </w:r>
      <w:r w:rsidR="00E17577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 xml:space="preserve">, tendría este productor que ahorrar 58.8 años </w:t>
      </w:r>
      <w:r w:rsidR="00E71136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>lo que recibe de producción para el bienestar, sin tocar un solo peso</w:t>
      </w:r>
      <w:r w:rsidR="00CF7208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>,</w:t>
      </w:r>
      <w:r w:rsidR="00E71136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 xml:space="preserve"> para poder completar esa cantidad. </w:t>
      </w:r>
    </w:p>
    <w:p w14:paraId="47F798C0" w14:textId="01F39EE2" w:rsidR="00F113EE" w:rsidRDefault="00AF433A" w:rsidP="006E6876">
      <w:pPr>
        <w:shd w:val="clear" w:color="auto" w:fill="FFFFFF"/>
        <w:spacing w:after="101" w:line="360" w:lineRule="auto"/>
        <w:jc w:val="both"/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</w:pPr>
      <w:r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 xml:space="preserve">Esto es solo para ejemplificar lo que muchos campesinos en el estado de Chihuahua viven de manera diaria, </w:t>
      </w:r>
      <w:r w:rsidR="0042272E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 xml:space="preserve">no es mi intención crear la discusión de </w:t>
      </w:r>
      <w:r w:rsidR="00CA30B7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>si es eficiente esta política o no, es</w:t>
      </w:r>
      <w:r w:rsidR="00BE3E95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>e es</w:t>
      </w:r>
      <w:r w:rsidR="00CA30B7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 xml:space="preserve"> tema de ot</w:t>
      </w:r>
      <w:r w:rsidR="005D6FE4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 xml:space="preserve">ra discusión, solo pretendo ejemplificar que </w:t>
      </w:r>
      <w:r w:rsidR="00CA30B7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>l</w:t>
      </w:r>
      <w:r w:rsidR="00894163" w:rsidRPr="006E6876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 xml:space="preserve">a política de bienestar tiene un objetivo diferente al </w:t>
      </w:r>
      <w:r w:rsidR="00622CD7" w:rsidRPr="006E6876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>que tenía la Financiara Nacional de Desarrollo,</w:t>
      </w:r>
      <w:r w:rsidR="005D6FE4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 xml:space="preserve"> y esta</w:t>
      </w:r>
      <w:r w:rsidR="00622CD7" w:rsidRPr="006E6876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 xml:space="preserve"> debe ser subsanada</w:t>
      </w:r>
      <w:r w:rsidR="00F113EE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 xml:space="preserve"> para dar</w:t>
      </w:r>
      <w:r w:rsidR="006343CD" w:rsidRPr="006E6876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 xml:space="preserve"> </w:t>
      </w:r>
      <w:r w:rsidR="006343CD" w:rsidRPr="00B036C6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 xml:space="preserve">la oportunidad </w:t>
      </w:r>
      <w:r w:rsidR="00F113EE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 xml:space="preserve">de mejora </w:t>
      </w:r>
      <w:r w:rsidR="006343CD" w:rsidRPr="00B036C6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 xml:space="preserve">y </w:t>
      </w:r>
      <w:r w:rsidR="00F113EE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 xml:space="preserve">equilibrar el </w:t>
      </w:r>
      <w:r w:rsidR="006343CD" w:rsidRPr="00B036C6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>costo del financiamiento.</w:t>
      </w:r>
    </w:p>
    <w:p w14:paraId="7A2307C2" w14:textId="2C5DB45F" w:rsidR="00B429A3" w:rsidRDefault="00B429A3" w:rsidP="006E6876">
      <w:pPr>
        <w:shd w:val="clear" w:color="auto" w:fill="FFFFFF"/>
        <w:spacing w:after="101" w:line="360" w:lineRule="auto"/>
        <w:jc w:val="both"/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</w:pPr>
      <w:r w:rsidRPr="00B429A3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>La Misión de la FND es impulsar el desarrollo del medio rural y de las actividades del sector primario, a través del crédito y servicios financieros accesibles a productores, intermediarios financieros rurales y otros agentes económicos, con la finalidad de elevar la productividad y contribuir a mejorar el nivel de vida de la población.</w:t>
      </w:r>
      <w:r>
        <w:rPr>
          <w:rStyle w:val="Refdenotaalpie"/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footnoteReference w:id="2"/>
      </w:r>
      <w:r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 xml:space="preserve"> </w:t>
      </w:r>
    </w:p>
    <w:p w14:paraId="671F143B" w14:textId="421C04F9" w:rsidR="00170CCC" w:rsidRPr="006E6876" w:rsidRDefault="00170CCC" w:rsidP="006E6876">
      <w:pPr>
        <w:shd w:val="clear" w:color="auto" w:fill="FFFFFF"/>
        <w:spacing w:after="101" w:line="360" w:lineRule="auto"/>
        <w:jc w:val="both"/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</w:pPr>
      <w:r w:rsidRPr="006E6876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 xml:space="preserve"> La Encuesta Nacional Agropecuaria 2019</w:t>
      </w:r>
      <w:r w:rsidR="003D13B5" w:rsidRPr="006E6876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 xml:space="preserve">, arrojo que la principal problemática de los productores son los altos costos de insumos y servicios </w:t>
      </w:r>
      <w:r w:rsidR="003D13B5" w:rsidRPr="006E6876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lastRenderedPageBreak/>
        <w:t xml:space="preserve">ya que los productores manifestaron </w:t>
      </w:r>
      <w:r w:rsidR="000B0F9D" w:rsidRPr="006E6876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>que</w:t>
      </w:r>
      <w:r w:rsidR="003D13B5" w:rsidRPr="006E6876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 xml:space="preserve"> el 73.8 % de las U</w:t>
      </w:r>
      <w:r w:rsidR="000B0F9D" w:rsidRPr="006E6876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>nidades de pr</w:t>
      </w:r>
      <w:r w:rsidR="00FF633A" w:rsidRPr="006E6876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>o</w:t>
      </w:r>
      <w:r w:rsidR="000B0F9D" w:rsidRPr="006E6876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 xml:space="preserve">ducción reportaron este problema, </w:t>
      </w:r>
      <w:r w:rsidR="00FF633A" w:rsidRPr="006E6876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 xml:space="preserve">le sigue Dificultades en la comercialización y Dificultades para exportar con el 57.3 y 31.8% respectivamente. </w:t>
      </w:r>
    </w:p>
    <w:p w14:paraId="10CF8762" w14:textId="4DF6BCD7" w:rsidR="00894163" w:rsidRPr="006E6876" w:rsidRDefault="003B5CF4" w:rsidP="006E6876">
      <w:pPr>
        <w:shd w:val="clear" w:color="auto" w:fill="FFFFFF"/>
        <w:spacing w:after="101" w:line="360" w:lineRule="auto"/>
        <w:jc w:val="both"/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</w:pPr>
      <w:r w:rsidRPr="006E6876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>También el 9.4 % de las unidades de producción solicitaron un crédito o préstamo para el desarrollo de sus actividades; solo 8.4 % logró obtenerlo</w:t>
      </w:r>
      <w:r w:rsidRPr="006E6876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  <w:vertAlign w:val="superscript"/>
        </w:rPr>
        <w:footnoteReference w:id="3"/>
      </w:r>
      <w:r w:rsidRPr="006E6876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 xml:space="preserve">. </w:t>
      </w:r>
      <w:r w:rsidR="006343CD" w:rsidRPr="00B036C6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>Además, existen fuertes disparidades en la productividad de las unidades de producción. El segmento comercial es altamente competitivo</w:t>
      </w:r>
      <w:r w:rsidRPr="006E6876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>.</w:t>
      </w:r>
    </w:p>
    <w:p w14:paraId="4FC3F144" w14:textId="4F517D5F" w:rsidR="003B5CF4" w:rsidRPr="006E6876" w:rsidRDefault="0001400C" w:rsidP="006E6876">
      <w:pPr>
        <w:shd w:val="clear" w:color="auto" w:fill="FFFFFF"/>
        <w:spacing w:after="101" w:line="360" w:lineRule="auto"/>
        <w:jc w:val="both"/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</w:pPr>
      <w:r w:rsidRPr="006E6876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>Esta medida también traerá consigo el encarecimiento de los créditos privados al campo,</w:t>
      </w:r>
      <w:r w:rsidR="00414A4A" w:rsidRPr="006E6876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 xml:space="preserve"> al tener que acudir a la banca privada </w:t>
      </w:r>
      <w:r w:rsidR="00F631C5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>u financieras de segundo</w:t>
      </w:r>
      <w:r w:rsidR="00981C3E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 xml:space="preserve"> piso </w:t>
      </w:r>
      <w:r w:rsidR="00414A4A" w:rsidRPr="006E6876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 xml:space="preserve">para poder obtener el financiamiento. </w:t>
      </w:r>
    </w:p>
    <w:p w14:paraId="0358BA6E" w14:textId="35FD4581" w:rsidR="00EF3C61" w:rsidRPr="006E6876" w:rsidRDefault="00AB3723" w:rsidP="006E6876">
      <w:pPr>
        <w:spacing w:line="360" w:lineRule="auto"/>
        <w:jc w:val="both"/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</w:pPr>
      <w:r w:rsidRPr="006E6876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 xml:space="preserve">Debemos </w:t>
      </w:r>
      <w:r w:rsidR="001F0E5D" w:rsidRPr="006E6876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>impulsar la</w:t>
      </w:r>
      <w:r w:rsidR="00A04AF3" w:rsidRPr="006E6876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 xml:space="preserve"> adopción de tecnologías que permitan la modernización y desarrollo del campo </w:t>
      </w:r>
      <w:r w:rsidR="00F731CA" w:rsidRPr="006E6876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 xml:space="preserve">para </w:t>
      </w:r>
      <w:r w:rsidR="005C4BE8" w:rsidRPr="006E6876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 xml:space="preserve">incrementar la productividad, pero esto solo se podrá </w:t>
      </w:r>
      <w:r w:rsidR="00630824" w:rsidRPr="006E6876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>lograr a través de la regionalización de la política agropecuaria</w:t>
      </w:r>
      <w:r w:rsidR="00344543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 xml:space="preserve">, no se maneja igual el campo en Tabasco o Chiapas que en Chihuahua, donde la lógica geográfica nos dice que los predios son más grandes y las condiciones climáticas más complicadas. </w:t>
      </w:r>
    </w:p>
    <w:p w14:paraId="25D52828" w14:textId="25726A82" w:rsidR="005F650F" w:rsidRPr="006E6876" w:rsidRDefault="00D4706C" w:rsidP="006E6876">
      <w:pPr>
        <w:spacing w:line="360" w:lineRule="auto"/>
        <w:jc w:val="both"/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</w:pPr>
      <w:r w:rsidRPr="006E6876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>Durante el 2021 nuestro estado se posicion</w:t>
      </w:r>
      <w:r w:rsidR="00EC1AC8" w:rsidRPr="006E6876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>ó</w:t>
      </w:r>
      <w:r w:rsidRPr="006E6876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 xml:space="preserve"> como el cuarto lugar en producción de alimentos</w:t>
      </w:r>
      <w:r w:rsidR="00E95943" w:rsidRPr="006E6876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 xml:space="preserve"> </w:t>
      </w:r>
      <w:r w:rsidRPr="006E6876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 xml:space="preserve">y el primer lugar </w:t>
      </w:r>
      <w:r w:rsidR="005F650F" w:rsidRPr="006E6876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>la producción</w:t>
      </w:r>
      <w:r w:rsidRPr="006E6876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 xml:space="preserve"> de alfalfa</w:t>
      </w:r>
      <w:r w:rsidR="00E95943" w:rsidRPr="006E6876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 xml:space="preserve"> verde, algodón</w:t>
      </w:r>
      <w:r w:rsidR="00CA4A7B" w:rsidRPr="006E6876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 xml:space="preserve"> </w:t>
      </w:r>
      <w:r w:rsidR="00E95943" w:rsidRPr="006E6876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>hueso, avena forrajera</w:t>
      </w:r>
      <w:r w:rsidR="00CA4A7B" w:rsidRPr="006E6876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>, cebolla manzana, chile verde y nuez.</w:t>
      </w:r>
      <w:r w:rsidR="00EC1AC8" w:rsidRPr="006E6876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 xml:space="preserve"> Y de los principales productores de frijo</w:t>
      </w:r>
      <w:r w:rsidR="005F650F" w:rsidRPr="006E6876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 xml:space="preserve">l, maíz y trigo. </w:t>
      </w:r>
    </w:p>
    <w:p w14:paraId="3CF35954" w14:textId="79E10779" w:rsidR="00576AD5" w:rsidRPr="006E6876" w:rsidRDefault="00CA4A7B" w:rsidP="006E6876">
      <w:pPr>
        <w:spacing w:line="360" w:lineRule="auto"/>
        <w:jc w:val="both"/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</w:pPr>
      <w:r w:rsidRPr="006E6876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 xml:space="preserve"> Somos un estado caracterizado</w:t>
      </w:r>
      <w:r w:rsidR="00344543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 xml:space="preserve"> por</w:t>
      </w:r>
      <w:r w:rsidR="00B52CC2" w:rsidRPr="006E6876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 xml:space="preserve"> el trabajo y </w:t>
      </w:r>
      <w:r w:rsidRPr="006E6876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 xml:space="preserve">la unión de sus productores cuando se trata de defender al campo por eso desde esta </w:t>
      </w:r>
      <w:r w:rsidR="00344543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>tribuna</w:t>
      </w:r>
      <w:r w:rsidRPr="006E6876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 xml:space="preserve"> es que </w:t>
      </w:r>
      <w:r w:rsidRPr="006E6876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lastRenderedPageBreak/>
        <w:t xml:space="preserve">pedimos </w:t>
      </w:r>
      <w:r w:rsidR="009851A8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>que</w:t>
      </w:r>
      <w:r w:rsidRPr="006E6876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 xml:space="preserve"> se desarrolle una opción viable</w:t>
      </w:r>
      <w:r w:rsidR="00344543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 xml:space="preserve"> de banca agropecuaria, eficiente y eficaz, fortalecida desde el Gobierno y</w:t>
      </w:r>
      <w:r w:rsidRPr="006E6876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 xml:space="preserve"> que venga a contribuir al desarrollo y la tecnificación del campo</w:t>
      </w:r>
      <w:r w:rsidR="00B52CC2" w:rsidRPr="006E6876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 xml:space="preserve">. </w:t>
      </w:r>
    </w:p>
    <w:p w14:paraId="41F5F2E0" w14:textId="2C0B07A7" w:rsidR="00B52CC2" w:rsidRPr="006E6876" w:rsidRDefault="00174F2F" w:rsidP="006E6876">
      <w:pPr>
        <w:spacing w:line="360" w:lineRule="auto"/>
        <w:jc w:val="both"/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</w:pPr>
      <w:r w:rsidRPr="006E6876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>Podremos tener diferencias</w:t>
      </w:r>
      <w:r w:rsidR="0088180A" w:rsidRPr="006E6876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 xml:space="preserve"> </w:t>
      </w:r>
      <w:r w:rsidR="00903798" w:rsidRPr="006E6876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 xml:space="preserve">con este gobierno respecto al manejo </w:t>
      </w:r>
      <w:r w:rsidR="009851A8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 xml:space="preserve">o </w:t>
      </w:r>
      <w:r w:rsidR="00903798" w:rsidRPr="006E6876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>beneficio de la Financiera Nacional de Desarrollo, en lo que no estanos de acuerdo es que se desaparezcan las instituciones sin un</w:t>
      </w:r>
      <w:r w:rsidR="004B11BA" w:rsidRPr="006E6876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 xml:space="preserve">a vía alterna de soluciones. </w:t>
      </w:r>
    </w:p>
    <w:p w14:paraId="3B8BB3F8" w14:textId="05245224" w:rsidR="00FB6CF2" w:rsidRPr="00EC2A5A" w:rsidRDefault="00B036C6" w:rsidP="006E6876">
      <w:pPr>
        <w:shd w:val="clear" w:color="auto" w:fill="FFFFFF"/>
        <w:spacing w:after="101" w:line="360" w:lineRule="auto"/>
        <w:jc w:val="both"/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</w:pPr>
      <w:r w:rsidRPr="00B036C6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>El campo es un sector estratégico, a causa de su potencial para reducir la pobreza e incidir sobre el desarrollo regional</w:t>
      </w:r>
      <w:r w:rsidR="00EC5C1E" w:rsidRPr="006E6876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 xml:space="preserve">, </w:t>
      </w:r>
      <w:r w:rsidR="007D3CF2" w:rsidRPr="006E6876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 xml:space="preserve">eliminar los organismos y programas que contribuyen a su desarrollo contribuye a la insuficiencia alimentaria, si a eso le sumamos los niveles de inflación, nos conduce directamente a una afectación directa para los hogares mexicanos. </w:t>
      </w:r>
    </w:p>
    <w:p w14:paraId="1E70C2FE" w14:textId="52F840D8" w:rsidR="008B5FF8" w:rsidRPr="006E6876" w:rsidRDefault="008B5FF8" w:rsidP="006E6876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6E6876">
        <w:rPr>
          <w:rFonts w:ascii="Century Gothic" w:hAnsi="Century Gothic"/>
          <w:sz w:val="24"/>
          <w:szCs w:val="24"/>
        </w:rPr>
        <w:t xml:space="preserve">Por ello sometemos a </w:t>
      </w:r>
      <w:r w:rsidR="00B962D7" w:rsidRPr="006E6876">
        <w:rPr>
          <w:rFonts w:ascii="Century Gothic" w:hAnsi="Century Gothic"/>
          <w:sz w:val="24"/>
          <w:szCs w:val="24"/>
        </w:rPr>
        <w:t xml:space="preserve">considerado </w:t>
      </w:r>
      <w:r w:rsidRPr="006E6876">
        <w:rPr>
          <w:rFonts w:ascii="Century Gothic" w:hAnsi="Century Gothic"/>
          <w:sz w:val="24"/>
          <w:szCs w:val="24"/>
        </w:rPr>
        <w:t>d</w:t>
      </w:r>
      <w:r w:rsidR="00724533" w:rsidRPr="006E6876">
        <w:rPr>
          <w:rFonts w:ascii="Century Gothic" w:hAnsi="Century Gothic"/>
          <w:sz w:val="24"/>
          <w:szCs w:val="24"/>
        </w:rPr>
        <w:t>e este H. Congreso el siguiente:</w:t>
      </w:r>
    </w:p>
    <w:p w14:paraId="65010E67" w14:textId="77777777" w:rsidR="00724533" w:rsidRPr="006E6876" w:rsidRDefault="00724533" w:rsidP="006E6876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1972910F" w14:textId="36D30DC8" w:rsidR="008B5FF8" w:rsidRDefault="00C124FC" w:rsidP="006E6876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6E6876">
        <w:rPr>
          <w:rFonts w:ascii="Century Gothic" w:hAnsi="Century Gothic"/>
          <w:b/>
          <w:sz w:val="24"/>
          <w:szCs w:val="24"/>
        </w:rPr>
        <w:t>ACUERDO</w:t>
      </w:r>
    </w:p>
    <w:p w14:paraId="0EFEC1AD" w14:textId="26F6F4C4" w:rsidR="003E0647" w:rsidRDefault="00F257F0" w:rsidP="00EC2A5A">
      <w:pPr>
        <w:spacing w:line="360" w:lineRule="auto"/>
        <w:jc w:val="both"/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</w:pPr>
      <w:r>
        <w:rPr>
          <w:rFonts w:ascii="Century Gothic" w:hAnsi="Century Gothic"/>
          <w:b/>
          <w:sz w:val="24"/>
          <w:szCs w:val="24"/>
        </w:rPr>
        <w:t>PRIMERO</w:t>
      </w:r>
      <w:r w:rsidR="00C124FC" w:rsidRPr="006E6876">
        <w:rPr>
          <w:rFonts w:ascii="Century Gothic" w:hAnsi="Century Gothic"/>
          <w:b/>
          <w:sz w:val="24"/>
          <w:szCs w:val="24"/>
        </w:rPr>
        <w:t>.</w:t>
      </w:r>
      <w:r w:rsidR="002E3639">
        <w:rPr>
          <w:rFonts w:ascii="Century Gothic" w:hAnsi="Century Gothic"/>
          <w:b/>
          <w:sz w:val="24"/>
          <w:szCs w:val="24"/>
        </w:rPr>
        <w:t xml:space="preserve"> </w:t>
      </w:r>
      <w:r w:rsidR="00CD4479" w:rsidRPr="006E6876">
        <w:rPr>
          <w:rFonts w:ascii="Century Gothic" w:hAnsi="Century Gothic"/>
          <w:sz w:val="24"/>
          <w:szCs w:val="24"/>
        </w:rPr>
        <w:t xml:space="preserve">La Sexagésima Séptima Legislatura del H. Congreso del Estado exhorta de manera respetuosa </w:t>
      </w:r>
      <w:r w:rsidR="00F70878" w:rsidRPr="006E6876">
        <w:rPr>
          <w:rFonts w:ascii="Century Gothic" w:hAnsi="Century Gothic"/>
          <w:sz w:val="24"/>
          <w:szCs w:val="24"/>
        </w:rPr>
        <w:t xml:space="preserve">al </w:t>
      </w:r>
      <w:r w:rsidR="00F70878" w:rsidRPr="00B429A3">
        <w:rPr>
          <w:rFonts w:ascii="Century Gothic" w:hAnsi="Century Gothic"/>
          <w:b/>
          <w:bCs/>
          <w:sz w:val="24"/>
          <w:szCs w:val="24"/>
        </w:rPr>
        <w:t>PODER EJECUTIVO FEDERAL</w:t>
      </w:r>
      <w:r w:rsidR="00F70878" w:rsidRPr="006E6876">
        <w:rPr>
          <w:rFonts w:ascii="Century Gothic" w:hAnsi="Century Gothic"/>
          <w:sz w:val="24"/>
          <w:szCs w:val="24"/>
        </w:rPr>
        <w:t xml:space="preserve"> a desarrollar una alternativa de Banca </w:t>
      </w:r>
      <w:r w:rsidR="00420CF1" w:rsidRPr="006E6876">
        <w:rPr>
          <w:rFonts w:ascii="Century Gothic" w:hAnsi="Century Gothic"/>
          <w:sz w:val="24"/>
          <w:szCs w:val="24"/>
        </w:rPr>
        <w:t>de Desarrollo al campo mexicano</w:t>
      </w:r>
      <w:r w:rsidR="00602A3F">
        <w:rPr>
          <w:rFonts w:ascii="Century Gothic" w:hAnsi="Century Gothic"/>
          <w:sz w:val="24"/>
          <w:szCs w:val="24"/>
        </w:rPr>
        <w:t>, que atienda a pequeños y medianos productores</w:t>
      </w:r>
      <w:r w:rsidR="00420CF1" w:rsidRPr="006E6876">
        <w:rPr>
          <w:rFonts w:ascii="Century Gothic" w:hAnsi="Century Gothic"/>
          <w:sz w:val="24"/>
          <w:szCs w:val="24"/>
        </w:rPr>
        <w:t xml:space="preserve"> a efecto </w:t>
      </w:r>
      <w:r w:rsidR="00ED0CCB" w:rsidRPr="006E6876">
        <w:rPr>
          <w:rFonts w:ascii="Century Gothic" w:hAnsi="Century Gothic"/>
          <w:sz w:val="24"/>
          <w:szCs w:val="24"/>
        </w:rPr>
        <w:t>potenciar la</w:t>
      </w:r>
      <w:r w:rsidR="00420CF1" w:rsidRPr="006E6876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 xml:space="preserve"> modernización</w:t>
      </w:r>
      <w:r w:rsidR="006E187B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>, tecnificación</w:t>
      </w:r>
      <w:r w:rsidR="00420CF1" w:rsidRPr="006E6876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 xml:space="preserve"> y desarrollo del campo para incrementar la productividad</w:t>
      </w:r>
      <w:r w:rsidR="00ED0CCB" w:rsidRPr="006E6876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 xml:space="preserve"> y con esto </w:t>
      </w:r>
      <w:proofErr w:type="spellStart"/>
      <w:r w:rsidR="00ED0CCB" w:rsidRPr="006E6876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>eficientar</w:t>
      </w:r>
      <w:proofErr w:type="spellEnd"/>
      <w:r w:rsidR="00ED0CCB" w:rsidRPr="006E6876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 xml:space="preserve"> la productividad de las Unidades de Producción. </w:t>
      </w:r>
    </w:p>
    <w:p w14:paraId="3027F791" w14:textId="3506D8BD" w:rsidR="007254FA" w:rsidRPr="003C7669" w:rsidRDefault="007254FA" w:rsidP="00EC2A5A">
      <w:pPr>
        <w:spacing w:line="360" w:lineRule="auto"/>
        <w:jc w:val="both"/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</w:pPr>
      <w:r w:rsidRPr="00F257F0">
        <w:rPr>
          <w:rFonts w:ascii="Century Gothic" w:hAnsi="Century Gothic" w:cs="Arial"/>
          <w:b/>
          <w:color w:val="202124"/>
          <w:sz w:val="24"/>
          <w:szCs w:val="24"/>
          <w:shd w:val="clear" w:color="auto" w:fill="FFFFFF"/>
        </w:rPr>
        <w:t>SEGUNDO</w:t>
      </w:r>
      <w:r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 xml:space="preserve">. </w:t>
      </w:r>
      <w:r w:rsidRPr="006E6876">
        <w:rPr>
          <w:rFonts w:ascii="Century Gothic" w:hAnsi="Century Gothic"/>
          <w:sz w:val="24"/>
          <w:szCs w:val="24"/>
        </w:rPr>
        <w:t xml:space="preserve">La Sexagésima Séptima Legislatura del H. Congreso del Estado exhorta de manera respetuosa al </w:t>
      </w:r>
      <w:r w:rsidRPr="00B429A3">
        <w:rPr>
          <w:rFonts w:ascii="Century Gothic" w:hAnsi="Century Gothic"/>
          <w:b/>
          <w:bCs/>
          <w:sz w:val="24"/>
          <w:szCs w:val="24"/>
        </w:rPr>
        <w:t>PODER EJECUTIVO FEDERAL</w:t>
      </w:r>
      <w:r w:rsidRPr="006E6876">
        <w:rPr>
          <w:rFonts w:ascii="Century Gothic" w:hAnsi="Century Gothic"/>
          <w:sz w:val="24"/>
          <w:szCs w:val="24"/>
        </w:rPr>
        <w:t xml:space="preserve"> a </w:t>
      </w:r>
      <w:r>
        <w:rPr>
          <w:rFonts w:ascii="Century Gothic" w:hAnsi="Century Gothic"/>
          <w:sz w:val="24"/>
          <w:szCs w:val="24"/>
        </w:rPr>
        <w:t xml:space="preserve">regionalizar </w:t>
      </w:r>
      <w:r>
        <w:rPr>
          <w:rFonts w:ascii="Century Gothic" w:hAnsi="Century Gothic"/>
          <w:sz w:val="24"/>
          <w:szCs w:val="24"/>
        </w:rPr>
        <w:lastRenderedPageBreak/>
        <w:t xml:space="preserve">la política agropecuaria </w:t>
      </w:r>
      <w:r w:rsidR="000C26E9">
        <w:rPr>
          <w:rFonts w:ascii="Century Gothic" w:hAnsi="Century Gothic"/>
          <w:sz w:val="24"/>
          <w:szCs w:val="24"/>
        </w:rPr>
        <w:t>para favorecer las necesidades</w:t>
      </w:r>
      <w:r w:rsidR="00EF0A9F">
        <w:rPr>
          <w:rFonts w:ascii="Century Gothic" w:hAnsi="Century Gothic"/>
          <w:sz w:val="24"/>
          <w:szCs w:val="24"/>
        </w:rPr>
        <w:t xml:space="preserve"> </w:t>
      </w:r>
      <w:r w:rsidR="000C26E9">
        <w:rPr>
          <w:rFonts w:ascii="Century Gothic" w:hAnsi="Century Gothic"/>
          <w:sz w:val="24"/>
          <w:szCs w:val="24"/>
        </w:rPr>
        <w:t>de los pequeños y medianos productores del estado de Chihuahua</w:t>
      </w:r>
      <w:r w:rsidRPr="006E6876">
        <w:rPr>
          <w:rFonts w:ascii="Century Gothic" w:hAnsi="Century Gothic" w:cs="Arial"/>
          <w:bCs/>
          <w:color w:val="202124"/>
          <w:sz w:val="24"/>
          <w:szCs w:val="24"/>
          <w:shd w:val="clear" w:color="auto" w:fill="FFFFFF"/>
        </w:rPr>
        <w:t xml:space="preserve">. </w:t>
      </w:r>
    </w:p>
    <w:p w14:paraId="453CBF20" w14:textId="28ABE70E" w:rsidR="00FA3C7C" w:rsidRPr="006E6876" w:rsidRDefault="00FA3C7C" w:rsidP="006E6876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6E6876">
        <w:rPr>
          <w:rFonts w:ascii="Century Gothic" w:hAnsi="Century Gothic"/>
          <w:b/>
          <w:sz w:val="24"/>
          <w:szCs w:val="24"/>
        </w:rPr>
        <w:t>Económico.</w:t>
      </w:r>
      <w:r w:rsidRPr="006E6876">
        <w:rPr>
          <w:rFonts w:ascii="Century Gothic" w:hAnsi="Century Gothic"/>
          <w:sz w:val="24"/>
          <w:szCs w:val="24"/>
        </w:rPr>
        <w:t xml:space="preserve"> Aprobado que sea, remítase copia del presente Acuerdo a la Secretaría correspondiente para que actúe en consecuencia.</w:t>
      </w:r>
    </w:p>
    <w:p w14:paraId="467CFF79" w14:textId="7527F8F0" w:rsidR="00FA3C7C" w:rsidRPr="006E6876" w:rsidRDefault="00FA3C7C" w:rsidP="006E6876">
      <w:pPr>
        <w:spacing w:line="360" w:lineRule="auto"/>
        <w:rPr>
          <w:rFonts w:ascii="Century Gothic" w:hAnsi="Century Gothic"/>
          <w:sz w:val="24"/>
          <w:szCs w:val="24"/>
        </w:rPr>
      </w:pPr>
      <w:r w:rsidRPr="006E6876">
        <w:rPr>
          <w:rFonts w:ascii="Century Gothic" w:hAnsi="Century Gothic"/>
          <w:b/>
          <w:sz w:val="24"/>
          <w:szCs w:val="24"/>
        </w:rPr>
        <w:t>D A D O</w:t>
      </w:r>
      <w:r w:rsidRPr="006E6876">
        <w:rPr>
          <w:rFonts w:ascii="Century Gothic" w:hAnsi="Century Gothic"/>
          <w:sz w:val="24"/>
          <w:szCs w:val="24"/>
        </w:rPr>
        <w:t xml:space="preserve"> en el Salón de Sesiones del Palacio del Poder Legislativo a los </w:t>
      </w:r>
      <w:r w:rsidR="005435A4">
        <w:rPr>
          <w:rFonts w:ascii="Century Gothic" w:hAnsi="Century Gothic"/>
          <w:sz w:val="24"/>
          <w:szCs w:val="24"/>
        </w:rPr>
        <w:t>tres</w:t>
      </w:r>
      <w:r w:rsidRPr="006E6876">
        <w:rPr>
          <w:rFonts w:ascii="Century Gothic" w:hAnsi="Century Gothic"/>
          <w:sz w:val="24"/>
          <w:szCs w:val="24"/>
        </w:rPr>
        <w:t xml:space="preserve"> días del mes de </w:t>
      </w:r>
      <w:r w:rsidR="006E6876" w:rsidRPr="006E6876">
        <w:rPr>
          <w:rFonts w:ascii="Century Gothic" w:hAnsi="Century Gothic"/>
          <w:sz w:val="24"/>
          <w:szCs w:val="24"/>
        </w:rPr>
        <w:t>mayo</w:t>
      </w:r>
      <w:r w:rsidRPr="006E6876">
        <w:rPr>
          <w:rFonts w:ascii="Century Gothic" w:hAnsi="Century Gothic"/>
          <w:sz w:val="24"/>
          <w:szCs w:val="24"/>
        </w:rPr>
        <w:t xml:space="preserve"> del año dos mil veinti</w:t>
      </w:r>
      <w:r w:rsidR="006E6876" w:rsidRPr="006E6876">
        <w:rPr>
          <w:rFonts w:ascii="Century Gothic" w:hAnsi="Century Gothic"/>
          <w:sz w:val="24"/>
          <w:szCs w:val="24"/>
        </w:rPr>
        <w:t>trés</w:t>
      </w:r>
      <w:r w:rsidRPr="006E6876">
        <w:rPr>
          <w:rFonts w:ascii="Century Gothic" w:hAnsi="Century Gothic"/>
          <w:sz w:val="24"/>
          <w:szCs w:val="24"/>
        </w:rPr>
        <w:t>.</w:t>
      </w:r>
    </w:p>
    <w:p w14:paraId="11437DB3" w14:textId="77777777" w:rsidR="00E16A96" w:rsidRPr="006E6876" w:rsidRDefault="00E16A96" w:rsidP="006E6876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650C30BA" w14:textId="77777777" w:rsidR="00C124FC" w:rsidRPr="006E6876" w:rsidRDefault="00FA3C7C" w:rsidP="006E6876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6E6876">
        <w:rPr>
          <w:rFonts w:ascii="Century Gothic" w:hAnsi="Century Gothic"/>
          <w:b/>
          <w:sz w:val="24"/>
          <w:szCs w:val="24"/>
        </w:rPr>
        <w:t>A T E N T A M E N T E</w:t>
      </w:r>
    </w:p>
    <w:p w14:paraId="3CE7060E" w14:textId="77777777" w:rsidR="00E16A96" w:rsidRPr="006E6876" w:rsidRDefault="00E16A96" w:rsidP="006E6876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14:paraId="15330BF1" w14:textId="1FB63E77" w:rsidR="00AD7F42" w:rsidRPr="006E6876" w:rsidRDefault="00FA3C7C" w:rsidP="006E6876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6E6876">
        <w:rPr>
          <w:rFonts w:ascii="Century Gothic" w:hAnsi="Century Gothic"/>
          <w:b/>
          <w:sz w:val="24"/>
          <w:szCs w:val="24"/>
        </w:rPr>
        <w:t xml:space="preserve">DIP. </w:t>
      </w:r>
      <w:r w:rsidR="000467F0" w:rsidRPr="006E6876">
        <w:rPr>
          <w:rFonts w:ascii="Century Gothic" w:hAnsi="Century Gothic"/>
          <w:b/>
          <w:sz w:val="24"/>
          <w:szCs w:val="24"/>
        </w:rPr>
        <w:t>IVÓN SALAZAR MORALES</w:t>
      </w:r>
      <w:r w:rsidR="002C13A3" w:rsidRPr="006E6876">
        <w:rPr>
          <w:rFonts w:ascii="Century Gothic" w:hAnsi="Century Gothic"/>
          <w:b/>
          <w:sz w:val="24"/>
          <w:szCs w:val="24"/>
        </w:rPr>
        <w:t xml:space="preserve"> </w:t>
      </w:r>
    </w:p>
    <w:sectPr w:rsidR="00AD7F42" w:rsidRPr="006E6876" w:rsidSect="007326C4">
      <w:headerReference w:type="default" r:id="rId8"/>
      <w:pgSz w:w="12240" w:h="15840"/>
      <w:pgMar w:top="311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0469A" w14:textId="77777777" w:rsidR="00835D5A" w:rsidRDefault="00835D5A" w:rsidP="007326C4">
      <w:pPr>
        <w:spacing w:after="0" w:line="240" w:lineRule="auto"/>
      </w:pPr>
      <w:r>
        <w:separator/>
      </w:r>
    </w:p>
  </w:endnote>
  <w:endnote w:type="continuationSeparator" w:id="0">
    <w:p w14:paraId="0540A250" w14:textId="77777777" w:rsidR="00835D5A" w:rsidRDefault="00835D5A" w:rsidP="00732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B53FC" w14:textId="77777777" w:rsidR="00835D5A" w:rsidRDefault="00835D5A" w:rsidP="007326C4">
      <w:pPr>
        <w:spacing w:after="0" w:line="240" w:lineRule="auto"/>
      </w:pPr>
      <w:r>
        <w:separator/>
      </w:r>
    </w:p>
  </w:footnote>
  <w:footnote w:type="continuationSeparator" w:id="0">
    <w:p w14:paraId="37603088" w14:textId="77777777" w:rsidR="00835D5A" w:rsidRDefault="00835D5A" w:rsidP="007326C4">
      <w:pPr>
        <w:spacing w:after="0" w:line="240" w:lineRule="auto"/>
      </w:pPr>
      <w:r>
        <w:continuationSeparator/>
      </w:r>
    </w:p>
  </w:footnote>
  <w:footnote w:id="1">
    <w:p w14:paraId="48616C02" w14:textId="004BC5F0" w:rsidR="00FA5675" w:rsidRDefault="00FA5675">
      <w:pPr>
        <w:pStyle w:val="Textonotapie"/>
      </w:pPr>
      <w:r>
        <w:rPr>
          <w:rStyle w:val="Refdenotaalpie"/>
        </w:rPr>
        <w:footnoteRef/>
      </w:r>
      <w:r>
        <w:t xml:space="preserve"> REGLAS DE OPERACIÓN </w:t>
      </w:r>
      <w:r w:rsidR="000E743F">
        <w:t xml:space="preserve">PRODUCCIÓN PARA EL BIENESTAR 2023, DISPONIBLE PARA SU CONSULTA EN: </w:t>
      </w:r>
      <w:hyperlink r:id="rId1" w:anchor="gsc.tab=0" w:history="1">
        <w:r w:rsidR="000E743F" w:rsidRPr="00892911">
          <w:rPr>
            <w:rStyle w:val="Hipervnculo"/>
          </w:rPr>
          <w:t>https://www.dof.gob.mx/nota_detalle.php?codigo=5676169&amp;fecha=30/12/2022#gsc.tab=0</w:t>
        </w:r>
      </w:hyperlink>
      <w:r>
        <w:t xml:space="preserve"> </w:t>
      </w:r>
    </w:p>
  </w:footnote>
  <w:footnote w:id="2">
    <w:p w14:paraId="13629140" w14:textId="6126E64B" w:rsidR="00B429A3" w:rsidRDefault="00B429A3">
      <w:pPr>
        <w:pStyle w:val="Textonotapie"/>
      </w:pPr>
      <w:r>
        <w:rPr>
          <w:rStyle w:val="Refdenotaalpie"/>
        </w:rPr>
        <w:footnoteRef/>
      </w:r>
      <w:r>
        <w:t xml:space="preserve"> </w:t>
      </w:r>
      <w:hyperlink r:id="rId2" w:history="1">
        <w:r w:rsidRPr="00DD5677">
          <w:rPr>
            <w:rStyle w:val="Hipervnculo"/>
          </w:rPr>
          <w:t>https://www.cuentapublica.hacienda.gob.mx/work/models/CP/2020/tomo/VII/Print.HAN.01.INTRO.pdf</w:t>
        </w:r>
      </w:hyperlink>
      <w:r>
        <w:t xml:space="preserve"> </w:t>
      </w:r>
    </w:p>
  </w:footnote>
  <w:footnote w:id="3">
    <w:p w14:paraId="401BFD8B" w14:textId="19FB5CE1" w:rsidR="003B5CF4" w:rsidRDefault="003B5CF4">
      <w:pPr>
        <w:pStyle w:val="Textonotapie"/>
      </w:pPr>
      <w:r>
        <w:rPr>
          <w:rStyle w:val="Refdenotaalpie"/>
        </w:rPr>
        <w:footnoteRef/>
      </w:r>
      <w:r>
        <w:t xml:space="preserve"> </w:t>
      </w:r>
      <w:hyperlink r:id="rId3" w:history="1">
        <w:r w:rsidRPr="00DD76ED">
          <w:rPr>
            <w:rStyle w:val="Hipervnculo"/>
          </w:rPr>
          <w:t>https://www.inegi.org.mx/contenidos/programas/ena/2019/doc/mini_ENA19_CHIHUAHUA.pdf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0FF20" w14:textId="5E076508" w:rsidR="007326C4" w:rsidRDefault="007326C4" w:rsidP="007326C4">
    <w:pPr>
      <w:pStyle w:val="Encabezado"/>
      <w:jc w:val="center"/>
      <w:rPr>
        <w:rFonts w:ascii="Edwardian Script ITC" w:hAnsi="Edwardian Script ITC"/>
        <w:b/>
        <w:sz w:val="44"/>
      </w:rPr>
    </w:pPr>
  </w:p>
  <w:p w14:paraId="1934BA0F" w14:textId="77777777" w:rsidR="004A6B41" w:rsidRDefault="007326C4" w:rsidP="007326C4">
    <w:pPr>
      <w:pStyle w:val="Encabezado"/>
      <w:jc w:val="right"/>
      <w:rPr>
        <w:rFonts w:ascii="Edwardian Script ITC" w:hAnsi="Edwardian Script ITC"/>
        <w:b/>
        <w:sz w:val="44"/>
      </w:rPr>
    </w:pPr>
    <w:r>
      <w:rPr>
        <w:rFonts w:ascii="Edwardian Script ITC" w:hAnsi="Edwardian Script ITC"/>
        <w:b/>
        <w:sz w:val="44"/>
      </w:rPr>
      <w:t xml:space="preserve">   </w:t>
    </w:r>
  </w:p>
  <w:p w14:paraId="1034C4F9" w14:textId="16D2932A" w:rsidR="007326C4" w:rsidRPr="007326C4" w:rsidRDefault="007326C4" w:rsidP="007326C4">
    <w:pPr>
      <w:pStyle w:val="Encabezado"/>
      <w:jc w:val="right"/>
      <w:rPr>
        <w:rFonts w:ascii="Edwardian Script ITC" w:hAnsi="Edwardian Script ITC"/>
        <w:b/>
        <w:sz w:val="44"/>
      </w:rPr>
    </w:pPr>
    <w:r w:rsidRPr="00C271C9">
      <w:rPr>
        <w:rFonts w:ascii="Edwardian Script ITC" w:hAnsi="Edwardian Script ITC"/>
        <w:b/>
        <w:sz w:val="44"/>
      </w:rPr>
      <w:t>Dip</w:t>
    </w:r>
    <w:r>
      <w:rPr>
        <w:rFonts w:ascii="Edwardian Script ITC" w:hAnsi="Edwardian Script ITC"/>
        <w:b/>
        <w:sz w:val="44"/>
      </w:rPr>
      <w:t>utada Ivón Salazar Morales</w:t>
    </w:r>
    <w:r>
      <w:rPr>
        <w:noProof/>
        <w:lang w:eastAsia="es-MX"/>
      </w:rPr>
      <w:t xml:space="preserve"> </w:t>
    </w:r>
  </w:p>
  <w:p w14:paraId="28390C26" w14:textId="286147E1" w:rsidR="007326C4" w:rsidRDefault="007326C4" w:rsidP="007326C4">
    <w:pPr>
      <w:pStyle w:val="Encabezado"/>
      <w:jc w:val="right"/>
    </w:pPr>
  </w:p>
  <w:p w14:paraId="1530A815" w14:textId="77777777" w:rsidR="007326C4" w:rsidRDefault="007326C4" w:rsidP="007326C4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D7F6B"/>
    <w:multiLevelType w:val="hybridMultilevel"/>
    <w:tmpl w:val="D990F1C2"/>
    <w:lvl w:ilvl="0" w:tplc="F300E7D0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6AA"/>
    <w:rsid w:val="0001400C"/>
    <w:rsid w:val="000467F0"/>
    <w:rsid w:val="00084E53"/>
    <w:rsid w:val="000B0F9D"/>
    <w:rsid w:val="000C0D6F"/>
    <w:rsid w:val="000C13E6"/>
    <w:rsid w:val="000C26E9"/>
    <w:rsid w:val="000D61F2"/>
    <w:rsid w:val="000E743F"/>
    <w:rsid w:val="00102DD4"/>
    <w:rsid w:val="00144CFC"/>
    <w:rsid w:val="001655E7"/>
    <w:rsid w:val="00170CCC"/>
    <w:rsid w:val="00174F2F"/>
    <w:rsid w:val="00177F8E"/>
    <w:rsid w:val="001956F6"/>
    <w:rsid w:val="001B0BA3"/>
    <w:rsid w:val="001B113E"/>
    <w:rsid w:val="001B36B2"/>
    <w:rsid w:val="001D6A80"/>
    <w:rsid w:val="001F0E5D"/>
    <w:rsid w:val="001F0FB8"/>
    <w:rsid w:val="001F2588"/>
    <w:rsid w:val="00222A83"/>
    <w:rsid w:val="00267E46"/>
    <w:rsid w:val="00290225"/>
    <w:rsid w:val="002A4EE8"/>
    <w:rsid w:val="002C13A3"/>
    <w:rsid w:val="002E3639"/>
    <w:rsid w:val="003007B6"/>
    <w:rsid w:val="00301B59"/>
    <w:rsid w:val="00344543"/>
    <w:rsid w:val="00362B88"/>
    <w:rsid w:val="00392823"/>
    <w:rsid w:val="00394775"/>
    <w:rsid w:val="003A7836"/>
    <w:rsid w:val="003B5CF4"/>
    <w:rsid w:val="003C3D6B"/>
    <w:rsid w:val="003C7669"/>
    <w:rsid w:val="003D13B5"/>
    <w:rsid w:val="003E0647"/>
    <w:rsid w:val="004067FB"/>
    <w:rsid w:val="00414A48"/>
    <w:rsid w:val="00414A4A"/>
    <w:rsid w:val="00420CF1"/>
    <w:rsid w:val="0042215C"/>
    <w:rsid w:val="0042272E"/>
    <w:rsid w:val="004241A7"/>
    <w:rsid w:val="00440C7F"/>
    <w:rsid w:val="00475C15"/>
    <w:rsid w:val="004929A5"/>
    <w:rsid w:val="004A421E"/>
    <w:rsid w:val="004A6B41"/>
    <w:rsid w:val="004B11BA"/>
    <w:rsid w:val="004C01CF"/>
    <w:rsid w:val="00527CE7"/>
    <w:rsid w:val="005435A4"/>
    <w:rsid w:val="005573A1"/>
    <w:rsid w:val="00576AD5"/>
    <w:rsid w:val="00587AC4"/>
    <w:rsid w:val="005905E6"/>
    <w:rsid w:val="00592835"/>
    <w:rsid w:val="005975B2"/>
    <w:rsid w:val="005B7C65"/>
    <w:rsid w:val="005C1AC2"/>
    <w:rsid w:val="005C4BE8"/>
    <w:rsid w:val="005C6382"/>
    <w:rsid w:val="005D6FE4"/>
    <w:rsid w:val="005D7529"/>
    <w:rsid w:val="005E0966"/>
    <w:rsid w:val="005E3588"/>
    <w:rsid w:val="005F650F"/>
    <w:rsid w:val="00602A3F"/>
    <w:rsid w:val="00606293"/>
    <w:rsid w:val="00620CEC"/>
    <w:rsid w:val="0062298B"/>
    <w:rsid w:val="00622CD7"/>
    <w:rsid w:val="00627733"/>
    <w:rsid w:val="00630824"/>
    <w:rsid w:val="006343CD"/>
    <w:rsid w:val="00647BC5"/>
    <w:rsid w:val="00647C9B"/>
    <w:rsid w:val="006834AE"/>
    <w:rsid w:val="00696039"/>
    <w:rsid w:val="006B5687"/>
    <w:rsid w:val="006C2AED"/>
    <w:rsid w:val="006D1CCC"/>
    <w:rsid w:val="006D4E76"/>
    <w:rsid w:val="006E187B"/>
    <w:rsid w:val="006E6876"/>
    <w:rsid w:val="006F2A82"/>
    <w:rsid w:val="00706BEC"/>
    <w:rsid w:val="007202A2"/>
    <w:rsid w:val="007233E4"/>
    <w:rsid w:val="00724533"/>
    <w:rsid w:val="007254FA"/>
    <w:rsid w:val="0072623A"/>
    <w:rsid w:val="007326C4"/>
    <w:rsid w:val="00750B01"/>
    <w:rsid w:val="00755365"/>
    <w:rsid w:val="00760BD8"/>
    <w:rsid w:val="00795B8A"/>
    <w:rsid w:val="007C7EDE"/>
    <w:rsid w:val="007D3CF2"/>
    <w:rsid w:val="007E0F2D"/>
    <w:rsid w:val="0080146F"/>
    <w:rsid w:val="008077B3"/>
    <w:rsid w:val="0082055D"/>
    <w:rsid w:val="00824FDF"/>
    <w:rsid w:val="00835D5A"/>
    <w:rsid w:val="0088180A"/>
    <w:rsid w:val="00894163"/>
    <w:rsid w:val="008A05D1"/>
    <w:rsid w:val="008B28CF"/>
    <w:rsid w:val="008B5FF8"/>
    <w:rsid w:val="00903798"/>
    <w:rsid w:val="00903902"/>
    <w:rsid w:val="00903DA5"/>
    <w:rsid w:val="009127E1"/>
    <w:rsid w:val="0092785B"/>
    <w:rsid w:val="00930BD4"/>
    <w:rsid w:val="009341C5"/>
    <w:rsid w:val="0095647E"/>
    <w:rsid w:val="009627BE"/>
    <w:rsid w:val="00963E90"/>
    <w:rsid w:val="0097015D"/>
    <w:rsid w:val="0097203A"/>
    <w:rsid w:val="00976E5A"/>
    <w:rsid w:val="00981C3E"/>
    <w:rsid w:val="009851A8"/>
    <w:rsid w:val="0098523D"/>
    <w:rsid w:val="009D0536"/>
    <w:rsid w:val="009E3FD3"/>
    <w:rsid w:val="00A04AF3"/>
    <w:rsid w:val="00A2204A"/>
    <w:rsid w:val="00A24C56"/>
    <w:rsid w:val="00A3287B"/>
    <w:rsid w:val="00A346AA"/>
    <w:rsid w:val="00A666AE"/>
    <w:rsid w:val="00A9097D"/>
    <w:rsid w:val="00AA4816"/>
    <w:rsid w:val="00AB3723"/>
    <w:rsid w:val="00AB694D"/>
    <w:rsid w:val="00AD7F42"/>
    <w:rsid w:val="00AE5102"/>
    <w:rsid w:val="00AE7784"/>
    <w:rsid w:val="00AF04CE"/>
    <w:rsid w:val="00AF433A"/>
    <w:rsid w:val="00AF71CE"/>
    <w:rsid w:val="00AF7E6C"/>
    <w:rsid w:val="00B01399"/>
    <w:rsid w:val="00B0232B"/>
    <w:rsid w:val="00B036C6"/>
    <w:rsid w:val="00B05449"/>
    <w:rsid w:val="00B410D0"/>
    <w:rsid w:val="00B429A3"/>
    <w:rsid w:val="00B43B39"/>
    <w:rsid w:val="00B50E8B"/>
    <w:rsid w:val="00B52CC2"/>
    <w:rsid w:val="00B82817"/>
    <w:rsid w:val="00B85CDB"/>
    <w:rsid w:val="00B962D7"/>
    <w:rsid w:val="00BA0D91"/>
    <w:rsid w:val="00BE3E95"/>
    <w:rsid w:val="00BF0ED7"/>
    <w:rsid w:val="00C124FC"/>
    <w:rsid w:val="00C12EEE"/>
    <w:rsid w:val="00C40B08"/>
    <w:rsid w:val="00C471E2"/>
    <w:rsid w:val="00C472C2"/>
    <w:rsid w:val="00C70843"/>
    <w:rsid w:val="00C878C0"/>
    <w:rsid w:val="00CA30B7"/>
    <w:rsid w:val="00CA4A7B"/>
    <w:rsid w:val="00CB4326"/>
    <w:rsid w:val="00CD4479"/>
    <w:rsid w:val="00CF7208"/>
    <w:rsid w:val="00D04CC3"/>
    <w:rsid w:val="00D06079"/>
    <w:rsid w:val="00D22A28"/>
    <w:rsid w:val="00D334B5"/>
    <w:rsid w:val="00D4706C"/>
    <w:rsid w:val="00D83C65"/>
    <w:rsid w:val="00DB3AB1"/>
    <w:rsid w:val="00DC7AC3"/>
    <w:rsid w:val="00E0684B"/>
    <w:rsid w:val="00E13532"/>
    <w:rsid w:val="00E16A96"/>
    <w:rsid w:val="00E17572"/>
    <w:rsid w:val="00E17577"/>
    <w:rsid w:val="00E37804"/>
    <w:rsid w:val="00E61193"/>
    <w:rsid w:val="00E621A8"/>
    <w:rsid w:val="00E71136"/>
    <w:rsid w:val="00E870D6"/>
    <w:rsid w:val="00E95943"/>
    <w:rsid w:val="00E960F8"/>
    <w:rsid w:val="00EC1AC8"/>
    <w:rsid w:val="00EC2A5A"/>
    <w:rsid w:val="00EC5C1E"/>
    <w:rsid w:val="00EC7B77"/>
    <w:rsid w:val="00ED0CCB"/>
    <w:rsid w:val="00ED1F8B"/>
    <w:rsid w:val="00EF0A9F"/>
    <w:rsid w:val="00EF2601"/>
    <w:rsid w:val="00EF3C61"/>
    <w:rsid w:val="00F0180A"/>
    <w:rsid w:val="00F113EE"/>
    <w:rsid w:val="00F15512"/>
    <w:rsid w:val="00F257F0"/>
    <w:rsid w:val="00F4052A"/>
    <w:rsid w:val="00F4394D"/>
    <w:rsid w:val="00F5151F"/>
    <w:rsid w:val="00F51D04"/>
    <w:rsid w:val="00F631C5"/>
    <w:rsid w:val="00F6729C"/>
    <w:rsid w:val="00F70878"/>
    <w:rsid w:val="00F731CA"/>
    <w:rsid w:val="00FA0675"/>
    <w:rsid w:val="00FA3401"/>
    <w:rsid w:val="00FA3C7C"/>
    <w:rsid w:val="00FA5675"/>
    <w:rsid w:val="00FB0EF0"/>
    <w:rsid w:val="00FB6CF2"/>
    <w:rsid w:val="00FB7AD6"/>
    <w:rsid w:val="00FF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CF978C"/>
  <w15:chartTrackingRefBased/>
  <w15:docId w15:val="{04705C94-B8E9-4756-AE37-B246D39A2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1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1F0FB8"/>
    <w:rPr>
      <w:i/>
      <w:iCs/>
    </w:rPr>
  </w:style>
  <w:style w:type="paragraph" w:styleId="Prrafodelista">
    <w:name w:val="List Paragraph"/>
    <w:basedOn w:val="Normal"/>
    <w:uiPriority w:val="34"/>
    <w:qFormat/>
    <w:rsid w:val="0039282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85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5CDB"/>
    <w:rPr>
      <w:rFonts w:ascii="Segoe UI" w:hAnsi="Segoe UI" w:cs="Segoe UI"/>
      <w:sz w:val="18"/>
      <w:szCs w:val="18"/>
    </w:rPr>
  </w:style>
  <w:style w:type="character" w:customStyle="1" w:styleId="Ninguno">
    <w:name w:val="Ninguno"/>
    <w:rsid w:val="00FA3C7C"/>
  </w:style>
  <w:style w:type="paragraph" w:styleId="Encabezado">
    <w:name w:val="header"/>
    <w:basedOn w:val="Normal"/>
    <w:link w:val="EncabezadoCar"/>
    <w:uiPriority w:val="99"/>
    <w:unhideWhenUsed/>
    <w:rsid w:val="007326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26C4"/>
  </w:style>
  <w:style w:type="paragraph" w:styleId="Piedepgina">
    <w:name w:val="footer"/>
    <w:basedOn w:val="Normal"/>
    <w:link w:val="PiedepginaCar"/>
    <w:uiPriority w:val="99"/>
    <w:unhideWhenUsed/>
    <w:rsid w:val="007326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26C4"/>
  </w:style>
  <w:style w:type="paragraph" w:styleId="Textonotapie">
    <w:name w:val="footnote text"/>
    <w:basedOn w:val="Normal"/>
    <w:link w:val="TextonotapieCar"/>
    <w:uiPriority w:val="99"/>
    <w:semiHidden/>
    <w:unhideWhenUsed/>
    <w:rsid w:val="00F5151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5151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5151F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F5151F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362B88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3B5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1450">
          <w:marLeft w:val="0"/>
          <w:marRight w:val="0"/>
          <w:marTop w:val="24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8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8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80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6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egi.org.mx/contenidos/programas/ena/2019/doc/mini_ENA19_CHIHUAHUA.pdf" TargetMode="External"/><Relationship Id="rId2" Type="http://schemas.openxmlformats.org/officeDocument/2006/relationships/hyperlink" Target="https://www.cuentapublica.hacienda.gob.mx/work/models/CP/2020/tomo/VII/Print.HAN.01.INTRO.pdf" TargetMode="External"/><Relationship Id="rId1" Type="http://schemas.openxmlformats.org/officeDocument/2006/relationships/hyperlink" Target="https://www.dof.gob.mx/nota_detalle.php?codigo=5676169&amp;fecha=30/12/202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8A1FE-77F5-4941-8778-56AFF60FA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1202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Brenda Sarahi Gonzalez Dominguez</cp:lastModifiedBy>
  <cp:revision>2</cp:revision>
  <cp:lastPrinted>2023-05-02T16:19:00Z</cp:lastPrinted>
  <dcterms:created xsi:type="dcterms:W3CDTF">2023-05-02T20:54:00Z</dcterms:created>
  <dcterms:modified xsi:type="dcterms:W3CDTF">2023-05-02T20:54:00Z</dcterms:modified>
</cp:coreProperties>
</file>