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F320" w14:textId="77777777" w:rsidR="006B13F5" w:rsidRPr="00DA7FAC" w:rsidRDefault="006B13F5" w:rsidP="00124C58">
      <w:pPr>
        <w:jc w:val="both"/>
        <w:rPr>
          <w:rFonts w:ascii="Arial" w:hAnsi="Arial" w:cs="Arial"/>
          <w:b/>
          <w:sz w:val="24"/>
          <w:szCs w:val="24"/>
        </w:rPr>
      </w:pPr>
    </w:p>
    <w:p w14:paraId="508614CE" w14:textId="77777777" w:rsidR="00357421" w:rsidRPr="00DA7FAC" w:rsidRDefault="00357421" w:rsidP="00124C58">
      <w:pPr>
        <w:jc w:val="both"/>
        <w:rPr>
          <w:rFonts w:ascii="Arial" w:hAnsi="Arial" w:cs="Arial"/>
          <w:b/>
          <w:sz w:val="24"/>
          <w:szCs w:val="24"/>
        </w:rPr>
      </w:pPr>
    </w:p>
    <w:p w14:paraId="5661EAF9" w14:textId="77777777" w:rsidR="00124C58" w:rsidRPr="00DA7FAC" w:rsidRDefault="00124C58" w:rsidP="00124C58">
      <w:pPr>
        <w:jc w:val="both"/>
        <w:rPr>
          <w:rFonts w:ascii="Arial" w:hAnsi="Arial" w:cs="Arial"/>
          <w:b/>
          <w:sz w:val="24"/>
          <w:szCs w:val="24"/>
        </w:rPr>
      </w:pPr>
      <w:r w:rsidRPr="00DA7FAC">
        <w:rPr>
          <w:rFonts w:ascii="Arial" w:hAnsi="Arial" w:cs="Arial"/>
          <w:b/>
          <w:sz w:val="24"/>
          <w:szCs w:val="24"/>
        </w:rPr>
        <w:t>H. CONGRESO DEL ESTADO DE CHIHUAHUA</w:t>
      </w:r>
    </w:p>
    <w:p w14:paraId="0580300C" w14:textId="77777777" w:rsidR="00124C58" w:rsidRPr="00DA7FAC" w:rsidRDefault="00124C58" w:rsidP="00124C58">
      <w:pPr>
        <w:jc w:val="both"/>
        <w:rPr>
          <w:rFonts w:ascii="Arial" w:hAnsi="Arial" w:cs="Arial"/>
          <w:b/>
          <w:sz w:val="24"/>
          <w:szCs w:val="24"/>
        </w:rPr>
      </w:pPr>
      <w:r w:rsidRPr="00DA7FAC">
        <w:rPr>
          <w:rFonts w:ascii="Arial" w:hAnsi="Arial" w:cs="Arial"/>
          <w:b/>
          <w:sz w:val="24"/>
          <w:szCs w:val="24"/>
        </w:rPr>
        <w:t xml:space="preserve">P R E S E N T E. </w:t>
      </w:r>
    </w:p>
    <w:p w14:paraId="21BFEAD1" w14:textId="77777777" w:rsidR="00124C58" w:rsidRPr="00DA7FAC" w:rsidRDefault="00124C58" w:rsidP="00124C58">
      <w:pPr>
        <w:jc w:val="both"/>
        <w:rPr>
          <w:rFonts w:ascii="Arial" w:hAnsi="Arial" w:cs="Arial"/>
          <w:b/>
          <w:sz w:val="24"/>
          <w:szCs w:val="24"/>
          <w:lang w:val="es-ES_tradnl"/>
        </w:rPr>
      </w:pPr>
    </w:p>
    <w:p w14:paraId="5AA01F14" w14:textId="61A220C6" w:rsidR="00124C58" w:rsidRPr="00DA7FAC" w:rsidRDefault="00021C0B" w:rsidP="00124C58">
      <w:pPr>
        <w:jc w:val="both"/>
        <w:rPr>
          <w:rFonts w:ascii="Arial" w:hAnsi="Arial" w:cs="Arial"/>
          <w:b/>
          <w:bCs/>
          <w:sz w:val="24"/>
          <w:szCs w:val="24"/>
        </w:rPr>
      </w:pPr>
      <w:r w:rsidRPr="00DA7FAC">
        <w:rPr>
          <w:rFonts w:ascii="Arial" w:hAnsi="Arial" w:cs="Arial"/>
          <w:sz w:val="24"/>
          <w:szCs w:val="24"/>
        </w:rPr>
        <w:t xml:space="preserve">Los que suscriben, </w:t>
      </w:r>
      <w:r w:rsidR="00392E59" w:rsidRPr="00DA7FAC">
        <w:rPr>
          <w:rFonts w:ascii="Arial" w:hAnsi="Arial" w:cs="Arial"/>
          <w:sz w:val="24"/>
          <w:szCs w:val="24"/>
        </w:rPr>
        <w:t>integrantes de los diferentes Grupos Parlamentarios</w:t>
      </w:r>
      <w:r w:rsidRPr="00DA7FAC">
        <w:rPr>
          <w:rFonts w:ascii="Arial" w:hAnsi="Arial" w:cs="Arial"/>
          <w:sz w:val="24"/>
          <w:szCs w:val="24"/>
        </w:rPr>
        <w:t>, en nuestro carácter de Diputados y Diputadas de la Sexagésima Séptima Legislatura del Honorable Congreso del Estado de Chihuahua e integrantes del Grupo Parlamentario de Morena</w:t>
      </w:r>
      <w:r w:rsidR="00124C58" w:rsidRPr="00DA7FAC">
        <w:rPr>
          <w:rFonts w:ascii="Arial" w:hAnsi="Arial" w:cs="Arial"/>
          <w:sz w:val="24"/>
          <w:szCs w:val="24"/>
        </w:rPr>
        <w:t>; con fundamento en lo dispuesto en los artículos</w:t>
      </w:r>
      <w:r w:rsidR="007003A1" w:rsidRPr="00DA7FAC">
        <w:rPr>
          <w:rFonts w:ascii="Arial" w:hAnsi="Arial" w:cs="Arial"/>
          <w:sz w:val="24"/>
          <w:szCs w:val="24"/>
        </w:rPr>
        <w:t xml:space="preserve"> </w:t>
      </w:r>
      <w:r w:rsidR="00124C58" w:rsidRPr="00DA7FAC">
        <w:rPr>
          <w:rFonts w:ascii="Arial" w:hAnsi="Arial" w:cs="Arial"/>
          <w:sz w:val="24"/>
          <w:szCs w:val="24"/>
        </w:rPr>
        <w:t xml:space="preserve">167 fracción I, 169 y 174, de la Ley Orgánica del Poder Legislativo; así como los numerales 75 y 76 del Reglamento Interior de Prácticas Parlamentarias del Poder Legislativo, todos ordenamientos del Estado de Chihuahua, acudimos ante esta Honorable Asamblea Legislativa, a fin de presentar una </w:t>
      </w:r>
      <w:r w:rsidR="003627A1" w:rsidRPr="00DA7FAC">
        <w:rPr>
          <w:rFonts w:ascii="Arial" w:hAnsi="Arial" w:cs="Arial"/>
          <w:b/>
          <w:bCs/>
          <w:sz w:val="24"/>
          <w:szCs w:val="24"/>
        </w:rPr>
        <w:t>proposición</w:t>
      </w:r>
      <w:r w:rsidR="00124C58" w:rsidRPr="00DA7FAC">
        <w:rPr>
          <w:rFonts w:ascii="Arial" w:hAnsi="Arial" w:cs="Arial"/>
          <w:b/>
          <w:bCs/>
          <w:sz w:val="24"/>
          <w:szCs w:val="24"/>
        </w:rPr>
        <w:t xml:space="preserve"> con el carácter de</w:t>
      </w:r>
      <w:r w:rsidR="003627A1" w:rsidRPr="00DA7FAC">
        <w:rPr>
          <w:rFonts w:ascii="Arial" w:hAnsi="Arial" w:cs="Arial"/>
          <w:b/>
          <w:bCs/>
          <w:sz w:val="24"/>
          <w:szCs w:val="24"/>
        </w:rPr>
        <w:t xml:space="preserve"> punto de</w:t>
      </w:r>
      <w:r w:rsidR="00124C58" w:rsidRPr="00DA7FAC">
        <w:rPr>
          <w:rFonts w:ascii="Arial" w:hAnsi="Arial" w:cs="Arial"/>
          <w:b/>
          <w:bCs/>
          <w:sz w:val="24"/>
          <w:szCs w:val="24"/>
        </w:rPr>
        <w:t xml:space="preserve"> Acuerdo, para exhortar</w:t>
      </w:r>
      <w:bookmarkStart w:id="0" w:name="_Hlk126152418"/>
      <w:r w:rsidR="00300E78" w:rsidRPr="00DA7FAC">
        <w:rPr>
          <w:rFonts w:ascii="Arial" w:hAnsi="Arial" w:cs="Arial"/>
          <w:b/>
          <w:bCs/>
          <w:sz w:val="24"/>
          <w:szCs w:val="24"/>
        </w:rPr>
        <w:t xml:space="preserve"> al Ejecutivo Estatal a través de las Secretarías de Hacienda y Desarrollo Rural, a fin de que incremente el monto económico convenido con FIRA, Banco de México, que permita superar el 1% de lo que hoy en día se podrá dispersar en financiamiento al sector agropecuario </w:t>
      </w:r>
      <w:r w:rsidR="00A42B80">
        <w:rPr>
          <w:rFonts w:ascii="Arial" w:hAnsi="Arial" w:cs="Arial"/>
          <w:b/>
          <w:bCs/>
          <w:sz w:val="24"/>
          <w:szCs w:val="24"/>
        </w:rPr>
        <w:t xml:space="preserve">con garantía líquida </w:t>
      </w:r>
      <w:r w:rsidR="008C319F">
        <w:rPr>
          <w:rFonts w:ascii="Arial" w:hAnsi="Arial" w:cs="Arial"/>
          <w:b/>
          <w:bCs/>
          <w:sz w:val="24"/>
          <w:szCs w:val="24"/>
        </w:rPr>
        <w:t xml:space="preserve">aportada por el </w:t>
      </w:r>
      <w:r w:rsidR="00300E78" w:rsidRPr="00DA7FAC">
        <w:rPr>
          <w:rFonts w:ascii="Arial" w:hAnsi="Arial" w:cs="Arial"/>
          <w:b/>
          <w:bCs/>
          <w:sz w:val="24"/>
          <w:szCs w:val="24"/>
        </w:rPr>
        <w:t>estado de Chihuahua</w:t>
      </w:r>
      <w:r w:rsidR="00A42B80">
        <w:rPr>
          <w:rFonts w:ascii="Arial" w:hAnsi="Arial" w:cs="Arial"/>
          <w:b/>
          <w:bCs/>
          <w:sz w:val="24"/>
          <w:szCs w:val="24"/>
        </w:rPr>
        <w:t xml:space="preserve">, </w:t>
      </w:r>
      <w:r w:rsidR="00124C58" w:rsidRPr="00DA7FAC">
        <w:rPr>
          <w:rFonts w:ascii="Arial" w:hAnsi="Arial" w:cs="Arial"/>
          <w:sz w:val="24"/>
          <w:szCs w:val="24"/>
        </w:rPr>
        <w:t>lo anterior con sustento en la siguiente</w:t>
      </w:r>
      <w:bookmarkEnd w:id="0"/>
      <w:r w:rsidR="00124C58" w:rsidRPr="00DA7FAC">
        <w:rPr>
          <w:rFonts w:ascii="Arial" w:hAnsi="Arial" w:cs="Arial"/>
          <w:sz w:val="24"/>
          <w:szCs w:val="24"/>
        </w:rPr>
        <w:t xml:space="preserve">:  </w:t>
      </w:r>
    </w:p>
    <w:p w14:paraId="4BD52339" w14:textId="77777777" w:rsidR="00124C58" w:rsidRPr="00DA7FAC" w:rsidRDefault="00124C58" w:rsidP="00124C58">
      <w:pPr>
        <w:jc w:val="both"/>
        <w:rPr>
          <w:rFonts w:ascii="Arial" w:hAnsi="Arial" w:cs="Arial"/>
          <w:sz w:val="24"/>
          <w:szCs w:val="24"/>
        </w:rPr>
      </w:pPr>
    </w:p>
    <w:p w14:paraId="4AB51D32" w14:textId="77777777" w:rsidR="00124C58" w:rsidRPr="00DA7FAC" w:rsidRDefault="00124C58" w:rsidP="00124C58">
      <w:pPr>
        <w:jc w:val="both"/>
        <w:rPr>
          <w:rFonts w:ascii="Arial" w:hAnsi="Arial" w:cs="Arial"/>
          <w:sz w:val="24"/>
          <w:szCs w:val="24"/>
          <w:lang w:val="es-ES_tradnl"/>
        </w:rPr>
      </w:pPr>
    </w:p>
    <w:p w14:paraId="212DD8B0" w14:textId="77777777" w:rsidR="00124C58" w:rsidRPr="00DA7FAC" w:rsidRDefault="00124C58" w:rsidP="00124C58">
      <w:pPr>
        <w:jc w:val="center"/>
        <w:rPr>
          <w:rFonts w:ascii="Arial" w:hAnsi="Arial" w:cs="Arial"/>
          <w:b/>
          <w:sz w:val="24"/>
          <w:szCs w:val="24"/>
        </w:rPr>
      </w:pPr>
      <w:r w:rsidRPr="00DA7FAC">
        <w:rPr>
          <w:rFonts w:ascii="Arial" w:hAnsi="Arial" w:cs="Arial"/>
          <w:b/>
          <w:sz w:val="24"/>
          <w:szCs w:val="24"/>
        </w:rPr>
        <w:t>EXPOSICIÓN DE MOTIVOS:</w:t>
      </w:r>
    </w:p>
    <w:p w14:paraId="41689343" w14:textId="14BCDA0A" w:rsidR="004136F1" w:rsidRPr="00DA7FAC" w:rsidRDefault="004136F1" w:rsidP="004136F1">
      <w:pPr>
        <w:rPr>
          <w:rFonts w:ascii="Arial" w:hAnsi="Arial" w:cs="Arial"/>
          <w:b/>
          <w:sz w:val="24"/>
          <w:szCs w:val="24"/>
        </w:rPr>
      </w:pPr>
    </w:p>
    <w:p w14:paraId="2C057E96" w14:textId="70B49A16" w:rsidR="00300E78" w:rsidRPr="00DA7FAC" w:rsidRDefault="00300E78" w:rsidP="004136F1">
      <w:pPr>
        <w:rPr>
          <w:rFonts w:ascii="Arial" w:hAnsi="Arial" w:cs="Arial"/>
          <w:b/>
          <w:sz w:val="24"/>
          <w:szCs w:val="24"/>
        </w:rPr>
      </w:pPr>
    </w:p>
    <w:p w14:paraId="0673A225" w14:textId="6C1370F9" w:rsidR="00300E78" w:rsidRPr="00DA7FAC" w:rsidRDefault="00300E78" w:rsidP="00300E78">
      <w:pPr>
        <w:jc w:val="both"/>
        <w:rPr>
          <w:rFonts w:ascii="Arial" w:hAnsi="Arial" w:cs="Arial"/>
          <w:bCs/>
          <w:sz w:val="24"/>
          <w:szCs w:val="24"/>
        </w:rPr>
      </w:pPr>
      <w:r w:rsidRPr="00DA7FAC">
        <w:rPr>
          <w:rFonts w:ascii="Arial" w:hAnsi="Arial" w:cs="Arial"/>
          <w:bCs/>
          <w:sz w:val="24"/>
          <w:szCs w:val="24"/>
        </w:rPr>
        <w:t>En los últimos años, el sector ag</w:t>
      </w:r>
      <w:r w:rsidR="00604FD8" w:rsidRPr="00DA7FAC">
        <w:rPr>
          <w:rFonts w:ascii="Arial" w:hAnsi="Arial" w:cs="Arial"/>
          <w:bCs/>
          <w:sz w:val="24"/>
          <w:szCs w:val="24"/>
        </w:rPr>
        <w:t>ropecuario</w:t>
      </w:r>
      <w:r w:rsidRPr="00DA7FAC">
        <w:rPr>
          <w:rFonts w:ascii="Arial" w:hAnsi="Arial" w:cs="Arial"/>
          <w:bCs/>
          <w:sz w:val="24"/>
          <w:szCs w:val="24"/>
        </w:rPr>
        <w:t xml:space="preserve"> mexicano ha tomado un papel fundamental en el mundo, al incrementar sus exportaciones y atracción de inversión extranjera al país. Sin embargo, como resultado del conflicto entre Rusia y Ucrania, se han generado complicaciones, derivando en el incremento en los precios de algunos productos alimentarios.</w:t>
      </w:r>
    </w:p>
    <w:p w14:paraId="1D20140D" w14:textId="77777777" w:rsidR="00300E78" w:rsidRPr="00DA7FAC" w:rsidRDefault="00300E78" w:rsidP="00300E78">
      <w:pPr>
        <w:jc w:val="both"/>
        <w:rPr>
          <w:rFonts w:ascii="Arial" w:hAnsi="Arial" w:cs="Arial"/>
          <w:bCs/>
          <w:sz w:val="24"/>
          <w:szCs w:val="24"/>
        </w:rPr>
      </w:pPr>
    </w:p>
    <w:p w14:paraId="72ADE972" w14:textId="77777777" w:rsidR="00300E78" w:rsidRPr="00DA7FAC" w:rsidRDefault="00300E78" w:rsidP="00300E78">
      <w:pPr>
        <w:jc w:val="both"/>
        <w:rPr>
          <w:rFonts w:ascii="Arial" w:hAnsi="Arial" w:cs="Arial"/>
          <w:bCs/>
          <w:sz w:val="24"/>
          <w:szCs w:val="24"/>
        </w:rPr>
      </w:pPr>
      <w:r w:rsidRPr="00DA7FAC">
        <w:rPr>
          <w:rFonts w:ascii="Arial" w:hAnsi="Arial" w:cs="Arial"/>
          <w:bCs/>
          <w:sz w:val="24"/>
          <w:szCs w:val="24"/>
        </w:rPr>
        <w:t>Del comercio total de productos agroalimentarios, 48 mil 753 millones de dólares, es decir, 53 por ciento, corresponden al sector agroindustrial; 44 por ciento al agropecuario; y tres por ciento al sector pesquero.</w:t>
      </w:r>
    </w:p>
    <w:p w14:paraId="14E1B97F" w14:textId="77777777" w:rsidR="00300E78" w:rsidRPr="00DA7FAC" w:rsidRDefault="00300E78" w:rsidP="00300E78">
      <w:pPr>
        <w:jc w:val="both"/>
        <w:rPr>
          <w:rFonts w:ascii="Arial" w:hAnsi="Arial" w:cs="Arial"/>
          <w:bCs/>
          <w:sz w:val="24"/>
          <w:szCs w:val="24"/>
        </w:rPr>
      </w:pPr>
    </w:p>
    <w:p w14:paraId="3295F303" w14:textId="1536C99B" w:rsidR="00300E78" w:rsidRPr="00DA7FAC" w:rsidRDefault="00300E78" w:rsidP="00300E78">
      <w:pPr>
        <w:jc w:val="both"/>
        <w:rPr>
          <w:rFonts w:ascii="Arial" w:hAnsi="Arial" w:cs="Arial"/>
          <w:bCs/>
          <w:sz w:val="24"/>
          <w:szCs w:val="24"/>
        </w:rPr>
      </w:pPr>
      <w:r w:rsidRPr="00DA7FAC">
        <w:rPr>
          <w:rFonts w:ascii="Arial" w:hAnsi="Arial" w:cs="Arial"/>
          <w:bCs/>
          <w:sz w:val="24"/>
          <w:szCs w:val="24"/>
        </w:rPr>
        <w:t>Por su parte, en diversos foros y medios informativo el gremio Consejo Nacional Agropecuario, A.C, refieren que el sector agropecuario “es clave para el crecimiento, pues aún en la adversidad, el sector continúa siendo un poderoso motor de la economía” ya que, según registros oficiales, durante la pandemia la economía en general cayó un 9.8%, pero el campo registró un crecimiento del 2.7%.</w:t>
      </w:r>
    </w:p>
    <w:p w14:paraId="3D988492" w14:textId="77777777" w:rsidR="00300E78" w:rsidRPr="00DA7FAC" w:rsidRDefault="00300E78" w:rsidP="00300E78">
      <w:pPr>
        <w:jc w:val="both"/>
        <w:rPr>
          <w:rFonts w:ascii="Arial" w:hAnsi="Arial" w:cs="Arial"/>
          <w:bCs/>
          <w:sz w:val="24"/>
          <w:szCs w:val="24"/>
        </w:rPr>
      </w:pPr>
    </w:p>
    <w:p w14:paraId="1F229DA6" w14:textId="77777777" w:rsidR="00300E78" w:rsidRPr="00DA7FAC" w:rsidRDefault="00300E78" w:rsidP="00300E78">
      <w:pPr>
        <w:jc w:val="both"/>
        <w:rPr>
          <w:rFonts w:ascii="Arial" w:hAnsi="Arial" w:cs="Arial"/>
          <w:bCs/>
          <w:sz w:val="24"/>
          <w:szCs w:val="24"/>
        </w:rPr>
      </w:pPr>
      <w:r w:rsidRPr="00DA7FAC">
        <w:rPr>
          <w:rFonts w:ascii="Arial" w:hAnsi="Arial" w:cs="Arial"/>
          <w:bCs/>
          <w:sz w:val="24"/>
          <w:szCs w:val="24"/>
        </w:rPr>
        <w:lastRenderedPageBreak/>
        <w:t>El producto interior bruto (PIB) de México creció 3 % anual en 2022 impulsado por todos los sectores y dentro de las expectativas del Gobierno Federal. La economía mexicana registró este avance gracias al incremento de la industria (3,2 %), el sector agropecuario (3 %) y los servicios (2,7 %), según cifras originales.</w:t>
      </w:r>
    </w:p>
    <w:p w14:paraId="0E069D29" w14:textId="77777777" w:rsidR="00300E78" w:rsidRPr="00DA7FAC" w:rsidRDefault="00300E78" w:rsidP="00300E78">
      <w:pPr>
        <w:jc w:val="both"/>
        <w:rPr>
          <w:rFonts w:ascii="Arial" w:hAnsi="Arial" w:cs="Arial"/>
          <w:bCs/>
          <w:sz w:val="24"/>
          <w:szCs w:val="24"/>
        </w:rPr>
      </w:pPr>
    </w:p>
    <w:p w14:paraId="2EC7D5AF" w14:textId="77777777" w:rsidR="00300E78" w:rsidRPr="00DA7FAC" w:rsidRDefault="00300E78" w:rsidP="00300E78">
      <w:pPr>
        <w:jc w:val="both"/>
        <w:rPr>
          <w:rFonts w:ascii="Arial" w:hAnsi="Arial" w:cs="Arial"/>
          <w:bCs/>
          <w:sz w:val="24"/>
          <w:szCs w:val="24"/>
        </w:rPr>
      </w:pPr>
      <w:r w:rsidRPr="00DA7FAC">
        <w:rPr>
          <w:rFonts w:ascii="Arial" w:hAnsi="Arial" w:cs="Arial"/>
          <w:bCs/>
          <w:sz w:val="24"/>
          <w:szCs w:val="24"/>
        </w:rPr>
        <w:t>El sector primario de México, pese a la crisis por el COVID-19, ha registrado un crecimiento positivo, al presentar un alza del 3 por ciento anual al cierre de 2022, lo anterior, de acuerdo con cifras del Instituto Nacional de Estadística y Geografía (INEGI).</w:t>
      </w:r>
    </w:p>
    <w:p w14:paraId="435D5F5C" w14:textId="77777777" w:rsidR="00300E78" w:rsidRPr="00DA7FAC" w:rsidRDefault="00300E78" w:rsidP="00300E78">
      <w:pPr>
        <w:jc w:val="both"/>
        <w:rPr>
          <w:rFonts w:ascii="Arial" w:hAnsi="Arial" w:cs="Arial"/>
          <w:bCs/>
          <w:sz w:val="24"/>
          <w:szCs w:val="24"/>
        </w:rPr>
      </w:pPr>
    </w:p>
    <w:p w14:paraId="44205B20" w14:textId="6DF40881" w:rsidR="00300E78" w:rsidRPr="00DA7FAC" w:rsidRDefault="0078144D" w:rsidP="0078144D">
      <w:pPr>
        <w:jc w:val="both"/>
        <w:rPr>
          <w:rFonts w:ascii="Arial" w:hAnsi="Arial" w:cs="Arial"/>
          <w:bCs/>
          <w:sz w:val="24"/>
          <w:szCs w:val="24"/>
        </w:rPr>
      </w:pPr>
      <w:r w:rsidRPr="00DA7FAC">
        <w:rPr>
          <w:rFonts w:ascii="Arial" w:hAnsi="Arial" w:cs="Arial"/>
          <w:bCs/>
          <w:sz w:val="24"/>
          <w:szCs w:val="24"/>
        </w:rPr>
        <w:t>Por su parte, d</w:t>
      </w:r>
      <w:r w:rsidR="00300E78" w:rsidRPr="00DA7FAC">
        <w:rPr>
          <w:rFonts w:ascii="Arial" w:hAnsi="Arial" w:cs="Arial"/>
          <w:bCs/>
          <w:sz w:val="24"/>
          <w:szCs w:val="24"/>
        </w:rPr>
        <w:t xml:space="preserve">iversos estudios y evaluaciones demuestran que el financiamiento hacia el sector agropecuario atiende solamente alrededor de 10 por ciento de los productores, por lo que existe un rezago en la inclusión de más de cuatro millones de ellos. </w:t>
      </w:r>
    </w:p>
    <w:p w14:paraId="69817EC5" w14:textId="77777777" w:rsidR="00300E78" w:rsidRPr="00DA7FAC" w:rsidRDefault="00300E78" w:rsidP="00300E78">
      <w:pPr>
        <w:jc w:val="both"/>
        <w:rPr>
          <w:rFonts w:ascii="Arial" w:hAnsi="Arial" w:cs="Arial"/>
          <w:bCs/>
          <w:sz w:val="24"/>
          <w:szCs w:val="24"/>
        </w:rPr>
      </w:pPr>
    </w:p>
    <w:p w14:paraId="27E93F8F" w14:textId="3905F215" w:rsidR="00300E78" w:rsidRPr="00DA7FAC" w:rsidRDefault="00300E78" w:rsidP="00300E78">
      <w:pPr>
        <w:jc w:val="both"/>
        <w:rPr>
          <w:rFonts w:ascii="Arial" w:hAnsi="Arial" w:cs="Arial"/>
          <w:bCs/>
          <w:sz w:val="24"/>
          <w:szCs w:val="24"/>
        </w:rPr>
      </w:pPr>
      <w:r w:rsidRPr="00DA7FAC">
        <w:rPr>
          <w:rFonts w:ascii="Arial" w:hAnsi="Arial" w:cs="Arial"/>
          <w:bCs/>
          <w:sz w:val="24"/>
          <w:szCs w:val="24"/>
        </w:rPr>
        <w:t>De conformidad a las “Perspectivas Agroalimentarias 2023”, documento emitido por la empresa Grupo Consultor de Mercados Agrícolas (GCMA)</w:t>
      </w:r>
      <w:r w:rsidR="006732B2" w:rsidRPr="00DA7FAC">
        <w:rPr>
          <w:rStyle w:val="Refdenotaalpie"/>
          <w:rFonts w:ascii="Arial" w:hAnsi="Arial" w:cs="Arial"/>
          <w:bCs/>
          <w:sz w:val="24"/>
          <w:szCs w:val="24"/>
        </w:rPr>
        <w:footnoteReference w:id="1"/>
      </w:r>
      <w:r w:rsidRPr="00DA7FAC">
        <w:rPr>
          <w:rFonts w:ascii="Arial" w:hAnsi="Arial" w:cs="Arial"/>
          <w:bCs/>
          <w:sz w:val="24"/>
          <w:szCs w:val="24"/>
        </w:rPr>
        <w:t xml:space="preserve">, señala que la expectativa del 2023 para la economía mundial y para el sector agropecuario sigue siendo igual de compleja que la pronosticada desde 2020. </w:t>
      </w:r>
    </w:p>
    <w:p w14:paraId="3A380B52" w14:textId="77777777" w:rsidR="00300E78" w:rsidRPr="00DA7FAC" w:rsidRDefault="00300E78" w:rsidP="00300E78">
      <w:pPr>
        <w:jc w:val="both"/>
        <w:rPr>
          <w:rFonts w:ascii="Arial" w:hAnsi="Arial" w:cs="Arial"/>
          <w:bCs/>
          <w:sz w:val="24"/>
          <w:szCs w:val="24"/>
        </w:rPr>
      </w:pPr>
    </w:p>
    <w:p w14:paraId="2DFE4C63" w14:textId="77777777" w:rsidR="00300E78" w:rsidRPr="00DA7FAC" w:rsidRDefault="00300E78" w:rsidP="00300E78">
      <w:pPr>
        <w:jc w:val="both"/>
        <w:rPr>
          <w:rFonts w:ascii="Arial" w:hAnsi="Arial" w:cs="Arial"/>
          <w:bCs/>
          <w:sz w:val="24"/>
          <w:szCs w:val="24"/>
        </w:rPr>
      </w:pPr>
      <w:r w:rsidRPr="00DA7FAC">
        <w:rPr>
          <w:rFonts w:ascii="Arial" w:hAnsi="Arial" w:cs="Arial"/>
          <w:bCs/>
          <w:sz w:val="24"/>
          <w:szCs w:val="24"/>
        </w:rPr>
        <w:t>El mismo documento refiere, que el 2023 será el resultado de un cúmulo de adversidades que iniciaron en 2020 con 1) inicio de la pandemia por COVID- 19; 2) ruptura de las cadenas de suministro; 3) incremento en la inflación de bienes de agropecuarios y mercancías; 4) la guerra entre Ucrania y Rusia que incrementó los</w:t>
      </w:r>
    </w:p>
    <w:p w14:paraId="0FC52CA3" w14:textId="77777777" w:rsidR="00300E78" w:rsidRPr="00DA7FAC" w:rsidRDefault="00300E78" w:rsidP="00300E78">
      <w:pPr>
        <w:jc w:val="both"/>
        <w:rPr>
          <w:rFonts w:ascii="Arial" w:hAnsi="Arial" w:cs="Arial"/>
          <w:bCs/>
          <w:sz w:val="24"/>
          <w:szCs w:val="24"/>
        </w:rPr>
      </w:pPr>
      <w:r w:rsidRPr="00DA7FAC">
        <w:rPr>
          <w:rFonts w:ascii="Arial" w:hAnsi="Arial" w:cs="Arial"/>
          <w:bCs/>
          <w:sz w:val="24"/>
          <w:szCs w:val="24"/>
        </w:rPr>
        <w:t xml:space="preserve">precios de granos básicos, energéticos y fertilizantes; 5) medidas de política fiscal para controlar la inflación que están generando un enfriamiento de la economía global; 5) depreciación de las monedas de países emergentes que incrementa los costos de vida. </w:t>
      </w:r>
    </w:p>
    <w:p w14:paraId="1A4E254F" w14:textId="77777777" w:rsidR="00300E78" w:rsidRPr="00DA7FAC" w:rsidRDefault="00300E78" w:rsidP="00300E78">
      <w:pPr>
        <w:jc w:val="both"/>
        <w:rPr>
          <w:rFonts w:ascii="Arial" w:hAnsi="Arial" w:cs="Arial"/>
          <w:bCs/>
          <w:sz w:val="24"/>
          <w:szCs w:val="24"/>
        </w:rPr>
      </w:pPr>
    </w:p>
    <w:p w14:paraId="42FA151A" w14:textId="39E0E283" w:rsidR="00300E78" w:rsidRPr="00DA7FAC" w:rsidRDefault="00FC1C06" w:rsidP="00300E78">
      <w:pPr>
        <w:jc w:val="both"/>
        <w:rPr>
          <w:rFonts w:ascii="Arial" w:hAnsi="Arial" w:cs="Arial"/>
          <w:bCs/>
          <w:sz w:val="24"/>
          <w:szCs w:val="24"/>
        </w:rPr>
      </w:pPr>
      <w:r w:rsidRPr="00DA7FAC">
        <w:rPr>
          <w:rFonts w:ascii="Arial" w:hAnsi="Arial" w:cs="Arial"/>
          <w:bCs/>
          <w:sz w:val="24"/>
          <w:szCs w:val="24"/>
        </w:rPr>
        <w:t>Por otra parte, d</w:t>
      </w:r>
      <w:r w:rsidR="00300E78" w:rsidRPr="00DA7FAC">
        <w:rPr>
          <w:rFonts w:ascii="Arial" w:hAnsi="Arial" w:cs="Arial"/>
          <w:bCs/>
          <w:sz w:val="24"/>
          <w:szCs w:val="24"/>
        </w:rPr>
        <w:t>e acuerdo con datos del Banco Mundial (2022) a medida que se intensifique la desaceleración mundial, se espera que los precios de las materias primas disminuyan en los próximos dos años, pero se mantendrán considerablemente por encima de su promedio durante los últimos cinco años. Se espera que los precios de los energéticos caigan un 11% en 2023 y un 12% en 2024. Se prevé que los precios de bienes agropecuarios disminuyan un 5% en 2023 antes de estabilizarse en 2024. Sin embargo, esta perspectiva está sujeta a numerosos riesgos tanto en el corto y mediano plazo.</w:t>
      </w:r>
    </w:p>
    <w:p w14:paraId="0F085247" w14:textId="77777777" w:rsidR="00300E78" w:rsidRPr="00DA7FAC" w:rsidRDefault="00300E78" w:rsidP="00300E78">
      <w:pPr>
        <w:jc w:val="both"/>
        <w:rPr>
          <w:rFonts w:ascii="Arial" w:hAnsi="Arial" w:cs="Arial"/>
          <w:bCs/>
          <w:sz w:val="24"/>
          <w:szCs w:val="24"/>
        </w:rPr>
      </w:pPr>
    </w:p>
    <w:p w14:paraId="0885B1A4" w14:textId="77777777" w:rsidR="00300E78" w:rsidRPr="00DA7FAC" w:rsidRDefault="00300E78" w:rsidP="00300E78">
      <w:pPr>
        <w:jc w:val="both"/>
        <w:rPr>
          <w:rFonts w:ascii="Arial" w:hAnsi="Arial" w:cs="Arial"/>
          <w:bCs/>
          <w:sz w:val="24"/>
          <w:szCs w:val="24"/>
        </w:rPr>
      </w:pPr>
      <w:r w:rsidRPr="00DA7FAC">
        <w:rPr>
          <w:rFonts w:ascii="Arial" w:hAnsi="Arial" w:cs="Arial"/>
          <w:bCs/>
          <w:sz w:val="24"/>
          <w:szCs w:val="24"/>
        </w:rPr>
        <w:t>Lo anterior es una buena expectativa, sin embargo, el problema reside en que todavía tendremos que sortear meses con mucha incertidumbre y precios altos.</w:t>
      </w:r>
    </w:p>
    <w:p w14:paraId="0BFC8F1D" w14:textId="77777777" w:rsidR="00300E78" w:rsidRPr="00DA7FAC" w:rsidRDefault="00300E78" w:rsidP="00300E78">
      <w:pPr>
        <w:jc w:val="both"/>
        <w:rPr>
          <w:rFonts w:ascii="Arial" w:hAnsi="Arial" w:cs="Arial"/>
          <w:bCs/>
          <w:sz w:val="24"/>
          <w:szCs w:val="24"/>
        </w:rPr>
      </w:pPr>
    </w:p>
    <w:p w14:paraId="730AF74A" w14:textId="77777777" w:rsidR="00300E78" w:rsidRPr="00DA7FAC" w:rsidRDefault="00300E78" w:rsidP="00300E78">
      <w:pPr>
        <w:jc w:val="both"/>
        <w:rPr>
          <w:rFonts w:ascii="Arial" w:hAnsi="Arial" w:cs="Arial"/>
          <w:bCs/>
          <w:sz w:val="24"/>
          <w:szCs w:val="24"/>
        </w:rPr>
      </w:pPr>
      <w:r w:rsidRPr="00DA7FAC">
        <w:rPr>
          <w:rFonts w:ascii="Arial" w:hAnsi="Arial" w:cs="Arial"/>
          <w:bCs/>
          <w:sz w:val="24"/>
          <w:szCs w:val="24"/>
        </w:rPr>
        <w:t>En el corto plazo no podemos dejar de observar los principales riesgos que pueden afectar el pronóstico del Banco Mundial y del Fondo Monetario Internacional, dentro de los cuales podemos señalar i) la probabilidad de precios de insumos más altos de lo esperado o interrupciones en el suministro de energía; 1) un mayor deterioro</w:t>
      </w:r>
    </w:p>
    <w:p w14:paraId="06BDD516" w14:textId="77777777" w:rsidR="00300E78" w:rsidRPr="00DA7FAC" w:rsidRDefault="00300E78" w:rsidP="00300E78">
      <w:pPr>
        <w:jc w:val="both"/>
        <w:rPr>
          <w:rFonts w:ascii="Arial" w:hAnsi="Arial" w:cs="Arial"/>
          <w:bCs/>
          <w:sz w:val="24"/>
          <w:szCs w:val="24"/>
        </w:rPr>
      </w:pPr>
      <w:r w:rsidRPr="00DA7FAC">
        <w:rPr>
          <w:rFonts w:ascii="Arial" w:hAnsi="Arial" w:cs="Arial"/>
          <w:bCs/>
          <w:sz w:val="24"/>
          <w:szCs w:val="24"/>
        </w:rPr>
        <w:t>de las perspectivas mundiales (incluida la aceleración del endurecimiento monetario y una mayor apreciación del dólar estadounidense); 2) patrones climáticos adversos (incluyendo el surgimiento de la Niña por tercer año consecutivo); y, 3) políticas comerciales restrictivas.</w:t>
      </w:r>
    </w:p>
    <w:p w14:paraId="3BA46291" w14:textId="77777777" w:rsidR="00300E78" w:rsidRPr="00DA7FAC" w:rsidRDefault="00300E78" w:rsidP="00300E78">
      <w:pPr>
        <w:jc w:val="both"/>
        <w:rPr>
          <w:rFonts w:ascii="Arial" w:hAnsi="Arial" w:cs="Arial"/>
          <w:bCs/>
          <w:sz w:val="24"/>
          <w:szCs w:val="24"/>
        </w:rPr>
      </w:pPr>
    </w:p>
    <w:p w14:paraId="47228B90" w14:textId="4E640AC9" w:rsidR="002358E2" w:rsidRPr="00DA7FAC" w:rsidRDefault="00EF0BDE" w:rsidP="002358E2">
      <w:pPr>
        <w:jc w:val="both"/>
        <w:rPr>
          <w:rFonts w:ascii="Arial" w:hAnsi="Arial" w:cs="Arial"/>
          <w:bCs/>
          <w:sz w:val="24"/>
          <w:szCs w:val="24"/>
        </w:rPr>
      </w:pPr>
      <w:r w:rsidRPr="00DA7FAC">
        <w:rPr>
          <w:rFonts w:ascii="Arial" w:hAnsi="Arial" w:cs="Arial"/>
          <w:bCs/>
          <w:sz w:val="24"/>
          <w:szCs w:val="24"/>
        </w:rPr>
        <w:t>Es preciso hacer referencia</w:t>
      </w:r>
      <w:r w:rsidR="00893521" w:rsidRPr="00DA7FAC">
        <w:rPr>
          <w:rFonts w:ascii="Arial" w:hAnsi="Arial" w:cs="Arial"/>
          <w:bCs/>
          <w:sz w:val="24"/>
          <w:szCs w:val="24"/>
        </w:rPr>
        <w:t xml:space="preserve"> que,</w:t>
      </w:r>
      <w:r w:rsidRPr="00DA7FAC">
        <w:rPr>
          <w:rFonts w:ascii="Arial" w:hAnsi="Arial" w:cs="Arial"/>
          <w:bCs/>
          <w:sz w:val="24"/>
          <w:szCs w:val="24"/>
        </w:rPr>
        <w:t xml:space="preserve"> en nuestro país, p</w:t>
      </w:r>
      <w:r w:rsidR="002358E2" w:rsidRPr="00DA7FAC">
        <w:rPr>
          <w:rFonts w:ascii="Arial" w:hAnsi="Arial" w:cs="Arial"/>
          <w:bCs/>
          <w:sz w:val="24"/>
          <w:szCs w:val="24"/>
        </w:rPr>
        <w:t>ara atender el sector agropecuario, se crearon dos instituciones de la banca de desarrollo</w:t>
      </w:r>
      <w:r w:rsidR="00893521" w:rsidRPr="00DA7FAC">
        <w:rPr>
          <w:rFonts w:ascii="Arial" w:hAnsi="Arial" w:cs="Arial"/>
          <w:bCs/>
          <w:sz w:val="24"/>
          <w:szCs w:val="24"/>
        </w:rPr>
        <w:t>, de carácter público federal</w:t>
      </w:r>
      <w:r w:rsidR="002358E2" w:rsidRPr="00DA7FAC">
        <w:rPr>
          <w:rFonts w:ascii="Arial" w:hAnsi="Arial" w:cs="Arial"/>
          <w:bCs/>
          <w:sz w:val="24"/>
          <w:szCs w:val="24"/>
        </w:rPr>
        <w:t>, que han sido las más representativas e importantes desde la mitad del siglo XX: los Fideicomisos Instituidos en Relación con la Agricultura (FIRA) y la Financiera Nacional de Desarrollo Agropecuario, Rural, Forestal y Pesquero (FND).</w:t>
      </w:r>
    </w:p>
    <w:p w14:paraId="60FE226F" w14:textId="77777777" w:rsidR="00300E78" w:rsidRPr="00DA7FAC" w:rsidRDefault="00300E78" w:rsidP="00300E78">
      <w:pPr>
        <w:jc w:val="both"/>
        <w:rPr>
          <w:rFonts w:ascii="Arial" w:hAnsi="Arial" w:cs="Arial"/>
          <w:bCs/>
          <w:sz w:val="24"/>
          <w:szCs w:val="24"/>
        </w:rPr>
      </w:pPr>
    </w:p>
    <w:p w14:paraId="107BE3F4" w14:textId="3B29C913" w:rsidR="00300E78" w:rsidRPr="00DA7FAC" w:rsidRDefault="00FC1C06" w:rsidP="00300E78">
      <w:pPr>
        <w:jc w:val="both"/>
        <w:rPr>
          <w:rFonts w:ascii="Arial" w:hAnsi="Arial" w:cs="Arial"/>
          <w:bCs/>
          <w:sz w:val="24"/>
          <w:szCs w:val="24"/>
        </w:rPr>
      </w:pPr>
      <w:r w:rsidRPr="00DA7FAC">
        <w:rPr>
          <w:rFonts w:ascii="Arial" w:hAnsi="Arial" w:cs="Arial"/>
          <w:bCs/>
          <w:sz w:val="24"/>
          <w:szCs w:val="24"/>
        </w:rPr>
        <w:t xml:space="preserve">Sin embargo, </w:t>
      </w:r>
      <w:r w:rsidR="00D35FAD">
        <w:rPr>
          <w:rFonts w:ascii="Arial" w:hAnsi="Arial" w:cs="Arial"/>
          <w:bCs/>
          <w:sz w:val="24"/>
          <w:szCs w:val="24"/>
        </w:rPr>
        <w:t xml:space="preserve">ante los </w:t>
      </w:r>
      <w:r w:rsidRPr="00DA7FAC">
        <w:rPr>
          <w:rFonts w:ascii="Arial" w:hAnsi="Arial" w:cs="Arial"/>
          <w:bCs/>
          <w:sz w:val="24"/>
          <w:szCs w:val="24"/>
        </w:rPr>
        <w:t xml:space="preserve">anuncios de la </w:t>
      </w:r>
      <w:r w:rsidR="00893521" w:rsidRPr="00DA7FAC">
        <w:rPr>
          <w:rFonts w:ascii="Arial" w:hAnsi="Arial" w:cs="Arial"/>
          <w:bCs/>
          <w:sz w:val="24"/>
          <w:szCs w:val="24"/>
        </w:rPr>
        <w:t xml:space="preserve">disolución </w:t>
      </w:r>
      <w:r w:rsidR="00300E78" w:rsidRPr="00DA7FAC">
        <w:rPr>
          <w:rFonts w:ascii="Arial" w:hAnsi="Arial" w:cs="Arial"/>
          <w:bCs/>
          <w:sz w:val="24"/>
          <w:szCs w:val="24"/>
        </w:rPr>
        <w:t>de la Financiera Nacional de Desarrollo Agropecuario, Rural, Forestal y Pesquero (FND)</w:t>
      </w:r>
      <w:r w:rsidRPr="00DA7FAC">
        <w:rPr>
          <w:rFonts w:ascii="Arial" w:hAnsi="Arial" w:cs="Arial"/>
          <w:bCs/>
          <w:sz w:val="24"/>
          <w:szCs w:val="24"/>
        </w:rPr>
        <w:t xml:space="preserve">; </w:t>
      </w:r>
      <w:r w:rsidR="00D35FAD">
        <w:rPr>
          <w:rFonts w:ascii="Arial" w:hAnsi="Arial" w:cs="Arial"/>
          <w:bCs/>
          <w:sz w:val="24"/>
          <w:szCs w:val="24"/>
        </w:rPr>
        <w:t xml:space="preserve">FIRA se ha pronunciado por </w:t>
      </w:r>
      <w:r w:rsidR="00893521" w:rsidRPr="00DA7FAC">
        <w:rPr>
          <w:rFonts w:ascii="Arial" w:hAnsi="Arial" w:cs="Arial"/>
          <w:bCs/>
          <w:sz w:val="24"/>
          <w:szCs w:val="24"/>
        </w:rPr>
        <w:t xml:space="preserve">el interés </w:t>
      </w:r>
      <w:r w:rsidR="00D35FAD">
        <w:rPr>
          <w:rFonts w:ascii="Arial" w:hAnsi="Arial" w:cs="Arial"/>
          <w:bCs/>
          <w:sz w:val="24"/>
          <w:szCs w:val="24"/>
        </w:rPr>
        <w:t xml:space="preserve">de absorber </w:t>
      </w:r>
      <w:r w:rsidR="00893521" w:rsidRPr="00DA7FAC">
        <w:rPr>
          <w:rFonts w:ascii="Arial" w:hAnsi="Arial" w:cs="Arial"/>
          <w:bCs/>
          <w:sz w:val="24"/>
          <w:szCs w:val="24"/>
        </w:rPr>
        <w:t>la carga financiera del sector</w:t>
      </w:r>
      <w:r w:rsidR="00D35FAD">
        <w:rPr>
          <w:rFonts w:ascii="Arial" w:hAnsi="Arial" w:cs="Arial"/>
          <w:bCs/>
          <w:sz w:val="24"/>
          <w:szCs w:val="24"/>
        </w:rPr>
        <w:t xml:space="preserve"> agropecuario, lo anterior en apoyo de las instituciones financieras e intermediarios financieros no bancarios.</w:t>
      </w:r>
    </w:p>
    <w:p w14:paraId="7BE4C321" w14:textId="77777777" w:rsidR="00300E78" w:rsidRPr="00DA7FAC" w:rsidRDefault="00300E78" w:rsidP="00300E78">
      <w:pPr>
        <w:jc w:val="both"/>
        <w:rPr>
          <w:rFonts w:ascii="Arial" w:hAnsi="Arial" w:cs="Arial"/>
          <w:bCs/>
          <w:sz w:val="24"/>
          <w:szCs w:val="24"/>
        </w:rPr>
      </w:pPr>
    </w:p>
    <w:p w14:paraId="121ED1BC" w14:textId="77777777" w:rsidR="00300E78" w:rsidRPr="00DA7FAC" w:rsidRDefault="00300E78" w:rsidP="00300E78">
      <w:pPr>
        <w:jc w:val="both"/>
        <w:rPr>
          <w:rFonts w:ascii="Arial" w:hAnsi="Arial" w:cs="Arial"/>
          <w:bCs/>
          <w:sz w:val="24"/>
          <w:szCs w:val="24"/>
        </w:rPr>
      </w:pPr>
      <w:r w:rsidRPr="00DA7FAC">
        <w:rPr>
          <w:rFonts w:ascii="Arial" w:hAnsi="Arial" w:cs="Arial"/>
          <w:bCs/>
          <w:sz w:val="24"/>
          <w:szCs w:val="24"/>
        </w:rPr>
        <w:t>Al cierre del año 2022, la FND dispersó en el estado de Chihuahua, $500 millones de pesos para atender al productor de manera directa (Banca de Primer Piso), es decir a 275 productores; y en Banca de 2º Piso dispersó 4 mil millones de pesos entre los 40 Intermediarios Financieros, atendiendo a 4 mil productores.  Lo que representa un saldo vencido de $360 millones de pesos.</w:t>
      </w:r>
    </w:p>
    <w:p w14:paraId="4360DFCE" w14:textId="77777777" w:rsidR="00300E78" w:rsidRPr="00DA7FAC" w:rsidRDefault="00300E78" w:rsidP="00300E78">
      <w:pPr>
        <w:jc w:val="both"/>
        <w:rPr>
          <w:rFonts w:ascii="Arial" w:hAnsi="Arial" w:cs="Arial"/>
          <w:bCs/>
          <w:sz w:val="24"/>
          <w:szCs w:val="24"/>
        </w:rPr>
      </w:pPr>
    </w:p>
    <w:p w14:paraId="7676B8C0" w14:textId="77777777" w:rsidR="00300E78" w:rsidRPr="00DA7FAC" w:rsidRDefault="00300E78" w:rsidP="00300E78">
      <w:pPr>
        <w:jc w:val="both"/>
        <w:rPr>
          <w:rFonts w:ascii="Arial" w:hAnsi="Arial" w:cs="Arial"/>
          <w:bCs/>
          <w:sz w:val="24"/>
          <w:szCs w:val="24"/>
        </w:rPr>
      </w:pPr>
      <w:r w:rsidRPr="00DA7FAC">
        <w:rPr>
          <w:rFonts w:ascii="Arial" w:hAnsi="Arial" w:cs="Arial"/>
          <w:bCs/>
          <w:sz w:val="24"/>
          <w:szCs w:val="24"/>
        </w:rPr>
        <w:t>En lo que respecta a los Fideicomisos Instituidos en Relación con la Agricultura (FIRA). Banco de México, como banca de 2º Piso, al cierre del año 2022, tuvo una atención a 6 mil 514 productores acreditados, lo que representó una dispersión de $17 mil millones de pesos.</w:t>
      </w:r>
    </w:p>
    <w:p w14:paraId="439A9290" w14:textId="77777777" w:rsidR="00300E78" w:rsidRPr="00DA7FAC" w:rsidRDefault="00300E78" w:rsidP="00300E78">
      <w:pPr>
        <w:jc w:val="both"/>
        <w:rPr>
          <w:rFonts w:ascii="Arial" w:hAnsi="Arial" w:cs="Arial"/>
          <w:bCs/>
          <w:sz w:val="24"/>
          <w:szCs w:val="24"/>
        </w:rPr>
      </w:pPr>
    </w:p>
    <w:p w14:paraId="556D6FAA" w14:textId="6C3CFDEE" w:rsidR="002358E2" w:rsidRPr="00DA7FAC" w:rsidRDefault="00FC1C06" w:rsidP="002358E2">
      <w:pPr>
        <w:jc w:val="both"/>
        <w:rPr>
          <w:rFonts w:ascii="Arial" w:hAnsi="Arial" w:cs="Arial"/>
          <w:bCs/>
          <w:sz w:val="24"/>
          <w:szCs w:val="24"/>
        </w:rPr>
      </w:pPr>
      <w:r w:rsidRPr="00DA7FAC">
        <w:rPr>
          <w:rFonts w:ascii="Arial" w:hAnsi="Arial" w:cs="Arial"/>
          <w:bCs/>
          <w:sz w:val="24"/>
          <w:szCs w:val="24"/>
        </w:rPr>
        <w:t>Es preciso comentar que r</w:t>
      </w:r>
      <w:r w:rsidR="002358E2" w:rsidRPr="00DA7FAC">
        <w:rPr>
          <w:rFonts w:ascii="Arial" w:hAnsi="Arial" w:cs="Arial"/>
          <w:bCs/>
          <w:sz w:val="24"/>
          <w:szCs w:val="24"/>
        </w:rPr>
        <w:t>ecientemente, y de manera coyuntural, el 2 de marzo de 2023, suscriben FIRA y Gobierno del Estado de Chihuahua convenio de colaboración para el financiamiento a la mediana empresa</w:t>
      </w:r>
      <w:r w:rsidR="00893521" w:rsidRPr="00DA7FAC">
        <w:rPr>
          <w:rFonts w:ascii="Arial" w:hAnsi="Arial" w:cs="Arial"/>
          <w:bCs/>
          <w:sz w:val="24"/>
          <w:szCs w:val="24"/>
        </w:rPr>
        <w:t>, a través del Programa de Financiamiento a la Mediana Empresa Agroalimentaria y Rural (PROEM).</w:t>
      </w:r>
    </w:p>
    <w:p w14:paraId="4E7676EB" w14:textId="77777777" w:rsidR="002358E2" w:rsidRPr="00DA7FAC" w:rsidRDefault="002358E2" w:rsidP="002358E2">
      <w:pPr>
        <w:jc w:val="both"/>
        <w:rPr>
          <w:rFonts w:ascii="Arial" w:hAnsi="Arial" w:cs="Arial"/>
          <w:bCs/>
          <w:sz w:val="24"/>
          <w:szCs w:val="24"/>
        </w:rPr>
      </w:pPr>
    </w:p>
    <w:p w14:paraId="57B9C7D2" w14:textId="4ADAFC01" w:rsidR="002358E2" w:rsidRPr="00DA7FAC" w:rsidRDefault="001C71D2" w:rsidP="002358E2">
      <w:pPr>
        <w:jc w:val="both"/>
        <w:rPr>
          <w:rFonts w:ascii="Arial" w:hAnsi="Arial" w:cs="Arial"/>
          <w:bCs/>
          <w:sz w:val="24"/>
          <w:szCs w:val="24"/>
        </w:rPr>
      </w:pPr>
      <w:r w:rsidRPr="00DA7FAC">
        <w:rPr>
          <w:rFonts w:ascii="Arial" w:hAnsi="Arial" w:cs="Arial"/>
          <w:bCs/>
          <w:sz w:val="24"/>
          <w:szCs w:val="24"/>
        </w:rPr>
        <w:t>Lo anterior, c</w:t>
      </w:r>
      <w:r w:rsidR="002358E2" w:rsidRPr="00DA7FAC">
        <w:rPr>
          <w:rFonts w:ascii="Arial" w:hAnsi="Arial" w:cs="Arial"/>
          <w:bCs/>
          <w:sz w:val="24"/>
          <w:szCs w:val="24"/>
        </w:rPr>
        <w:t>on el objetivo de potencializar la industria agroalimentaria y rural del estado de Chihuahua, y atender las necesidades de los productores del campo.</w:t>
      </w:r>
    </w:p>
    <w:p w14:paraId="5A119CF2" w14:textId="77777777" w:rsidR="002358E2" w:rsidRPr="00DA7FAC" w:rsidRDefault="002358E2" w:rsidP="002358E2">
      <w:pPr>
        <w:jc w:val="both"/>
        <w:rPr>
          <w:rFonts w:ascii="Arial" w:hAnsi="Arial" w:cs="Arial"/>
          <w:bCs/>
          <w:sz w:val="24"/>
          <w:szCs w:val="24"/>
        </w:rPr>
      </w:pPr>
    </w:p>
    <w:p w14:paraId="0D33AF6A" w14:textId="5036E3ED" w:rsidR="002358E2" w:rsidRPr="00DA7FAC" w:rsidRDefault="002358E2" w:rsidP="007824BE">
      <w:pPr>
        <w:jc w:val="both"/>
        <w:rPr>
          <w:rFonts w:ascii="Arial" w:hAnsi="Arial" w:cs="Arial"/>
          <w:bCs/>
          <w:sz w:val="24"/>
          <w:szCs w:val="24"/>
        </w:rPr>
      </w:pPr>
      <w:r w:rsidRPr="00DA7FAC">
        <w:rPr>
          <w:rFonts w:ascii="Arial" w:hAnsi="Arial" w:cs="Arial"/>
          <w:bCs/>
          <w:sz w:val="24"/>
          <w:szCs w:val="24"/>
        </w:rPr>
        <w:lastRenderedPageBreak/>
        <w:t xml:space="preserve">Por otra parte, durante la firma del convenio, </w:t>
      </w:r>
      <w:r w:rsidR="00893521" w:rsidRPr="00DA7FAC">
        <w:rPr>
          <w:rFonts w:ascii="Arial" w:hAnsi="Arial" w:cs="Arial"/>
          <w:bCs/>
          <w:sz w:val="24"/>
          <w:szCs w:val="24"/>
        </w:rPr>
        <w:t>refirieron las autoridades participantes, qu</w:t>
      </w:r>
      <w:r w:rsidRPr="00DA7FAC">
        <w:rPr>
          <w:rFonts w:ascii="Arial" w:hAnsi="Arial" w:cs="Arial"/>
          <w:bCs/>
          <w:sz w:val="24"/>
          <w:szCs w:val="24"/>
        </w:rPr>
        <w:t xml:space="preserve">e se prevé un esquema de financiamiento estructurado para </w:t>
      </w:r>
      <w:r w:rsidR="00893521" w:rsidRPr="00DA7FAC">
        <w:rPr>
          <w:rFonts w:ascii="Arial" w:hAnsi="Arial" w:cs="Arial"/>
          <w:bCs/>
          <w:sz w:val="24"/>
          <w:szCs w:val="24"/>
        </w:rPr>
        <w:t xml:space="preserve">que FIRA atienda </w:t>
      </w:r>
      <w:r w:rsidRPr="00DA7FAC">
        <w:rPr>
          <w:rFonts w:ascii="Arial" w:hAnsi="Arial" w:cs="Arial"/>
          <w:bCs/>
          <w:sz w:val="24"/>
          <w:szCs w:val="24"/>
        </w:rPr>
        <w:t>a los Intermediaros Financieros No Bancarios, afectados por el cierre de operaciones con la Financiera Nacional de Desarrollo</w:t>
      </w:r>
      <w:r w:rsidR="007824BE" w:rsidRPr="00DA7FAC">
        <w:rPr>
          <w:rFonts w:ascii="Arial" w:hAnsi="Arial" w:cs="Arial"/>
          <w:bCs/>
          <w:sz w:val="24"/>
          <w:szCs w:val="24"/>
        </w:rPr>
        <w:t>, mismo que ya se aplica en Sinaloa, mediante el PROIF, Atención de Cartera FND por Instituciones Financieras.</w:t>
      </w:r>
    </w:p>
    <w:p w14:paraId="40A41CB8" w14:textId="77777777" w:rsidR="002358E2" w:rsidRPr="00DA7FAC" w:rsidRDefault="002358E2" w:rsidP="002358E2">
      <w:pPr>
        <w:jc w:val="both"/>
        <w:rPr>
          <w:rFonts w:ascii="Arial" w:hAnsi="Arial" w:cs="Arial"/>
          <w:bCs/>
          <w:sz w:val="24"/>
          <w:szCs w:val="24"/>
        </w:rPr>
      </w:pPr>
    </w:p>
    <w:p w14:paraId="1DE086B9" w14:textId="6D109AC6" w:rsidR="002358E2" w:rsidRPr="00DA7FAC" w:rsidRDefault="002358E2" w:rsidP="002358E2">
      <w:pPr>
        <w:jc w:val="both"/>
        <w:rPr>
          <w:rFonts w:ascii="Arial" w:hAnsi="Arial" w:cs="Arial"/>
          <w:bCs/>
          <w:sz w:val="24"/>
          <w:szCs w:val="24"/>
        </w:rPr>
      </w:pPr>
      <w:r w:rsidRPr="00DA7FAC">
        <w:rPr>
          <w:rFonts w:ascii="Arial" w:hAnsi="Arial" w:cs="Arial"/>
          <w:bCs/>
          <w:sz w:val="24"/>
          <w:szCs w:val="24"/>
        </w:rPr>
        <w:t>Por lo que, la problemática de la Financiera Nacional de Desarrollo, no debe detener el flujo de financiamiento al campo ya que no se trata de un problema de falta de recursos y toda vez que en el estado de Chihuahua es posible aprovechar la red de intermediarios financieros no bancarios maduros y con bajos índices de morosidad para continuar con el financiamiento a los productores de</w:t>
      </w:r>
      <w:r w:rsidR="00893521" w:rsidRPr="00DA7FAC">
        <w:rPr>
          <w:rFonts w:ascii="Arial" w:hAnsi="Arial" w:cs="Arial"/>
          <w:bCs/>
          <w:sz w:val="24"/>
          <w:szCs w:val="24"/>
        </w:rPr>
        <w:t xml:space="preserve"> este</w:t>
      </w:r>
      <w:r w:rsidRPr="00DA7FAC">
        <w:rPr>
          <w:rFonts w:ascii="Arial" w:hAnsi="Arial" w:cs="Arial"/>
          <w:bCs/>
          <w:sz w:val="24"/>
          <w:szCs w:val="24"/>
        </w:rPr>
        <w:t xml:space="preserve"> sector. </w:t>
      </w:r>
    </w:p>
    <w:p w14:paraId="1383C815" w14:textId="419F9316" w:rsidR="002358E2" w:rsidRPr="00DA7FAC" w:rsidRDefault="002358E2" w:rsidP="002358E2">
      <w:pPr>
        <w:jc w:val="both"/>
        <w:rPr>
          <w:rFonts w:ascii="Arial" w:hAnsi="Arial" w:cs="Arial"/>
          <w:bCs/>
          <w:sz w:val="24"/>
          <w:szCs w:val="24"/>
        </w:rPr>
      </w:pPr>
    </w:p>
    <w:p w14:paraId="5E07AEFB" w14:textId="7C30DA6B" w:rsidR="006167B4" w:rsidRDefault="002358E2" w:rsidP="002358E2">
      <w:pPr>
        <w:jc w:val="both"/>
        <w:rPr>
          <w:rFonts w:ascii="Arial" w:hAnsi="Arial" w:cs="Arial"/>
          <w:bCs/>
          <w:sz w:val="24"/>
          <w:szCs w:val="24"/>
        </w:rPr>
      </w:pPr>
      <w:r w:rsidRPr="00DA7FAC">
        <w:rPr>
          <w:rFonts w:ascii="Arial" w:hAnsi="Arial" w:cs="Arial"/>
          <w:bCs/>
          <w:sz w:val="24"/>
          <w:szCs w:val="24"/>
        </w:rPr>
        <w:t>En este sentid</w:t>
      </w:r>
      <w:r w:rsidR="00FC1C06" w:rsidRPr="00DA7FAC">
        <w:rPr>
          <w:rFonts w:ascii="Arial" w:hAnsi="Arial" w:cs="Arial"/>
          <w:bCs/>
          <w:sz w:val="24"/>
          <w:szCs w:val="24"/>
        </w:rPr>
        <w:t>o</w:t>
      </w:r>
      <w:r w:rsidR="00604FD8" w:rsidRPr="00DA7FAC">
        <w:rPr>
          <w:rFonts w:ascii="Arial" w:hAnsi="Arial" w:cs="Arial"/>
          <w:bCs/>
          <w:sz w:val="24"/>
          <w:szCs w:val="24"/>
        </w:rPr>
        <w:t>,</w:t>
      </w:r>
      <w:r w:rsidRPr="00DA7FAC">
        <w:rPr>
          <w:rFonts w:ascii="Arial" w:hAnsi="Arial" w:cs="Arial"/>
          <w:bCs/>
          <w:sz w:val="24"/>
          <w:szCs w:val="24"/>
        </w:rPr>
        <w:t xml:space="preserve"> es </w:t>
      </w:r>
      <w:r w:rsidR="00FC1C06" w:rsidRPr="00DA7FAC">
        <w:rPr>
          <w:rFonts w:ascii="Arial" w:hAnsi="Arial" w:cs="Arial"/>
          <w:bCs/>
          <w:sz w:val="24"/>
          <w:szCs w:val="24"/>
        </w:rPr>
        <w:t>pertinente hacer notar</w:t>
      </w:r>
      <w:r w:rsidR="00754F9B" w:rsidRPr="00DA7FAC">
        <w:rPr>
          <w:rFonts w:ascii="Arial" w:hAnsi="Arial" w:cs="Arial"/>
          <w:bCs/>
          <w:sz w:val="24"/>
          <w:szCs w:val="24"/>
        </w:rPr>
        <w:t xml:space="preserve"> que,</w:t>
      </w:r>
      <w:r w:rsidRPr="00DA7FAC">
        <w:rPr>
          <w:rFonts w:ascii="Arial" w:hAnsi="Arial" w:cs="Arial"/>
          <w:bCs/>
          <w:sz w:val="24"/>
          <w:szCs w:val="24"/>
        </w:rPr>
        <w:t xml:space="preserve"> </w:t>
      </w:r>
      <w:r w:rsidR="00FC1C06" w:rsidRPr="00DA7FAC">
        <w:rPr>
          <w:rFonts w:ascii="Arial" w:hAnsi="Arial" w:cs="Arial"/>
          <w:bCs/>
          <w:sz w:val="24"/>
          <w:szCs w:val="24"/>
        </w:rPr>
        <w:t xml:space="preserve">para la firma del Convenio antes citado, </w:t>
      </w:r>
      <w:r w:rsidRPr="00DA7FAC">
        <w:rPr>
          <w:rFonts w:ascii="Arial" w:hAnsi="Arial" w:cs="Arial"/>
          <w:bCs/>
          <w:sz w:val="24"/>
          <w:szCs w:val="24"/>
        </w:rPr>
        <w:t xml:space="preserve">la aportación del Gobierno del Estado de Chihuahua, </w:t>
      </w:r>
      <w:r w:rsidR="00893521" w:rsidRPr="00D35FAD">
        <w:rPr>
          <w:rFonts w:ascii="Arial" w:hAnsi="Arial" w:cs="Arial"/>
          <w:bCs/>
          <w:sz w:val="24"/>
          <w:szCs w:val="24"/>
        </w:rPr>
        <w:t xml:space="preserve">fue </w:t>
      </w:r>
      <w:r w:rsidRPr="00D35FAD">
        <w:rPr>
          <w:rFonts w:ascii="Arial" w:hAnsi="Arial" w:cs="Arial"/>
          <w:bCs/>
          <w:sz w:val="24"/>
          <w:szCs w:val="24"/>
        </w:rPr>
        <w:t xml:space="preserve">de $10 millones de </w:t>
      </w:r>
      <w:r w:rsidRPr="00DA7FAC">
        <w:rPr>
          <w:rFonts w:ascii="Arial" w:hAnsi="Arial" w:cs="Arial"/>
          <w:bCs/>
          <w:sz w:val="24"/>
          <w:szCs w:val="24"/>
        </w:rPr>
        <w:t>pesos</w:t>
      </w:r>
      <w:r w:rsidR="00D35FAD">
        <w:rPr>
          <w:rFonts w:ascii="Arial" w:hAnsi="Arial" w:cs="Arial"/>
          <w:bCs/>
          <w:sz w:val="24"/>
          <w:szCs w:val="24"/>
        </w:rPr>
        <w:t xml:space="preserve">; con la aportación del gobierno y la participación de FIRA Banco de México se logra garantizar una cartera de créditos equivalente a 17 veces la aportación, para llegar a </w:t>
      </w:r>
      <w:r w:rsidR="00604FD8" w:rsidRPr="00DA7FAC">
        <w:rPr>
          <w:rFonts w:ascii="Arial" w:hAnsi="Arial" w:cs="Arial"/>
          <w:bCs/>
          <w:sz w:val="24"/>
          <w:szCs w:val="24"/>
        </w:rPr>
        <w:t>$170 millones de pesos</w:t>
      </w:r>
      <w:r w:rsidR="00D35FAD">
        <w:rPr>
          <w:rFonts w:ascii="Arial" w:hAnsi="Arial" w:cs="Arial"/>
          <w:bCs/>
          <w:sz w:val="24"/>
          <w:szCs w:val="24"/>
        </w:rPr>
        <w:t>.</w:t>
      </w:r>
      <w:r w:rsidR="006167B4">
        <w:rPr>
          <w:rFonts w:ascii="Arial" w:hAnsi="Arial" w:cs="Arial"/>
          <w:bCs/>
          <w:sz w:val="24"/>
          <w:szCs w:val="24"/>
        </w:rPr>
        <w:t xml:space="preserve"> </w:t>
      </w:r>
    </w:p>
    <w:p w14:paraId="4F4DF28C" w14:textId="77777777" w:rsidR="00D35FAD" w:rsidRDefault="00D35FAD" w:rsidP="002358E2">
      <w:pPr>
        <w:jc w:val="both"/>
        <w:rPr>
          <w:rFonts w:ascii="Arial" w:hAnsi="Arial" w:cs="Arial"/>
          <w:bCs/>
          <w:sz w:val="24"/>
          <w:szCs w:val="24"/>
        </w:rPr>
      </w:pPr>
    </w:p>
    <w:p w14:paraId="18AC8789" w14:textId="5178CCC1" w:rsidR="00604FD8" w:rsidRPr="00DA7FAC" w:rsidRDefault="006167B4" w:rsidP="002358E2">
      <w:pPr>
        <w:jc w:val="both"/>
        <w:rPr>
          <w:rFonts w:ascii="Arial" w:hAnsi="Arial" w:cs="Arial"/>
          <w:bCs/>
          <w:sz w:val="24"/>
          <w:szCs w:val="24"/>
        </w:rPr>
      </w:pPr>
      <w:r>
        <w:rPr>
          <w:rFonts w:ascii="Arial" w:hAnsi="Arial" w:cs="Arial"/>
          <w:bCs/>
          <w:sz w:val="24"/>
          <w:szCs w:val="24"/>
        </w:rPr>
        <w:t>E</w:t>
      </w:r>
      <w:r w:rsidRPr="00DA7FAC">
        <w:rPr>
          <w:rFonts w:ascii="Arial" w:hAnsi="Arial" w:cs="Arial"/>
          <w:bCs/>
          <w:sz w:val="24"/>
          <w:szCs w:val="24"/>
        </w:rPr>
        <w:t>sta aportación conjunta estado y federación, alcanzará para cubrir el 1% de la cartera de productores que hoy en día son atendidos por dicha institución financiera, dejando desprotegido al resto del sector agroalimentario chihuahuense, y sin acceso al crédito agropecuario.</w:t>
      </w:r>
    </w:p>
    <w:p w14:paraId="278E6BE2" w14:textId="1DCD973E" w:rsidR="00CE23B1" w:rsidRPr="00DA7FAC" w:rsidRDefault="00CE23B1" w:rsidP="002358E2">
      <w:pPr>
        <w:jc w:val="both"/>
        <w:rPr>
          <w:rFonts w:ascii="Arial" w:hAnsi="Arial" w:cs="Arial"/>
          <w:bCs/>
          <w:sz w:val="24"/>
          <w:szCs w:val="24"/>
        </w:rPr>
      </w:pPr>
    </w:p>
    <w:p w14:paraId="732FECB4" w14:textId="2B2B6514" w:rsidR="00CE23B1" w:rsidRPr="00DA7FAC" w:rsidRDefault="00CE23B1" w:rsidP="002358E2">
      <w:pPr>
        <w:jc w:val="both"/>
        <w:rPr>
          <w:rFonts w:ascii="Arial" w:hAnsi="Arial" w:cs="Arial"/>
          <w:bCs/>
          <w:sz w:val="24"/>
          <w:szCs w:val="24"/>
        </w:rPr>
      </w:pPr>
      <w:r w:rsidRPr="00DA7FAC">
        <w:rPr>
          <w:rFonts w:ascii="Arial" w:hAnsi="Arial" w:cs="Arial"/>
          <w:bCs/>
          <w:sz w:val="24"/>
          <w:szCs w:val="24"/>
        </w:rPr>
        <w:t>Los créditos se otorgarán en Moneda Nacional y van desde 160,000 UDIS hasta 4´000,000 de UDIS (aprox. de 1.1 a 29 MDP) de saldo de crédito vigente por empresa o grupo de riesgo común.</w:t>
      </w:r>
    </w:p>
    <w:p w14:paraId="7191E665" w14:textId="77777777" w:rsidR="00DC44E9" w:rsidRDefault="00DC44E9" w:rsidP="002358E2">
      <w:pPr>
        <w:jc w:val="both"/>
        <w:rPr>
          <w:rFonts w:ascii="Arial" w:hAnsi="Arial" w:cs="Arial"/>
          <w:bCs/>
          <w:sz w:val="24"/>
          <w:szCs w:val="24"/>
        </w:rPr>
      </w:pPr>
    </w:p>
    <w:p w14:paraId="53668230" w14:textId="50BE9102" w:rsidR="00604FD8" w:rsidRPr="00DA7FAC" w:rsidRDefault="00604FD8" w:rsidP="002358E2">
      <w:pPr>
        <w:jc w:val="both"/>
        <w:rPr>
          <w:rFonts w:ascii="Arial" w:hAnsi="Arial" w:cs="Arial"/>
          <w:bCs/>
          <w:sz w:val="24"/>
          <w:szCs w:val="24"/>
        </w:rPr>
      </w:pPr>
      <w:r w:rsidRPr="00DA7FAC">
        <w:rPr>
          <w:rFonts w:ascii="Arial" w:hAnsi="Arial" w:cs="Arial"/>
          <w:bCs/>
          <w:sz w:val="24"/>
          <w:szCs w:val="24"/>
        </w:rPr>
        <w:t>Por lo que consideramos necesario y urgente dotar de las mismas herramientas de acceso al financiamiento a un mayor número de productores en nuestro estado</w:t>
      </w:r>
      <w:r w:rsidR="00893521" w:rsidRPr="00DA7FAC">
        <w:rPr>
          <w:rFonts w:ascii="Arial" w:hAnsi="Arial" w:cs="Arial"/>
          <w:bCs/>
          <w:sz w:val="24"/>
          <w:szCs w:val="24"/>
        </w:rPr>
        <w:t>, que permita la inclusión financiera, particularmente de los productores rurales y de las comunidades financieras</w:t>
      </w:r>
      <w:r w:rsidRPr="00DA7FAC">
        <w:rPr>
          <w:rFonts w:ascii="Arial" w:hAnsi="Arial" w:cs="Arial"/>
          <w:bCs/>
          <w:sz w:val="24"/>
          <w:szCs w:val="24"/>
        </w:rPr>
        <w:t>.</w:t>
      </w:r>
    </w:p>
    <w:p w14:paraId="1568A496" w14:textId="77777777" w:rsidR="00604FD8" w:rsidRPr="00DA7FAC" w:rsidRDefault="00604FD8" w:rsidP="002358E2">
      <w:pPr>
        <w:jc w:val="both"/>
        <w:rPr>
          <w:rFonts w:ascii="Arial" w:hAnsi="Arial" w:cs="Arial"/>
          <w:bCs/>
          <w:sz w:val="24"/>
          <w:szCs w:val="24"/>
        </w:rPr>
      </w:pPr>
    </w:p>
    <w:p w14:paraId="2C75BBBF" w14:textId="1E3232CF" w:rsidR="00604FD8" w:rsidRPr="00DA7FAC" w:rsidRDefault="00FC1C06" w:rsidP="002358E2">
      <w:pPr>
        <w:jc w:val="both"/>
        <w:rPr>
          <w:rFonts w:ascii="Arial" w:hAnsi="Arial" w:cs="Arial"/>
          <w:bCs/>
          <w:sz w:val="24"/>
          <w:szCs w:val="24"/>
        </w:rPr>
      </w:pPr>
      <w:r w:rsidRPr="00DA7FAC">
        <w:rPr>
          <w:rFonts w:ascii="Arial" w:hAnsi="Arial" w:cs="Arial"/>
          <w:bCs/>
          <w:sz w:val="24"/>
          <w:szCs w:val="24"/>
        </w:rPr>
        <w:t xml:space="preserve">Para lo cual, </w:t>
      </w:r>
      <w:r w:rsidR="00604FD8" w:rsidRPr="00DA7FAC">
        <w:rPr>
          <w:rFonts w:ascii="Arial" w:hAnsi="Arial" w:cs="Arial"/>
          <w:bCs/>
          <w:sz w:val="24"/>
          <w:szCs w:val="24"/>
        </w:rPr>
        <w:t xml:space="preserve">se plantea que del presupuesto asignado a la Secretaría de Desarrollo Rural para el ejercicio fiscal 2022, o bien de la bolsa general que administra la Secretaría de Hacienda se incremente </w:t>
      </w:r>
      <w:r w:rsidR="00C47D0B" w:rsidRPr="00DA7FAC">
        <w:rPr>
          <w:rFonts w:ascii="Arial" w:hAnsi="Arial" w:cs="Arial"/>
          <w:bCs/>
          <w:sz w:val="24"/>
          <w:szCs w:val="24"/>
        </w:rPr>
        <w:t xml:space="preserve">la </w:t>
      </w:r>
      <w:r w:rsidR="00604FD8" w:rsidRPr="00DA7FAC">
        <w:rPr>
          <w:rFonts w:ascii="Arial" w:hAnsi="Arial" w:cs="Arial"/>
          <w:bCs/>
          <w:sz w:val="24"/>
          <w:szCs w:val="24"/>
        </w:rPr>
        <w:t>aportación a este instrumento financiero</w:t>
      </w:r>
      <w:r w:rsidR="00C47D0B" w:rsidRPr="00DA7FAC">
        <w:rPr>
          <w:rFonts w:ascii="Arial" w:hAnsi="Arial" w:cs="Arial"/>
          <w:bCs/>
          <w:sz w:val="24"/>
          <w:szCs w:val="24"/>
        </w:rPr>
        <w:t>;</w:t>
      </w:r>
      <w:r w:rsidR="00604FD8" w:rsidRPr="00DA7FAC">
        <w:rPr>
          <w:rFonts w:ascii="Arial" w:hAnsi="Arial" w:cs="Arial"/>
          <w:bCs/>
          <w:sz w:val="24"/>
          <w:szCs w:val="24"/>
        </w:rPr>
        <w:t xml:space="preserve"> alcanzando al menos $60 millones de pesos</w:t>
      </w:r>
      <w:r w:rsidR="00C47D0B" w:rsidRPr="00DA7FAC">
        <w:rPr>
          <w:rFonts w:ascii="Arial" w:hAnsi="Arial" w:cs="Arial"/>
          <w:bCs/>
          <w:sz w:val="24"/>
          <w:szCs w:val="24"/>
        </w:rPr>
        <w:t xml:space="preserve"> en el presente año</w:t>
      </w:r>
      <w:r w:rsidR="00604FD8" w:rsidRPr="00DA7FAC">
        <w:rPr>
          <w:rFonts w:ascii="Arial" w:hAnsi="Arial" w:cs="Arial"/>
          <w:bCs/>
          <w:sz w:val="24"/>
          <w:szCs w:val="24"/>
        </w:rPr>
        <w:t>. Recurso</w:t>
      </w:r>
      <w:r w:rsidR="00C47D0B" w:rsidRPr="00DA7FAC">
        <w:rPr>
          <w:rFonts w:ascii="Arial" w:hAnsi="Arial" w:cs="Arial"/>
          <w:bCs/>
          <w:sz w:val="24"/>
          <w:szCs w:val="24"/>
        </w:rPr>
        <w:t>s</w:t>
      </w:r>
      <w:r w:rsidR="00604FD8" w:rsidRPr="00DA7FAC">
        <w:rPr>
          <w:rFonts w:ascii="Arial" w:hAnsi="Arial" w:cs="Arial"/>
          <w:bCs/>
          <w:sz w:val="24"/>
          <w:szCs w:val="24"/>
        </w:rPr>
        <w:t xml:space="preserve"> que anualmente sean </w:t>
      </w:r>
      <w:r w:rsidR="00C47D0B" w:rsidRPr="00DA7FAC">
        <w:rPr>
          <w:rFonts w:ascii="Arial" w:hAnsi="Arial" w:cs="Arial"/>
          <w:bCs/>
          <w:sz w:val="24"/>
          <w:szCs w:val="24"/>
        </w:rPr>
        <w:t>incrementados</w:t>
      </w:r>
      <w:r w:rsidR="00754F9B" w:rsidRPr="00DA7FAC">
        <w:rPr>
          <w:rFonts w:ascii="Arial" w:hAnsi="Arial" w:cs="Arial"/>
          <w:bCs/>
          <w:sz w:val="24"/>
          <w:szCs w:val="24"/>
        </w:rPr>
        <w:t xml:space="preserve"> </w:t>
      </w:r>
      <w:r w:rsidR="00604FD8" w:rsidRPr="00DA7FAC">
        <w:rPr>
          <w:rFonts w:ascii="Arial" w:hAnsi="Arial" w:cs="Arial"/>
          <w:bCs/>
          <w:sz w:val="24"/>
          <w:szCs w:val="24"/>
        </w:rPr>
        <w:t>y etiquetados en el proyecto de presupuesto del ejecutivo estatal.</w:t>
      </w:r>
    </w:p>
    <w:p w14:paraId="09E2E4B3" w14:textId="77777777" w:rsidR="002358E2" w:rsidRPr="00DA7FAC" w:rsidRDefault="002358E2" w:rsidP="00300E78">
      <w:pPr>
        <w:jc w:val="both"/>
        <w:rPr>
          <w:rFonts w:ascii="Arial" w:hAnsi="Arial" w:cs="Arial"/>
          <w:bCs/>
          <w:sz w:val="24"/>
          <w:szCs w:val="24"/>
        </w:rPr>
      </w:pPr>
    </w:p>
    <w:p w14:paraId="11D3A563" w14:textId="77777777" w:rsidR="00124C58" w:rsidRPr="00DA7FAC" w:rsidRDefault="00124C58" w:rsidP="00AC18EB">
      <w:pPr>
        <w:pStyle w:val="NormalWeb"/>
        <w:shd w:val="clear" w:color="auto" w:fill="FDFDFD"/>
        <w:spacing w:before="0" w:beforeAutospacing="0" w:after="0" w:afterAutospacing="0"/>
        <w:jc w:val="both"/>
        <w:rPr>
          <w:rFonts w:ascii="Arial" w:hAnsi="Arial" w:cs="Arial"/>
        </w:rPr>
      </w:pPr>
      <w:bookmarkStart w:id="1" w:name="_Hlk126152518"/>
      <w:r w:rsidRPr="00DA7FAC">
        <w:rPr>
          <w:rFonts w:ascii="Arial" w:hAnsi="Arial" w:cs="Arial"/>
        </w:rPr>
        <w:t xml:space="preserve">Por lo anteriormente expuesto, con fundamento en lo dispuesto por los artículos 68 fracción I, de la Constitución Política del Estado de Chihuahua, 167 fracción I, de la </w:t>
      </w:r>
      <w:r w:rsidRPr="00DA7FAC">
        <w:rPr>
          <w:rFonts w:ascii="Arial" w:hAnsi="Arial" w:cs="Arial"/>
        </w:rPr>
        <w:lastRenderedPageBreak/>
        <w:t xml:space="preserve">Ley Orgánica del Poder Legislativo; así como los numerales 75 y 76 del Reglamento Interior y de Prácticas Parlamentarias del Poder Legislativo, someto a consideración de esta Honorable Asamblea el siguiente proyecto de: </w:t>
      </w:r>
    </w:p>
    <w:bookmarkEnd w:id="1"/>
    <w:p w14:paraId="7F7C8FB7" w14:textId="77777777" w:rsidR="00124C58" w:rsidRPr="00DA7FAC" w:rsidRDefault="00124C58" w:rsidP="00124C58">
      <w:pPr>
        <w:pStyle w:val="NormalWeb"/>
        <w:shd w:val="clear" w:color="auto" w:fill="FDFDFD"/>
        <w:spacing w:before="0" w:beforeAutospacing="0" w:after="0" w:afterAutospacing="0"/>
        <w:jc w:val="both"/>
        <w:rPr>
          <w:rFonts w:ascii="Arial" w:hAnsi="Arial" w:cs="Arial"/>
        </w:rPr>
      </w:pPr>
    </w:p>
    <w:p w14:paraId="68A26DFE" w14:textId="77777777" w:rsidR="00124C58" w:rsidRPr="00DA7FAC" w:rsidRDefault="00124C58" w:rsidP="00124C58">
      <w:pPr>
        <w:pStyle w:val="NormalWeb"/>
        <w:shd w:val="clear" w:color="auto" w:fill="FDFDFD"/>
        <w:spacing w:before="0" w:beforeAutospacing="0" w:after="0" w:afterAutospacing="0"/>
        <w:jc w:val="center"/>
        <w:rPr>
          <w:rFonts w:ascii="Arial" w:hAnsi="Arial" w:cs="Arial"/>
          <w:b/>
        </w:rPr>
      </w:pPr>
    </w:p>
    <w:p w14:paraId="51B2EBFA" w14:textId="77777777" w:rsidR="00E54B81" w:rsidRPr="00DA7FAC" w:rsidRDefault="00E54B81" w:rsidP="00124C58">
      <w:pPr>
        <w:pStyle w:val="NormalWeb"/>
        <w:shd w:val="clear" w:color="auto" w:fill="FDFDFD"/>
        <w:spacing w:before="0" w:beforeAutospacing="0" w:after="0" w:afterAutospacing="0"/>
        <w:jc w:val="center"/>
        <w:rPr>
          <w:rFonts w:ascii="Arial" w:hAnsi="Arial" w:cs="Arial"/>
          <w:b/>
        </w:rPr>
      </w:pPr>
    </w:p>
    <w:p w14:paraId="3A6295B2" w14:textId="77777777" w:rsidR="00124C58" w:rsidRPr="00DA7FAC" w:rsidRDefault="00124C58" w:rsidP="00124C58">
      <w:pPr>
        <w:pStyle w:val="NormalWeb"/>
        <w:shd w:val="clear" w:color="auto" w:fill="FDFDFD"/>
        <w:spacing w:before="0" w:beforeAutospacing="0" w:after="0" w:afterAutospacing="0"/>
        <w:jc w:val="center"/>
        <w:rPr>
          <w:rFonts w:ascii="Arial" w:hAnsi="Arial" w:cs="Arial"/>
          <w:b/>
        </w:rPr>
      </w:pPr>
      <w:r w:rsidRPr="00DA7FAC">
        <w:rPr>
          <w:rFonts w:ascii="Arial" w:hAnsi="Arial" w:cs="Arial"/>
          <w:b/>
        </w:rPr>
        <w:t>ACUERDO</w:t>
      </w:r>
    </w:p>
    <w:p w14:paraId="7315A122" w14:textId="77777777" w:rsidR="00124C58" w:rsidRPr="00DA7FAC" w:rsidRDefault="00124C58" w:rsidP="00124C58">
      <w:pPr>
        <w:pStyle w:val="NormalWeb"/>
        <w:shd w:val="clear" w:color="auto" w:fill="FDFDFD"/>
        <w:spacing w:before="0" w:beforeAutospacing="0" w:after="0" w:afterAutospacing="0"/>
        <w:rPr>
          <w:rFonts w:ascii="Arial" w:hAnsi="Arial" w:cs="Arial"/>
        </w:rPr>
      </w:pPr>
    </w:p>
    <w:p w14:paraId="6FD14359" w14:textId="2249604A" w:rsidR="00595266" w:rsidRPr="00DA7FAC" w:rsidRDefault="00754F9B" w:rsidP="00595266">
      <w:pPr>
        <w:jc w:val="both"/>
        <w:rPr>
          <w:rFonts w:ascii="Arial" w:eastAsia="Times New Roman" w:hAnsi="Arial" w:cs="Arial"/>
          <w:bCs/>
          <w:sz w:val="24"/>
          <w:szCs w:val="24"/>
          <w:lang w:val="es-ES"/>
        </w:rPr>
      </w:pPr>
      <w:proofErr w:type="gramStart"/>
      <w:r w:rsidRPr="00DA7FAC">
        <w:rPr>
          <w:rFonts w:ascii="Arial" w:eastAsia="Times New Roman" w:hAnsi="Arial" w:cs="Arial"/>
          <w:b/>
          <w:sz w:val="24"/>
          <w:szCs w:val="24"/>
          <w:lang w:val="es-ES"/>
        </w:rPr>
        <w:t>PRIMERO</w:t>
      </w:r>
      <w:r w:rsidR="00775372" w:rsidRPr="00DA7FAC">
        <w:rPr>
          <w:rFonts w:ascii="Arial" w:eastAsia="Times New Roman" w:hAnsi="Arial" w:cs="Arial"/>
          <w:b/>
          <w:sz w:val="24"/>
          <w:szCs w:val="24"/>
          <w:lang w:val="es-ES"/>
        </w:rPr>
        <w:t>.-</w:t>
      </w:r>
      <w:proofErr w:type="gramEnd"/>
      <w:r w:rsidR="00124C58" w:rsidRPr="00DA7FAC">
        <w:rPr>
          <w:rFonts w:ascii="Arial" w:eastAsia="Times New Roman" w:hAnsi="Arial" w:cs="Arial"/>
          <w:bCs/>
          <w:sz w:val="24"/>
          <w:szCs w:val="24"/>
          <w:lang w:val="es-ES"/>
        </w:rPr>
        <w:t xml:space="preserve"> </w:t>
      </w:r>
      <w:r w:rsidR="00797B97" w:rsidRPr="00DA7FAC">
        <w:rPr>
          <w:rFonts w:ascii="Arial" w:eastAsia="Times New Roman" w:hAnsi="Arial" w:cs="Arial"/>
          <w:bCs/>
          <w:sz w:val="24"/>
          <w:szCs w:val="24"/>
          <w:lang w:val="es-ES"/>
        </w:rPr>
        <w:t xml:space="preserve">La sexagésima séptima legislatura </w:t>
      </w:r>
      <w:r w:rsidR="002259D9" w:rsidRPr="00DA7FAC">
        <w:rPr>
          <w:rFonts w:ascii="Arial" w:eastAsia="Times New Roman" w:hAnsi="Arial" w:cs="Arial"/>
          <w:bCs/>
          <w:sz w:val="24"/>
          <w:szCs w:val="24"/>
          <w:lang w:val="es-ES"/>
        </w:rPr>
        <w:t xml:space="preserve">exhortar atenta y respetuosamente al Ejecutivo Estatal, </w:t>
      </w:r>
      <w:bookmarkStart w:id="2" w:name="_Hlk126152603"/>
      <w:r w:rsidRPr="00DA7FAC">
        <w:rPr>
          <w:rFonts w:ascii="Arial" w:eastAsia="Times New Roman" w:hAnsi="Arial" w:cs="Arial"/>
          <w:bCs/>
          <w:sz w:val="24"/>
          <w:szCs w:val="24"/>
          <w:lang w:val="es-ES"/>
        </w:rPr>
        <w:t>a través de las Secretarías de Hacienda y Desarrollo Rural, a fin de que incremente el monto económico convenido con FIRA, Banco de México, que permita superar el 1% de lo que hoy en día se podrá dispersar en financiamiento al sector agropecuario del estado de Chihuahua</w:t>
      </w:r>
      <w:r w:rsidR="0075559D" w:rsidRPr="00DA7FAC">
        <w:rPr>
          <w:rFonts w:ascii="Arial" w:eastAsia="Times New Roman" w:hAnsi="Arial" w:cs="Arial"/>
          <w:bCs/>
          <w:sz w:val="24"/>
          <w:szCs w:val="24"/>
          <w:lang w:val="es-ES"/>
        </w:rPr>
        <w:t>.</w:t>
      </w:r>
    </w:p>
    <w:bookmarkEnd w:id="2"/>
    <w:p w14:paraId="7AF1B502" w14:textId="77777777" w:rsidR="0075559D" w:rsidRPr="00DA7FAC" w:rsidRDefault="0075559D" w:rsidP="00595266">
      <w:pPr>
        <w:jc w:val="both"/>
        <w:rPr>
          <w:rFonts w:ascii="Arial" w:eastAsia="Times New Roman" w:hAnsi="Arial" w:cs="Arial"/>
          <w:bCs/>
          <w:sz w:val="24"/>
          <w:szCs w:val="24"/>
          <w:lang w:val="es-ES"/>
        </w:rPr>
      </w:pPr>
    </w:p>
    <w:p w14:paraId="17CEB36E" w14:textId="59E476C9" w:rsidR="00754F9B" w:rsidRPr="00DA7FAC" w:rsidRDefault="00754F9B" w:rsidP="00124C58">
      <w:pPr>
        <w:autoSpaceDE w:val="0"/>
        <w:autoSpaceDN w:val="0"/>
        <w:adjustRightInd w:val="0"/>
        <w:jc w:val="both"/>
        <w:rPr>
          <w:rFonts w:ascii="Arial" w:eastAsia="Times New Roman" w:hAnsi="Arial" w:cs="Arial"/>
          <w:bCs/>
          <w:sz w:val="24"/>
          <w:szCs w:val="24"/>
          <w:lang w:val="es-ES"/>
        </w:rPr>
      </w:pPr>
      <w:proofErr w:type="gramStart"/>
      <w:r w:rsidRPr="00DA7FAC">
        <w:rPr>
          <w:rFonts w:ascii="Arial" w:hAnsi="Arial" w:cs="Arial"/>
          <w:b/>
          <w:sz w:val="24"/>
          <w:szCs w:val="24"/>
          <w:shd w:val="clear" w:color="auto" w:fill="FFFFFF"/>
        </w:rPr>
        <w:t>SEGUNDO.-</w:t>
      </w:r>
      <w:proofErr w:type="gramEnd"/>
      <w:r w:rsidRPr="00DA7FAC">
        <w:rPr>
          <w:rFonts w:ascii="Arial" w:hAnsi="Arial" w:cs="Arial"/>
          <w:b/>
          <w:sz w:val="24"/>
          <w:szCs w:val="24"/>
          <w:shd w:val="clear" w:color="auto" w:fill="FFFFFF"/>
        </w:rPr>
        <w:t xml:space="preserve"> </w:t>
      </w:r>
      <w:r w:rsidRPr="00DA7FAC">
        <w:rPr>
          <w:rFonts w:ascii="Arial" w:eastAsia="Times New Roman" w:hAnsi="Arial" w:cs="Arial"/>
          <w:bCs/>
          <w:sz w:val="24"/>
          <w:szCs w:val="24"/>
          <w:lang w:val="es-ES"/>
        </w:rPr>
        <w:t>La sexagésima séptima legislatura exhorta a la Titular del Ejecutivo Estatal y a la Secretaría de Hacienda para que incremente la aportación del Estado a este instrumento financiero; para alcanzar en el presente año 2022 al menos $60 millones de recursos dispersados en el financiamiento agropecuario y rural, monto que anualmente se</w:t>
      </w:r>
      <w:r w:rsidR="00DC7003">
        <w:rPr>
          <w:rFonts w:ascii="Arial" w:eastAsia="Times New Roman" w:hAnsi="Arial" w:cs="Arial"/>
          <w:bCs/>
          <w:sz w:val="24"/>
          <w:szCs w:val="24"/>
          <w:lang w:val="es-ES"/>
        </w:rPr>
        <w:t xml:space="preserve"> </w:t>
      </w:r>
      <w:r w:rsidRPr="00DA7FAC">
        <w:rPr>
          <w:rFonts w:ascii="Arial" w:eastAsia="Times New Roman" w:hAnsi="Arial" w:cs="Arial"/>
          <w:bCs/>
          <w:sz w:val="24"/>
          <w:szCs w:val="24"/>
          <w:lang w:val="es-ES"/>
        </w:rPr>
        <w:t>increment</w:t>
      </w:r>
      <w:r w:rsidR="00DC7003">
        <w:rPr>
          <w:rFonts w:ascii="Arial" w:eastAsia="Times New Roman" w:hAnsi="Arial" w:cs="Arial"/>
          <w:bCs/>
          <w:sz w:val="24"/>
          <w:szCs w:val="24"/>
          <w:lang w:val="es-ES"/>
        </w:rPr>
        <w:t>e</w:t>
      </w:r>
      <w:r w:rsidRPr="00DA7FAC">
        <w:rPr>
          <w:rFonts w:ascii="Arial" w:eastAsia="Times New Roman" w:hAnsi="Arial" w:cs="Arial"/>
          <w:bCs/>
          <w:sz w:val="24"/>
          <w:szCs w:val="24"/>
          <w:lang w:val="es-ES"/>
        </w:rPr>
        <w:t xml:space="preserve"> y </w:t>
      </w:r>
      <w:r w:rsidR="00DC7003">
        <w:rPr>
          <w:rFonts w:ascii="Arial" w:eastAsia="Times New Roman" w:hAnsi="Arial" w:cs="Arial"/>
          <w:bCs/>
          <w:sz w:val="24"/>
          <w:szCs w:val="24"/>
          <w:lang w:val="es-ES"/>
        </w:rPr>
        <w:t xml:space="preserve">se etiquete </w:t>
      </w:r>
      <w:r w:rsidRPr="00DA7FAC">
        <w:rPr>
          <w:rFonts w:ascii="Arial" w:eastAsia="Times New Roman" w:hAnsi="Arial" w:cs="Arial"/>
          <w:bCs/>
          <w:sz w:val="24"/>
          <w:szCs w:val="24"/>
          <w:lang w:val="es-ES"/>
        </w:rPr>
        <w:t>en el proyecto de presupuesto del ejecutivo estatal.</w:t>
      </w:r>
    </w:p>
    <w:p w14:paraId="24735DB8" w14:textId="77777777" w:rsidR="00754F9B" w:rsidRPr="00DA7FAC" w:rsidRDefault="00754F9B" w:rsidP="00124C58">
      <w:pPr>
        <w:autoSpaceDE w:val="0"/>
        <w:autoSpaceDN w:val="0"/>
        <w:adjustRightInd w:val="0"/>
        <w:jc w:val="both"/>
        <w:rPr>
          <w:rFonts w:ascii="Arial" w:hAnsi="Arial" w:cs="Arial"/>
          <w:b/>
          <w:sz w:val="24"/>
          <w:szCs w:val="24"/>
          <w:shd w:val="clear" w:color="auto" w:fill="FFFFFF"/>
        </w:rPr>
      </w:pPr>
    </w:p>
    <w:p w14:paraId="037587C2" w14:textId="6FC645DF" w:rsidR="00124C58" w:rsidRPr="00DA7FAC" w:rsidRDefault="00124C58" w:rsidP="00124C58">
      <w:pPr>
        <w:autoSpaceDE w:val="0"/>
        <w:autoSpaceDN w:val="0"/>
        <w:adjustRightInd w:val="0"/>
        <w:jc w:val="both"/>
        <w:rPr>
          <w:rFonts w:ascii="Arial" w:hAnsi="Arial" w:cs="Arial"/>
          <w:bCs/>
          <w:sz w:val="24"/>
          <w:szCs w:val="24"/>
        </w:rPr>
      </w:pPr>
      <w:proofErr w:type="gramStart"/>
      <w:r w:rsidRPr="00DA7FAC">
        <w:rPr>
          <w:rFonts w:ascii="Arial" w:hAnsi="Arial" w:cs="Arial"/>
          <w:b/>
          <w:sz w:val="24"/>
          <w:szCs w:val="24"/>
          <w:shd w:val="clear" w:color="auto" w:fill="FFFFFF"/>
        </w:rPr>
        <w:t>ECONÓMICO.-</w:t>
      </w:r>
      <w:proofErr w:type="gramEnd"/>
      <w:r w:rsidRPr="00DA7FAC">
        <w:rPr>
          <w:rFonts w:ascii="Arial" w:hAnsi="Arial" w:cs="Arial"/>
          <w:b/>
          <w:sz w:val="24"/>
          <w:szCs w:val="24"/>
          <w:shd w:val="clear" w:color="auto" w:fill="FFFFFF"/>
        </w:rPr>
        <w:t xml:space="preserve"> </w:t>
      </w:r>
      <w:r w:rsidRPr="00DA7FAC">
        <w:rPr>
          <w:rFonts w:ascii="Arial" w:hAnsi="Arial" w:cs="Arial"/>
          <w:bCs/>
          <w:sz w:val="24"/>
          <w:szCs w:val="24"/>
          <w:shd w:val="clear" w:color="auto" w:fill="FFFFFF"/>
        </w:rPr>
        <w:t>Remítase copia del presente Acuerdo, a las autoridades antes mencionadas, para su conocimiento y los efectos conducentes.</w:t>
      </w:r>
    </w:p>
    <w:p w14:paraId="4EE5DD8A" w14:textId="77777777" w:rsidR="00124C58" w:rsidRPr="00DA7FAC" w:rsidRDefault="00124C58" w:rsidP="00124C58">
      <w:pPr>
        <w:autoSpaceDE w:val="0"/>
        <w:autoSpaceDN w:val="0"/>
        <w:adjustRightInd w:val="0"/>
        <w:jc w:val="both"/>
        <w:rPr>
          <w:rFonts w:ascii="Arial" w:hAnsi="Arial" w:cs="Arial"/>
          <w:b/>
          <w:sz w:val="24"/>
          <w:szCs w:val="24"/>
        </w:rPr>
      </w:pPr>
    </w:p>
    <w:p w14:paraId="6370DC95" w14:textId="76B721F7" w:rsidR="00124C58" w:rsidRPr="00DA7FAC" w:rsidRDefault="00124C58" w:rsidP="00124C58">
      <w:pPr>
        <w:pStyle w:val="Prrafodelista"/>
        <w:spacing w:after="0" w:line="240" w:lineRule="auto"/>
        <w:ind w:left="0"/>
        <w:jc w:val="both"/>
        <w:rPr>
          <w:rFonts w:ascii="Arial" w:hAnsi="Arial" w:cs="Arial"/>
          <w:sz w:val="24"/>
          <w:szCs w:val="24"/>
        </w:rPr>
      </w:pPr>
      <w:r w:rsidRPr="00DA7FAC">
        <w:rPr>
          <w:rFonts w:ascii="Arial" w:hAnsi="Arial" w:cs="Arial"/>
          <w:b/>
          <w:sz w:val="24"/>
          <w:szCs w:val="24"/>
        </w:rPr>
        <w:t>D A D O</w:t>
      </w:r>
      <w:r w:rsidR="00832DB0" w:rsidRPr="00DA7FAC">
        <w:rPr>
          <w:rFonts w:ascii="Arial" w:hAnsi="Arial" w:cs="Arial"/>
          <w:sz w:val="24"/>
          <w:szCs w:val="24"/>
        </w:rPr>
        <w:t xml:space="preserve"> en el salón de </w:t>
      </w:r>
      <w:r w:rsidR="00F7273E" w:rsidRPr="00DA7FAC">
        <w:rPr>
          <w:rFonts w:ascii="Arial" w:hAnsi="Arial" w:cs="Arial"/>
          <w:sz w:val="24"/>
          <w:szCs w:val="24"/>
        </w:rPr>
        <w:t>sesiones del</w:t>
      </w:r>
      <w:r w:rsidRPr="00DA7FAC">
        <w:rPr>
          <w:rFonts w:ascii="Arial" w:hAnsi="Arial" w:cs="Arial"/>
          <w:sz w:val="24"/>
          <w:szCs w:val="24"/>
        </w:rPr>
        <w:t xml:space="preserve"> Poder Legislativo en la Ci</w:t>
      </w:r>
      <w:r w:rsidR="009A397A" w:rsidRPr="00DA7FAC">
        <w:rPr>
          <w:rFonts w:ascii="Arial" w:hAnsi="Arial" w:cs="Arial"/>
          <w:sz w:val="24"/>
          <w:szCs w:val="24"/>
        </w:rPr>
        <w:t xml:space="preserve">udad de Chihuahua, Chihuahua a </w:t>
      </w:r>
      <w:r w:rsidR="004539EE">
        <w:rPr>
          <w:rFonts w:ascii="Arial" w:hAnsi="Arial" w:cs="Arial"/>
          <w:sz w:val="24"/>
          <w:szCs w:val="24"/>
        </w:rPr>
        <w:t xml:space="preserve">tres de abril </w:t>
      </w:r>
      <w:r w:rsidR="009A397A" w:rsidRPr="00DA7FAC">
        <w:rPr>
          <w:rFonts w:ascii="Arial" w:hAnsi="Arial" w:cs="Arial"/>
          <w:sz w:val="24"/>
          <w:szCs w:val="24"/>
        </w:rPr>
        <w:t>de dos mil veintitrés</w:t>
      </w:r>
      <w:r w:rsidRPr="00DA7FAC">
        <w:rPr>
          <w:rFonts w:ascii="Arial" w:hAnsi="Arial" w:cs="Arial"/>
          <w:sz w:val="24"/>
          <w:szCs w:val="24"/>
        </w:rPr>
        <w:t>.</w:t>
      </w:r>
    </w:p>
    <w:p w14:paraId="330BA967" w14:textId="77777777" w:rsidR="00560E91" w:rsidRPr="00DA7FAC" w:rsidRDefault="00560E91" w:rsidP="00124C58">
      <w:pPr>
        <w:pStyle w:val="Prrafodelista"/>
        <w:spacing w:after="0" w:line="240" w:lineRule="auto"/>
        <w:ind w:left="0"/>
        <w:jc w:val="both"/>
        <w:rPr>
          <w:rFonts w:ascii="Arial" w:hAnsi="Arial" w:cs="Arial"/>
          <w:sz w:val="24"/>
          <w:szCs w:val="24"/>
        </w:rPr>
      </w:pPr>
    </w:p>
    <w:p w14:paraId="616E91EF" w14:textId="77777777" w:rsidR="00560E91" w:rsidRPr="00DA7FAC" w:rsidRDefault="00560E91" w:rsidP="00124C58">
      <w:pPr>
        <w:pStyle w:val="Prrafodelista"/>
        <w:spacing w:after="0" w:line="240" w:lineRule="auto"/>
        <w:ind w:left="0"/>
        <w:jc w:val="both"/>
        <w:rPr>
          <w:rFonts w:ascii="Arial" w:hAnsi="Arial" w:cs="Arial"/>
          <w:b/>
          <w:sz w:val="24"/>
          <w:szCs w:val="24"/>
        </w:rPr>
      </w:pPr>
    </w:p>
    <w:p w14:paraId="5B32F9AD" w14:textId="77777777" w:rsidR="00050FD7" w:rsidRPr="00DA7FAC" w:rsidRDefault="00050FD7" w:rsidP="00124C58">
      <w:pPr>
        <w:pStyle w:val="Prrafodelista"/>
        <w:spacing w:after="0" w:line="240" w:lineRule="auto"/>
        <w:ind w:left="0"/>
        <w:jc w:val="both"/>
        <w:rPr>
          <w:rFonts w:ascii="Arial" w:hAnsi="Arial" w:cs="Arial"/>
          <w:b/>
          <w:sz w:val="24"/>
          <w:szCs w:val="24"/>
        </w:rPr>
      </w:pPr>
    </w:p>
    <w:p w14:paraId="22282836" w14:textId="77777777" w:rsidR="00021C0B" w:rsidRPr="00DA7FAC" w:rsidRDefault="00021C0B" w:rsidP="00021C0B">
      <w:pPr>
        <w:spacing w:line="276" w:lineRule="auto"/>
        <w:jc w:val="center"/>
        <w:rPr>
          <w:rFonts w:ascii="Arial" w:hAnsi="Arial" w:cs="Arial"/>
          <w:b/>
          <w:sz w:val="24"/>
          <w:szCs w:val="24"/>
        </w:rPr>
      </w:pPr>
      <w:r w:rsidRPr="00DA7FAC">
        <w:rPr>
          <w:rFonts w:ascii="Arial" w:hAnsi="Arial" w:cs="Arial"/>
          <w:b/>
          <w:sz w:val="24"/>
          <w:szCs w:val="24"/>
        </w:rPr>
        <w:t>A T E N T A M E N T E</w:t>
      </w:r>
    </w:p>
    <w:p w14:paraId="799B5F27" w14:textId="1A3623A4" w:rsidR="00021C0B" w:rsidRDefault="00021C0B" w:rsidP="00021C0B">
      <w:pPr>
        <w:pStyle w:val="Prrafodelista"/>
        <w:spacing w:line="276" w:lineRule="auto"/>
        <w:ind w:left="0"/>
        <w:jc w:val="both"/>
        <w:rPr>
          <w:rFonts w:ascii="Arial" w:hAnsi="Arial" w:cs="Arial"/>
          <w:b/>
          <w:sz w:val="24"/>
          <w:szCs w:val="24"/>
          <w:shd w:val="clear" w:color="auto" w:fill="FFFFFF"/>
        </w:rPr>
      </w:pPr>
    </w:p>
    <w:p w14:paraId="2A0217AE" w14:textId="77777777" w:rsidR="00D35FAD" w:rsidRPr="00DA7FAC" w:rsidRDefault="00D35FAD" w:rsidP="00021C0B">
      <w:pPr>
        <w:pStyle w:val="Prrafodelista"/>
        <w:spacing w:line="276" w:lineRule="auto"/>
        <w:ind w:left="0"/>
        <w:jc w:val="both"/>
        <w:rPr>
          <w:rFonts w:ascii="Arial" w:hAnsi="Arial" w:cs="Arial"/>
          <w:b/>
          <w:sz w:val="24"/>
          <w:szCs w:val="24"/>
          <w:shd w:val="clear" w:color="auto" w:fill="FFFFFF"/>
        </w:rPr>
      </w:pPr>
    </w:p>
    <w:p w14:paraId="037C8C90" w14:textId="2BED91B6" w:rsidR="00754F9B" w:rsidRDefault="00754F9B" w:rsidP="006732B2">
      <w:pPr>
        <w:jc w:val="center"/>
        <w:rPr>
          <w:rFonts w:ascii="Arial" w:eastAsia="Times New Roman" w:hAnsi="Arial" w:cs="Arial"/>
          <w:b/>
          <w:sz w:val="28"/>
          <w:szCs w:val="28"/>
        </w:rPr>
      </w:pPr>
      <w:proofErr w:type="spellStart"/>
      <w:r w:rsidRPr="00DA7FAC">
        <w:rPr>
          <w:rFonts w:ascii="Arial" w:hAnsi="Arial" w:cs="Arial"/>
          <w:b/>
          <w:sz w:val="28"/>
          <w:szCs w:val="28"/>
        </w:rPr>
        <w:t>Dip</w:t>
      </w:r>
      <w:proofErr w:type="spellEnd"/>
      <w:r w:rsidRPr="00DA7FAC">
        <w:rPr>
          <w:rFonts w:ascii="Arial" w:hAnsi="Arial" w:cs="Arial"/>
          <w:b/>
          <w:sz w:val="28"/>
          <w:szCs w:val="28"/>
        </w:rPr>
        <w:t>.</w:t>
      </w:r>
      <w:r w:rsidRPr="00DA7FAC">
        <w:rPr>
          <w:rFonts w:ascii="Arial" w:eastAsia="Times New Roman" w:hAnsi="Arial" w:cs="Arial"/>
          <w:b/>
          <w:sz w:val="28"/>
          <w:szCs w:val="28"/>
        </w:rPr>
        <w:t xml:space="preserve"> Edin Cuauhtémoc Estrada Sotelo</w:t>
      </w:r>
    </w:p>
    <w:p w14:paraId="53FBC038" w14:textId="77777777" w:rsidR="00D35FAD" w:rsidRPr="00DA7FAC" w:rsidRDefault="00D35FAD" w:rsidP="006732B2">
      <w:pPr>
        <w:jc w:val="center"/>
        <w:rPr>
          <w:rFonts w:ascii="Arial" w:hAnsi="Arial" w:cs="Arial"/>
          <w:b/>
          <w:sz w:val="24"/>
          <w:szCs w:val="24"/>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A7FAC" w:rsidRPr="00DA7FAC" w14:paraId="430F2E56" w14:textId="77777777" w:rsidTr="00DC7003">
        <w:trPr>
          <w:trHeight w:val="1701"/>
        </w:trPr>
        <w:tc>
          <w:tcPr>
            <w:tcW w:w="4414" w:type="dxa"/>
            <w:vAlign w:val="bottom"/>
          </w:tcPr>
          <w:p w14:paraId="6E78D278" w14:textId="77777777" w:rsidR="00D35FAD" w:rsidRDefault="00D35FAD" w:rsidP="00CA246E">
            <w:pPr>
              <w:jc w:val="center"/>
              <w:rPr>
                <w:rFonts w:ascii="Arial" w:hAnsi="Arial" w:cs="Arial"/>
                <w:b/>
                <w:bCs/>
                <w:sz w:val="28"/>
                <w:szCs w:val="28"/>
              </w:rPr>
            </w:pPr>
          </w:p>
          <w:p w14:paraId="2CCC127A" w14:textId="77777777" w:rsidR="00D35FAD" w:rsidRDefault="00D35FAD" w:rsidP="00CA246E">
            <w:pPr>
              <w:jc w:val="center"/>
              <w:rPr>
                <w:rFonts w:ascii="Arial" w:hAnsi="Arial" w:cs="Arial"/>
                <w:b/>
                <w:bCs/>
                <w:sz w:val="28"/>
                <w:szCs w:val="28"/>
              </w:rPr>
            </w:pPr>
          </w:p>
          <w:p w14:paraId="780ED7E9" w14:textId="2C2F4739" w:rsidR="00754F9B" w:rsidRPr="00DA7FAC" w:rsidRDefault="00754F9B" w:rsidP="00CA246E">
            <w:pPr>
              <w:jc w:val="center"/>
              <w:rPr>
                <w:rFonts w:ascii="Arial" w:hAnsi="Arial" w:cs="Arial"/>
                <w:b/>
                <w:bCs/>
                <w:sz w:val="28"/>
                <w:szCs w:val="28"/>
              </w:rPr>
            </w:pPr>
            <w:proofErr w:type="spellStart"/>
            <w:r w:rsidRPr="00DA7FAC">
              <w:rPr>
                <w:rFonts w:ascii="Arial" w:hAnsi="Arial" w:cs="Arial"/>
                <w:b/>
                <w:bCs/>
                <w:sz w:val="28"/>
                <w:szCs w:val="28"/>
              </w:rPr>
              <w:t>Dip</w:t>
            </w:r>
            <w:proofErr w:type="spellEnd"/>
            <w:r w:rsidRPr="00DA7FAC">
              <w:rPr>
                <w:rFonts w:ascii="Arial" w:hAnsi="Arial" w:cs="Arial"/>
                <w:b/>
                <w:bCs/>
                <w:sz w:val="28"/>
                <w:szCs w:val="28"/>
              </w:rPr>
              <w:t xml:space="preserve">. Leticia Ortega </w:t>
            </w:r>
          </w:p>
          <w:p w14:paraId="6C7DF356" w14:textId="77777777" w:rsidR="00754F9B" w:rsidRPr="00DA7FAC" w:rsidRDefault="00754F9B" w:rsidP="00CA246E">
            <w:pPr>
              <w:jc w:val="center"/>
              <w:rPr>
                <w:rFonts w:ascii="Arial" w:hAnsi="Arial" w:cs="Arial"/>
                <w:b/>
                <w:bCs/>
                <w:sz w:val="28"/>
                <w:szCs w:val="28"/>
              </w:rPr>
            </w:pPr>
            <w:r w:rsidRPr="00DA7FAC">
              <w:rPr>
                <w:rFonts w:ascii="Arial" w:hAnsi="Arial" w:cs="Arial"/>
                <w:b/>
                <w:bCs/>
                <w:sz w:val="28"/>
                <w:szCs w:val="28"/>
              </w:rPr>
              <w:t>Máynez</w:t>
            </w:r>
          </w:p>
        </w:tc>
        <w:tc>
          <w:tcPr>
            <w:tcW w:w="4414" w:type="dxa"/>
            <w:vAlign w:val="bottom"/>
          </w:tcPr>
          <w:p w14:paraId="36ED2773" w14:textId="77777777" w:rsidR="00754F9B" w:rsidRPr="00DA7FAC" w:rsidRDefault="00754F9B" w:rsidP="00CA246E">
            <w:pPr>
              <w:jc w:val="center"/>
              <w:rPr>
                <w:rFonts w:ascii="Arial" w:hAnsi="Arial" w:cs="Arial"/>
                <w:b/>
                <w:bCs/>
                <w:sz w:val="28"/>
                <w:szCs w:val="28"/>
              </w:rPr>
            </w:pPr>
            <w:proofErr w:type="spellStart"/>
            <w:r w:rsidRPr="00DA7FAC">
              <w:rPr>
                <w:rFonts w:ascii="Arial" w:hAnsi="Arial" w:cs="Arial"/>
                <w:b/>
                <w:bCs/>
                <w:sz w:val="28"/>
                <w:szCs w:val="28"/>
              </w:rPr>
              <w:t>Dip</w:t>
            </w:r>
            <w:proofErr w:type="spellEnd"/>
            <w:r w:rsidRPr="00DA7FAC">
              <w:rPr>
                <w:rFonts w:ascii="Arial" w:hAnsi="Arial" w:cs="Arial"/>
                <w:b/>
                <w:bCs/>
                <w:sz w:val="28"/>
                <w:szCs w:val="28"/>
              </w:rPr>
              <w:t>. Óscar Daniel Avitia Arellanes</w:t>
            </w:r>
          </w:p>
        </w:tc>
      </w:tr>
      <w:tr w:rsidR="00DA7FAC" w:rsidRPr="00DA7FAC" w14:paraId="643A5BA7" w14:textId="77777777" w:rsidTr="00DC7003">
        <w:trPr>
          <w:trHeight w:val="1701"/>
        </w:trPr>
        <w:tc>
          <w:tcPr>
            <w:tcW w:w="4414" w:type="dxa"/>
            <w:vAlign w:val="bottom"/>
          </w:tcPr>
          <w:p w14:paraId="38715EA0" w14:textId="77777777" w:rsidR="00754F9B" w:rsidRPr="00DA7FAC" w:rsidRDefault="00754F9B" w:rsidP="00CA246E">
            <w:pPr>
              <w:jc w:val="center"/>
              <w:rPr>
                <w:rFonts w:ascii="Arial" w:hAnsi="Arial" w:cs="Arial"/>
                <w:b/>
                <w:bCs/>
                <w:sz w:val="28"/>
                <w:szCs w:val="28"/>
              </w:rPr>
            </w:pPr>
            <w:proofErr w:type="spellStart"/>
            <w:r w:rsidRPr="00DA7FAC">
              <w:rPr>
                <w:rFonts w:ascii="Arial" w:hAnsi="Arial" w:cs="Arial"/>
                <w:b/>
                <w:bCs/>
                <w:sz w:val="28"/>
                <w:szCs w:val="28"/>
              </w:rPr>
              <w:lastRenderedPageBreak/>
              <w:t>Dip</w:t>
            </w:r>
            <w:proofErr w:type="spellEnd"/>
            <w:r w:rsidRPr="00DA7FAC">
              <w:rPr>
                <w:rFonts w:ascii="Arial" w:hAnsi="Arial" w:cs="Arial"/>
                <w:b/>
                <w:bCs/>
                <w:sz w:val="28"/>
                <w:szCs w:val="28"/>
              </w:rPr>
              <w:t xml:space="preserve">. Rosana Díaz </w:t>
            </w:r>
          </w:p>
          <w:p w14:paraId="7048019B" w14:textId="77777777" w:rsidR="00754F9B" w:rsidRPr="00DA7FAC" w:rsidRDefault="00754F9B" w:rsidP="00CA246E">
            <w:pPr>
              <w:jc w:val="center"/>
              <w:rPr>
                <w:rFonts w:ascii="Arial" w:hAnsi="Arial" w:cs="Arial"/>
                <w:b/>
                <w:bCs/>
                <w:sz w:val="28"/>
                <w:szCs w:val="28"/>
              </w:rPr>
            </w:pPr>
            <w:r w:rsidRPr="00DA7FAC">
              <w:rPr>
                <w:rFonts w:ascii="Arial" w:hAnsi="Arial" w:cs="Arial"/>
                <w:b/>
                <w:bCs/>
                <w:sz w:val="28"/>
                <w:szCs w:val="28"/>
              </w:rPr>
              <w:t>Reyes</w:t>
            </w:r>
          </w:p>
        </w:tc>
        <w:tc>
          <w:tcPr>
            <w:tcW w:w="4414" w:type="dxa"/>
            <w:vAlign w:val="bottom"/>
          </w:tcPr>
          <w:p w14:paraId="15727D37" w14:textId="77777777" w:rsidR="00754F9B" w:rsidRPr="00DA7FAC" w:rsidRDefault="00754F9B" w:rsidP="00CA246E">
            <w:pPr>
              <w:jc w:val="center"/>
              <w:rPr>
                <w:rFonts w:ascii="Arial" w:hAnsi="Arial" w:cs="Arial"/>
                <w:b/>
                <w:bCs/>
                <w:sz w:val="28"/>
                <w:szCs w:val="28"/>
              </w:rPr>
            </w:pPr>
            <w:proofErr w:type="spellStart"/>
            <w:r w:rsidRPr="00DA7FAC">
              <w:rPr>
                <w:rFonts w:ascii="Arial" w:hAnsi="Arial" w:cs="Arial"/>
                <w:b/>
                <w:bCs/>
                <w:sz w:val="28"/>
                <w:szCs w:val="28"/>
              </w:rPr>
              <w:t>Dip</w:t>
            </w:r>
            <w:proofErr w:type="spellEnd"/>
            <w:r w:rsidRPr="00DA7FAC">
              <w:rPr>
                <w:rFonts w:ascii="Arial" w:hAnsi="Arial" w:cs="Arial"/>
                <w:b/>
                <w:bCs/>
                <w:sz w:val="28"/>
                <w:szCs w:val="28"/>
              </w:rPr>
              <w:t xml:space="preserve">. Gustavo de la Rosa </w:t>
            </w:r>
            <w:proofErr w:type="spellStart"/>
            <w:r w:rsidRPr="00DA7FAC">
              <w:rPr>
                <w:rFonts w:ascii="Arial" w:hAnsi="Arial" w:cs="Arial"/>
                <w:b/>
                <w:bCs/>
                <w:sz w:val="28"/>
                <w:szCs w:val="28"/>
              </w:rPr>
              <w:t>Hickerson</w:t>
            </w:r>
            <w:proofErr w:type="spellEnd"/>
          </w:p>
        </w:tc>
      </w:tr>
      <w:tr w:rsidR="00DA7FAC" w:rsidRPr="00DA7FAC" w14:paraId="598AB11F" w14:textId="77777777" w:rsidTr="00DC7003">
        <w:trPr>
          <w:trHeight w:val="1701"/>
        </w:trPr>
        <w:tc>
          <w:tcPr>
            <w:tcW w:w="4414" w:type="dxa"/>
            <w:vAlign w:val="bottom"/>
          </w:tcPr>
          <w:p w14:paraId="2DDB0A1C" w14:textId="77777777" w:rsidR="00754F9B" w:rsidRPr="00DA7FAC" w:rsidRDefault="00754F9B" w:rsidP="00CA246E">
            <w:pPr>
              <w:jc w:val="center"/>
              <w:rPr>
                <w:rFonts w:ascii="Arial" w:eastAsia="Times New Roman" w:hAnsi="Arial" w:cs="Arial"/>
                <w:b/>
                <w:sz w:val="28"/>
                <w:szCs w:val="28"/>
              </w:rPr>
            </w:pPr>
            <w:proofErr w:type="spellStart"/>
            <w:r w:rsidRPr="00DA7FAC">
              <w:rPr>
                <w:rFonts w:ascii="Arial" w:eastAsia="Times New Roman" w:hAnsi="Arial" w:cs="Arial"/>
                <w:b/>
                <w:sz w:val="28"/>
                <w:szCs w:val="28"/>
              </w:rPr>
              <w:t>Dip</w:t>
            </w:r>
            <w:proofErr w:type="spellEnd"/>
            <w:r w:rsidRPr="00DA7FAC">
              <w:rPr>
                <w:rFonts w:ascii="Arial" w:eastAsia="Times New Roman" w:hAnsi="Arial" w:cs="Arial"/>
                <w:b/>
                <w:sz w:val="28"/>
                <w:szCs w:val="28"/>
              </w:rPr>
              <w:t xml:space="preserve">. Magdalena Rentería </w:t>
            </w:r>
          </w:p>
          <w:p w14:paraId="471F91FD" w14:textId="77777777" w:rsidR="00754F9B" w:rsidRPr="00DA7FAC" w:rsidRDefault="00754F9B" w:rsidP="00CA246E">
            <w:pPr>
              <w:jc w:val="center"/>
              <w:rPr>
                <w:rFonts w:ascii="Arial" w:hAnsi="Arial" w:cs="Arial"/>
                <w:b/>
                <w:bCs/>
                <w:sz w:val="28"/>
                <w:szCs w:val="28"/>
              </w:rPr>
            </w:pPr>
            <w:r w:rsidRPr="00DA7FAC">
              <w:rPr>
                <w:rFonts w:ascii="Arial" w:eastAsia="Times New Roman" w:hAnsi="Arial" w:cs="Arial"/>
                <w:b/>
                <w:sz w:val="28"/>
                <w:szCs w:val="28"/>
              </w:rPr>
              <w:t>Pérez</w:t>
            </w:r>
          </w:p>
        </w:tc>
        <w:tc>
          <w:tcPr>
            <w:tcW w:w="4414" w:type="dxa"/>
            <w:vAlign w:val="bottom"/>
          </w:tcPr>
          <w:p w14:paraId="21306B22" w14:textId="77777777" w:rsidR="00754F9B" w:rsidRPr="00DA7FAC" w:rsidRDefault="00754F9B" w:rsidP="00CA246E">
            <w:pPr>
              <w:jc w:val="center"/>
              <w:rPr>
                <w:rFonts w:ascii="Arial" w:hAnsi="Arial" w:cs="Arial"/>
                <w:b/>
                <w:bCs/>
                <w:sz w:val="28"/>
                <w:szCs w:val="28"/>
              </w:rPr>
            </w:pPr>
            <w:proofErr w:type="spellStart"/>
            <w:r w:rsidRPr="00DA7FAC">
              <w:rPr>
                <w:rFonts w:ascii="Arial" w:hAnsi="Arial" w:cs="Arial"/>
                <w:b/>
                <w:bCs/>
                <w:sz w:val="28"/>
                <w:szCs w:val="28"/>
              </w:rPr>
              <w:t>Dip</w:t>
            </w:r>
            <w:proofErr w:type="spellEnd"/>
            <w:r w:rsidRPr="00DA7FAC">
              <w:rPr>
                <w:rFonts w:ascii="Arial" w:hAnsi="Arial" w:cs="Arial"/>
                <w:b/>
                <w:bCs/>
                <w:sz w:val="28"/>
                <w:szCs w:val="28"/>
              </w:rPr>
              <w:t>. María Antonieta Pérez Reyes</w:t>
            </w:r>
          </w:p>
        </w:tc>
      </w:tr>
      <w:tr w:rsidR="00DA7FAC" w:rsidRPr="00DA7FAC" w14:paraId="568BBCC5" w14:textId="77777777" w:rsidTr="00DC7003">
        <w:trPr>
          <w:trHeight w:val="1701"/>
        </w:trPr>
        <w:tc>
          <w:tcPr>
            <w:tcW w:w="4414" w:type="dxa"/>
            <w:vAlign w:val="bottom"/>
          </w:tcPr>
          <w:p w14:paraId="38B9CDD3" w14:textId="77777777" w:rsidR="00754F9B" w:rsidRPr="00DA7FAC" w:rsidRDefault="00754F9B" w:rsidP="00CA246E">
            <w:pPr>
              <w:jc w:val="center"/>
              <w:rPr>
                <w:rFonts w:ascii="Arial" w:hAnsi="Arial" w:cs="Arial"/>
                <w:b/>
                <w:bCs/>
                <w:sz w:val="28"/>
                <w:szCs w:val="28"/>
              </w:rPr>
            </w:pPr>
            <w:proofErr w:type="spellStart"/>
            <w:r w:rsidRPr="00DA7FAC">
              <w:rPr>
                <w:rFonts w:ascii="Arial" w:hAnsi="Arial" w:cs="Arial"/>
                <w:b/>
                <w:bCs/>
                <w:sz w:val="28"/>
                <w:szCs w:val="28"/>
              </w:rPr>
              <w:t>Dip</w:t>
            </w:r>
            <w:proofErr w:type="spellEnd"/>
            <w:r w:rsidRPr="00DA7FAC">
              <w:rPr>
                <w:rFonts w:ascii="Arial" w:hAnsi="Arial" w:cs="Arial"/>
                <w:b/>
                <w:bCs/>
                <w:sz w:val="28"/>
                <w:szCs w:val="28"/>
              </w:rPr>
              <w:t xml:space="preserve">. Benjamín Carrera </w:t>
            </w:r>
          </w:p>
          <w:p w14:paraId="4B19F024" w14:textId="77777777" w:rsidR="00754F9B" w:rsidRPr="00DA7FAC" w:rsidRDefault="00754F9B" w:rsidP="00CA246E">
            <w:pPr>
              <w:jc w:val="center"/>
              <w:rPr>
                <w:rFonts w:ascii="Arial" w:hAnsi="Arial" w:cs="Arial"/>
                <w:b/>
                <w:bCs/>
                <w:sz w:val="28"/>
                <w:szCs w:val="28"/>
              </w:rPr>
            </w:pPr>
            <w:r w:rsidRPr="00DA7FAC">
              <w:rPr>
                <w:rFonts w:ascii="Arial" w:hAnsi="Arial" w:cs="Arial"/>
                <w:b/>
                <w:bCs/>
                <w:sz w:val="28"/>
                <w:szCs w:val="28"/>
              </w:rPr>
              <w:t>Chávez</w:t>
            </w:r>
          </w:p>
        </w:tc>
        <w:tc>
          <w:tcPr>
            <w:tcW w:w="4414" w:type="dxa"/>
            <w:vAlign w:val="bottom"/>
          </w:tcPr>
          <w:p w14:paraId="3D1E82C6" w14:textId="77777777" w:rsidR="00754F9B" w:rsidRPr="00DA7FAC" w:rsidRDefault="00754F9B" w:rsidP="00CA246E">
            <w:pPr>
              <w:jc w:val="center"/>
              <w:rPr>
                <w:rFonts w:ascii="Arial" w:hAnsi="Arial" w:cs="Arial"/>
                <w:b/>
                <w:bCs/>
                <w:sz w:val="28"/>
                <w:szCs w:val="28"/>
              </w:rPr>
            </w:pPr>
            <w:proofErr w:type="spellStart"/>
            <w:r w:rsidRPr="00DA7FAC">
              <w:rPr>
                <w:rFonts w:ascii="Arial" w:hAnsi="Arial" w:cs="Arial"/>
                <w:b/>
                <w:bCs/>
                <w:sz w:val="28"/>
                <w:szCs w:val="28"/>
              </w:rPr>
              <w:t>Dip</w:t>
            </w:r>
            <w:proofErr w:type="spellEnd"/>
            <w:r w:rsidRPr="00DA7FAC">
              <w:rPr>
                <w:rFonts w:ascii="Arial" w:hAnsi="Arial" w:cs="Arial"/>
                <w:b/>
                <w:bCs/>
                <w:sz w:val="28"/>
                <w:szCs w:val="28"/>
              </w:rPr>
              <w:t>. David Oscar Castrejón Rivas</w:t>
            </w:r>
          </w:p>
        </w:tc>
      </w:tr>
      <w:tr w:rsidR="00DC7003" w:rsidRPr="00DA7FAC" w14:paraId="7C2C5A55" w14:textId="77777777" w:rsidTr="00DC7003">
        <w:trPr>
          <w:trHeight w:val="1701"/>
        </w:trPr>
        <w:tc>
          <w:tcPr>
            <w:tcW w:w="8828" w:type="dxa"/>
            <w:gridSpan w:val="2"/>
            <w:vAlign w:val="bottom"/>
          </w:tcPr>
          <w:p w14:paraId="281D03ED" w14:textId="6D20CE50" w:rsidR="00DC7003" w:rsidRPr="00DA7FAC" w:rsidRDefault="00DC7003" w:rsidP="00DC7003">
            <w:pPr>
              <w:jc w:val="center"/>
              <w:rPr>
                <w:rFonts w:ascii="Arial" w:hAnsi="Arial" w:cs="Arial"/>
                <w:sz w:val="28"/>
                <w:szCs w:val="28"/>
              </w:rPr>
            </w:pPr>
            <w:proofErr w:type="spellStart"/>
            <w:r w:rsidRPr="00DA7FAC">
              <w:rPr>
                <w:rFonts w:ascii="Arial" w:hAnsi="Arial" w:cs="Arial"/>
                <w:b/>
                <w:bCs/>
                <w:sz w:val="28"/>
                <w:szCs w:val="28"/>
              </w:rPr>
              <w:t>Dip</w:t>
            </w:r>
            <w:proofErr w:type="spellEnd"/>
            <w:r w:rsidRPr="00DA7FAC">
              <w:rPr>
                <w:rFonts w:ascii="Arial" w:hAnsi="Arial" w:cs="Arial"/>
                <w:b/>
                <w:bCs/>
                <w:sz w:val="28"/>
                <w:szCs w:val="28"/>
              </w:rPr>
              <w:t>. Ilse América García Soto</w:t>
            </w:r>
          </w:p>
        </w:tc>
      </w:tr>
    </w:tbl>
    <w:p w14:paraId="47C5D7E2" w14:textId="77777777" w:rsidR="00754F9B" w:rsidRPr="00DA7FAC" w:rsidRDefault="00754F9B" w:rsidP="00DC7003">
      <w:pPr>
        <w:pStyle w:val="Prrafodelista"/>
        <w:spacing w:line="276" w:lineRule="auto"/>
        <w:ind w:left="0"/>
        <w:jc w:val="center"/>
        <w:rPr>
          <w:rFonts w:ascii="Arial" w:hAnsi="Arial" w:cs="Arial"/>
          <w:b/>
          <w:sz w:val="24"/>
          <w:szCs w:val="24"/>
          <w:shd w:val="clear" w:color="auto" w:fill="FFFFFF"/>
        </w:rPr>
      </w:pPr>
    </w:p>
    <w:p w14:paraId="4E521B30" w14:textId="77777777" w:rsidR="00021C0B" w:rsidRPr="00DA7FAC" w:rsidRDefault="00021C0B" w:rsidP="00021C0B">
      <w:pPr>
        <w:pStyle w:val="Prrafodelista"/>
        <w:spacing w:line="276" w:lineRule="auto"/>
        <w:ind w:left="0"/>
        <w:jc w:val="both"/>
        <w:rPr>
          <w:rFonts w:ascii="Arial" w:hAnsi="Arial" w:cs="Arial"/>
          <w:b/>
          <w:sz w:val="24"/>
          <w:szCs w:val="24"/>
          <w:shd w:val="clear" w:color="auto" w:fill="FFFFFF"/>
        </w:rPr>
      </w:pPr>
      <w:bookmarkStart w:id="3" w:name="_Hlk126153208"/>
    </w:p>
    <w:p w14:paraId="5DF9C930" w14:textId="77777777" w:rsidR="004136F1" w:rsidRPr="00DA7FAC" w:rsidRDefault="004136F1" w:rsidP="004136F1">
      <w:pPr>
        <w:spacing w:line="276" w:lineRule="auto"/>
        <w:jc w:val="both"/>
        <w:rPr>
          <w:rFonts w:ascii="Arial" w:hAnsi="Arial" w:cs="Arial"/>
          <w:sz w:val="24"/>
          <w:szCs w:val="24"/>
        </w:rPr>
      </w:pPr>
    </w:p>
    <w:p w14:paraId="52A82A20" w14:textId="1C02028B" w:rsidR="004136F1" w:rsidRPr="00DA7FAC" w:rsidRDefault="004136F1" w:rsidP="004136F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sz w:val="18"/>
          <w:szCs w:val="18"/>
          <w:lang w:val="es-ES"/>
        </w:rPr>
      </w:pPr>
      <w:r w:rsidRPr="00DA7FAC">
        <w:rPr>
          <w:rFonts w:ascii="Arial" w:hAnsi="Arial" w:cs="Arial"/>
          <w:sz w:val="18"/>
          <w:szCs w:val="18"/>
          <w:lang w:val="es-ES"/>
        </w:rPr>
        <w:t>La presente hoja de firmas corresponde a la proposición con el carácter de punto de Acuerdo, para exhortar</w:t>
      </w:r>
      <w:r w:rsidR="00C47D0B" w:rsidRPr="00DA7FAC">
        <w:rPr>
          <w:rFonts w:ascii="Arial" w:hAnsi="Arial" w:cs="Arial"/>
          <w:sz w:val="18"/>
          <w:szCs w:val="18"/>
          <w:lang w:val="es-ES"/>
        </w:rPr>
        <w:t xml:space="preserve"> al Ejecutivo Estatal a través </w:t>
      </w:r>
      <w:bookmarkEnd w:id="3"/>
      <w:r w:rsidR="005C6681" w:rsidRPr="005C6681">
        <w:rPr>
          <w:rFonts w:ascii="Arial" w:hAnsi="Arial" w:cs="Arial"/>
          <w:sz w:val="18"/>
          <w:szCs w:val="18"/>
          <w:lang w:val="es-ES"/>
        </w:rPr>
        <w:t>de las Secretarías de Hacienda y Desarrollo Rural, a fin de que incremente el monto económico convenido con FIRA, Banco de México, que permita superar el 1% de lo que hoy en día se podrá dispersar en financiamiento al sector agropecuario con garantía líquida aportada por el estado de Chihuahua</w:t>
      </w:r>
    </w:p>
    <w:sectPr w:rsidR="004136F1" w:rsidRPr="00DA7FAC" w:rsidSect="00AB34FA">
      <w:headerReference w:type="default" r:id="rId7"/>
      <w:footerReference w:type="default" r:id="rId8"/>
      <w:pgSz w:w="12240" w:h="15840"/>
      <w:pgMar w:top="2835" w:right="1701" w:bottom="1418" w:left="1701" w:header="426"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F983" w14:textId="77777777" w:rsidR="009E555F" w:rsidRDefault="009E555F">
      <w:r>
        <w:separator/>
      </w:r>
    </w:p>
  </w:endnote>
  <w:endnote w:type="continuationSeparator" w:id="0">
    <w:p w14:paraId="47B9D8BC" w14:textId="77777777" w:rsidR="009E555F" w:rsidRDefault="009E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2AE9F62" w14:textId="77777777" w:rsidR="0029440A" w:rsidRPr="00161933" w:rsidRDefault="0029440A" w:rsidP="0029440A">
            <w:pPr>
              <w:pStyle w:val="Piedepgina"/>
              <w:tabs>
                <w:tab w:val="left" w:pos="270"/>
              </w:tabs>
              <w:rPr>
                <w:color w:val="525252" w:themeColor="accent3" w:themeShade="80"/>
              </w:rPr>
            </w:pPr>
            <w:r>
              <w:rPr>
                <w:color w:val="525252" w:themeColor="accent3" w:themeShade="80"/>
              </w:rPr>
              <w:tab/>
            </w:r>
            <w:r>
              <w:rPr>
                <w:color w:val="525252" w:themeColor="accent3" w:themeShade="80"/>
              </w:rPr>
              <w:tab/>
            </w:r>
            <w:r>
              <w:rPr>
                <w:color w:val="525252" w:themeColor="accent3" w:themeShade="80"/>
              </w:rPr>
              <w:tab/>
            </w: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561314">
              <w:rPr>
                <w:rFonts w:ascii="Century Gothic" w:hAnsi="Century Gothic"/>
                <w:b/>
                <w:bCs/>
                <w:noProof/>
                <w:color w:val="525252" w:themeColor="accent3" w:themeShade="80"/>
                <w:sz w:val="16"/>
                <w:szCs w:val="16"/>
              </w:rPr>
              <w:t>1</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561314">
              <w:rPr>
                <w:rFonts w:ascii="Century Gothic" w:hAnsi="Century Gothic"/>
                <w:b/>
                <w:bCs/>
                <w:noProof/>
                <w:color w:val="525252" w:themeColor="accent3" w:themeShade="80"/>
                <w:sz w:val="16"/>
                <w:szCs w:val="16"/>
              </w:rPr>
              <w:t>3</w:t>
            </w:r>
            <w:r w:rsidRPr="00161933">
              <w:rPr>
                <w:rFonts w:ascii="Century Gothic" w:hAnsi="Century Gothic"/>
                <w:b/>
                <w:bCs/>
                <w:color w:val="525252" w:themeColor="accent3" w:themeShade="80"/>
                <w:sz w:val="16"/>
                <w:szCs w:val="16"/>
              </w:rPr>
              <w:fldChar w:fldCharType="end"/>
            </w:r>
          </w:p>
        </w:sdtContent>
      </w:sdt>
    </w:sdtContent>
  </w:sdt>
  <w:p w14:paraId="00251A9E" w14:textId="77777777" w:rsidR="0029440A" w:rsidRDefault="002944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9DCB" w14:textId="77777777" w:rsidR="009E555F" w:rsidRDefault="009E555F">
      <w:r>
        <w:separator/>
      </w:r>
    </w:p>
  </w:footnote>
  <w:footnote w:type="continuationSeparator" w:id="0">
    <w:p w14:paraId="787FCAA0" w14:textId="77777777" w:rsidR="009E555F" w:rsidRDefault="009E555F">
      <w:r>
        <w:continuationSeparator/>
      </w:r>
    </w:p>
  </w:footnote>
  <w:footnote w:id="1">
    <w:p w14:paraId="67E1DB89" w14:textId="1D11AF7B" w:rsidR="006732B2" w:rsidRDefault="006732B2">
      <w:pPr>
        <w:pStyle w:val="Textonotapie"/>
      </w:pPr>
      <w:r>
        <w:rPr>
          <w:rStyle w:val="Refdenotaalpie"/>
        </w:rPr>
        <w:footnoteRef/>
      </w:r>
      <w:r>
        <w:t xml:space="preserve"> </w:t>
      </w:r>
      <w:hyperlink r:id="rId1" w:history="1">
        <w:r w:rsidRPr="00105F07">
          <w:rPr>
            <w:rStyle w:val="Hipervnculo"/>
          </w:rPr>
          <w:t>https://gcma.com.mx/descargas/perspectivas-agroalimentarias-2023/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9832" w14:textId="77777777" w:rsidR="0075167B" w:rsidRDefault="0029440A" w:rsidP="0029440A">
    <w:pPr>
      <w:pStyle w:val="Encabezado"/>
      <w:jc w:val="right"/>
      <w:rPr>
        <w:rFonts w:ascii="Century Gothic" w:hAnsi="Century Gothic"/>
        <w:b/>
        <w:bCs/>
        <w:i/>
        <w:iCs/>
        <w:sz w:val="22"/>
        <w:szCs w:val="22"/>
      </w:rPr>
    </w:pPr>
    <w:r>
      <w:rPr>
        <w:rFonts w:ascii="Century Gothic" w:hAnsi="Century Gothic"/>
        <w:b/>
        <w:bCs/>
        <w:i/>
        <w:iCs/>
        <w:sz w:val="22"/>
        <w:szCs w:val="22"/>
      </w:rPr>
      <w:t>“</w:t>
    </w:r>
    <w:r w:rsidR="0075167B">
      <w:rPr>
        <w:rFonts w:ascii="Century Gothic" w:hAnsi="Century Gothic"/>
        <w:b/>
        <w:bCs/>
        <w:i/>
        <w:iCs/>
        <w:sz w:val="22"/>
        <w:szCs w:val="22"/>
      </w:rPr>
      <w:t>2023, Centenario de la Muerte del General Francisco Villa”</w:t>
    </w:r>
  </w:p>
  <w:p w14:paraId="2CB333D9" w14:textId="0638A16A" w:rsidR="0029440A" w:rsidRDefault="0075167B" w:rsidP="0029440A">
    <w:pPr>
      <w:pStyle w:val="Encabezado"/>
      <w:jc w:val="right"/>
      <w:rPr>
        <w:rFonts w:ascii="Century Gothic" w:hAnsi="Century Gothic"/>
        <w:b/>
        <w:bCs/>
        <w:i/>
        <w:iCs/>
        <w:sz w:val="22"/>
        <w:szCs w:val="22"/>
      </w:rPr>
    </w:pPr>
    <w:r>
      <w:rPr>
        <w:rFonts w:ascii="Century Gothic" w:hAnsi="Century Gothic"/>
        <w:b/>
        <w:bCs/>
        <w:i/>
        <w:iCs/>
        <w:sz w:val="22"/>
        <w:szCs w:val="22"/>
      </w:rPr>
      <w:t xml:space="preserve">“2023, </w:t>
    </w:r>
    <w:proofErr w:type="gramStart"/>
    <w:r>
      <w:rPr>
        <w:rFonts w:ascii="Century Gothic" w:hAnsi="Century Gothic"/>
        <w:b/>
        <w:bCs/>
        <w:i/>
        <w:iCs/>
        <w:sz w:val="22"/>
        <w:szCs w:val="22"/>
      </w:rPr>
      <w:t>Cien año</w:t>
    </w:r>
    <w:proofErr w:type="gramEnd"/>
    <w:r>
      <w:rPr>
        <w:rFonts w:ascii="Century Gothic" w:hAnsi="Century Gothic"/>
        <w:b/>
        <w:bCs/>
        <w:i/>
        <w:iCs/>
        <w:sz w:val="22"/>
        <w:szCs w:val="22"/>
      </w:rPr>
      <w:t xml:space="preserve"> del </w:t>
    </w:r>
    <w:proofErr w:type="spellStart"/>
    <w:r>
      <w:rPr>
        <w:rFonts w:ascii="Century Gothic" w:hAnsi="Century Gothic"/>
        <w:b/>
        <w:bCs/>
        <w:i/>
        <w:iCs/>
        <w:sz w:val="22"/>
        <w:szCs w:val="22"/>
      </w:rPr>
      <w:t>Rotarismo</w:t>
    </w:r>
    <w:proofErr w:type="spellEnd"/>
    <w:r>
      <w:rPr>
        <w:rFonts w:ascii="Century Gothic" w:hAnsi="Century Gothic"/>
        <w:b/>
        <w:bCs/>
        <w:i/>
        <w:iCs/>
        <w:sz w:val="22"/>
        <w:szCs w:val="22"/>
      </w:rPr>
      <w:t xml:space="preserve"> en Chihuahua”</w:t>
    </w:r>
    <w:r w:rsidR="0029440A">
      <w:rPr>
        <w:rFonts w:ascii="Century Gothic" w:hAnsi="Century Gothic"/>
        <w:b/>
        <w:bCs/>
        <w:i/>
        <w:iCs/>
        <w:sz w:val="22"/>
        <w:szCs w:val="22"/>
      </w:rPr>
      <w:t xml:space="preserve"> </w:t>
    </w:r>
  </w:p>
  <w:p w14:paraId="71D8D4F6" w14:textId="77777777" w:rsidR="0029440A" w:rsidRPr="009E2E14" w:rsidRDefault="0029440A">
    <w:pPr>
      <w:pStyle w:val="Encabezado"/>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58"/>
    <w:rsid w:val="00006A80"/>
    <w:rsid w:val="00010AB8"/>
    <w:rsid w:val="00021063"/>
    <w:rsid w:val="00021C0B"/>
    <w:rsid w:val="00034B1A"/>
    <w:rsid w:val="00050FD7"/>
    <w:rsid w:val="000613B4"/>
    <w:rsid w:val="00093B08"/>
    <w:rsid w:val="00097655"/>
    <w:rsid w:val="000A2B38"/>
    <w:rsid w:val="000B30D3"/>
    <w:rsid w:val="000C4809"/>
    <w:rsid w:val="00105168"/>
    <w:rsid w:val="00124C58"/>
    <w:rsid w:val="00150410"/>
    <w:rsid w:val="001637AB"/>
    <w:rsid w:val="001A37A4"/>
    <w:rsid w:val="001B5878"/>
    <w:rsid w:val="001C71D2"/>
    <w:rsid w:val="001D686B"/>
    <w:rsid w:val="001E09BA"/>
    <w:rsid w:val="00200584"/>
    <w:rsid w:val="002142B8"/>
    <w:rsid w:val="002259D9"/>
    <w:rsid w:val="00234995"/>
    <w:rsid w:val="002358E2"/>
    <w:rsid w:val="002639F3"/>
    <w:rsid w:val="00265646"/>
    <w:rsid w:val="002811C1"/>
    <w:rsid w:val="0029440A"/>
    <w:rsid w:val="002A2F8A"/>
    <w:rsid w:val="002C424D"/>
    <w:rsid w:val="002D75F4"/>
    <w:rsid w:val="002E4975"/>
    <w:rsid w:val="002F7ADF"/>
    <w:rsid w:val="003005FB"/>
    <w:rsid w:val="00300E78"/>
    <w:rsid w:val="0030384E"/>
    <w:rsid w:val="003209E2"/>
    <w:rsid w:val="003248FB"/>
    <w:rsid w:val="00327966"/>
    <w:rsid w:val="00357421"/>
    <w:rsid w:val="003627A1"/>
    <w:rsid w:val="0036341C"/>
    <w:rsid w:val="003765EF"/>
    <w:rsid w:val="00387CB9"/>
    <w:rsid w:val="00392E59"/>
    <w:rsid w:val="00395A2D"/>
    <w:rsid w:val="003C09F7"/>
    <w:rsid w:val="003D6ADC"/>
    <w:rsid w:val="003D766B"/>
    <w:rsid w:val="003F1F7F"/>
    <w:rsid w:val="003F304C"/>
    <w:rsid w:val="003F4858"/>
    <w:rsid w:val="003F73A6"/>
    <w:rsid w:val="004136F1"/>
    <w:rsid w:val="00414EE4"/>
    <w:rsid w:val="004539EE"/>
    <w:rsid w:val="00476F01"/>
    <w:rsid w:val="004A21F9"/>
    <w:rsid w:val="004A2333"/>
    <w:rsid w:val="004F6C7F"/>
    <w:rsid w:val="00552743"/>
    <w:rsid w:val="00560E91"/>
    <w:rsid w:val="00561314"/>
    <w:rsid w:val="00562EE8"/>
    <w:rsid w:val="00595266"/>
    <w:rsid w:val="00596A2C"/>
    <w:rsid w:val="005B23F6"/>
    <w:rsid w:val="005B29A7"/>
    <w:rsid w:val="005B5489"/>
    <w:rsid w:val="005C6681"/>
    <w:rsid w:val="005D3271"/>
    <w:rsid w:val="006009BF"/>
    <w:rsid w:val="006016E3"/>
    <w:rsid w:val="006022C3"/>
    <w:rsid w:val="00604FD8"/>
    <w:rsid w:val="006167B4"/>
    <w:rsid w:val="00630137"/>
    <w:rsid w:val="00646068"/>
    <w:rsid w:val="00667B41"/>
    <w:rsid w:val="006732B2"/>
    <w:rsid w:val="006B13F5"/>
    <w:rsid w:val="006B4A46"/>
    <w:rsid w:val="006D2210"/>
    <w:rsid w:val="006D268D"/>
    <w:rsid w:val="006E161E"/>
    <w:rsid w:val="006E42EE"/>
    <w:rsid w:val="007003A1"/>
    <w:rsid w:val="00710C0F"/>
    <w:rsid w:val="007144EB"/>
    <w:rsid w:val="00734FFE"/>
    <w:rsid w:val="0075167B"/>
    <w:rsid w:val="00754F9B"/>
    <w:rsid w:val="0075559D"/>
    <w:rsid w:val="00764C13"/>
    <w:rsid w:val="00766A45"/>
    <w:rsid w:val="00775372"/>
    <w:rsid w:val="0078144D"/>
    <w:rsid w:val="007824BE"/>
    <w:rsid w:val="00794331"/>
    <w:rsid w:val="00797B97"/>
    <w:rsid w:val="007B1E73"/>
    <w:rsid w:val="00801293"/>
    <w:rsid w:val="00803FA7"/>
    <w:rsid w:val="00813F14"/>
    <w:rsid w:val="008210F7"/>
    <w:rsid w:val="00832DB0"/>
    <w:rsid w:val="0086521E"/>
    <w:rsid w:val="00893521"/>
    <w:rsid w:val="008A2746"/>
    <w:rsid w:val="008C319F"/>
    <w:rsid w:val="008C7742"/>
    <w:rsid w:val="008F0859"/>
    <w:rsid w:val="008F4E02"/>
    <w:rsid w:val="009405FD"/>
    <w:rsid w:val="00953AA6"/>
    <w:rsid w:val="009A0C76"/>
    <w:rsid w:val="009A2D15"/>
    <w:rsid w:val="009A397A"/>
    <w:rsid w:val="009B59A3"/>
    <w:rsid w:val="009D0BB0"/>
    <w:rsid w:val="009E555F"/>
    <w:rsid w:val="009F0CEF"/>
    <w:rsid w:val="00A105F7"/>
    <w:rsid w:val="00A11C45"/>
    <w:rsid w:val="00A15BAA"/>
    <w:rsid w:val="00A42B80"/>
    <w:rsid w:val="00A45E96"/>
    <w:rsid w:val="00A74659"/>
    <w:rsid w:val="00A929C2"/>
    <w:rsid w:val="00AA5150"/>
    <w:rsid w:val="00AB34FA"/>
    <w:rsid w:val="00AC18EB"/>
    <w:rsid w:val="00AF0482"/>
    <w:rsid w:val="00B0322E"/>
    <w:rsid w:val="00B13B24"/>
    <w:rsid w:val="00B25946"/>
    <w:rsid w:val="00B66153"/>
    <w:rsid w:val="00B84CBC"/>
    <w:rsid w:val="00B871C3"/>
    <w:rsid w:val="00B95E6E"/>
    <w:rsid w:val="00BB615C"/>
    <w:rsid w:val="00C05FCB"/>
    <w:rsid w:val="00C1682E"/>
    <w:rsid w:val="00C323E4"/>
    <w:rsid w:val="00C43762"/>
    <w:rsid w:val="00C47D0B"/>
    <w:rsid w:val="00C563D5"/>
    <w:rsid w:val="00C93643"/>
    <w:rsid w:val="00C97E02"/>
    <w:rsid w:val="00CA4C2E"/>
    <w:rsid w:val="00CB57B8"/>
    <w:rsid w:val="00CE23B1"/>
    <w:rsid w:val="00CF36CC"/>
    <w:rsid w:val="00D11DB9"/>
    <w:rsid w:val="00D14A09"/>
    <w:rsid w:val="00D35FAD"/>
    <w:rsid w:val="00D44AB1"/>
    <w:rsid w:val="00D46E84"/>
    <w:rsid w:val="00D924FC"/>
    <w:rsid w:val="00D9421E"/>
    <w:rsid w:val="00DA2938"/>
    <w:rsid w:val="00DA7FAC"/>
    <w:rsid w:val="00DB5259"/>
    <w:rsid w:val="00DC44E9"/>
    <w:rsid w:val="00DC7003"/>
    <w:rsid w:val="00DF5274"/>
    <w:rsid w:val="00E045FC"/>
    <w:rsid w:val="00E26C86"/>
    <w:rsid w:val="00E53ACD"/>
    <w:rsid w:val="00E54B81"/>
    <w:rsid w:val="00EA7A57"/>
    <w:rsid w:val="00EA7E5D"/>
    <w:rsid w:val="00EC2F8D"/>
    <w:rsid w:val="00EC3911"/>
    <w:rsid w:val="00EF0BDE"/>
    <w:rsid w:val="00F053D2"/>
    <w:rsid w:val="00F7273E"/>
    <w:rsid w:val="00F7372D"/>
    <w:rsid w:val="00F81E55"/>
    <w:rsid w:val="00F82D0F"/>
    <w:rsid w:val="00FA38AD"/>
    <w:rsid w:val="00FC1C06"/>
    <w:rsid w:val="00FC2A0F"/>
    <w:rsid w:val="00FF06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9B3449"/>
  <w15:chartTrackingRefBased/>
  <w15:docId w15:val="{68D45A0D-1B80-4437-A184-486A1032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58"/>
    <w:pPr>
      <w:spacing w:after="0" w:line="240" w:lineRule="auto"/>
    </w:pPr>
    <w:rPr>
      <w:rFonts w:ascii="Times New Roman" w:eastAsia="MS Mincho"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24C58"/>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24C58"/>
    <w:pPr>
      <w:spacing w:before="100" w:beforeAutospacing="1" w:after="100" w:afterAutospacing="1"/>
    </w:pPr>
    <w:rPr>
      <w:rFonts w:eastAsia="Times New Roman"/>
      <w:sz w:val="24"/>
      <w:szCs w:val="24"/>
      <w:lang w:eastAsia="es-MX"/>
    </w:rPr>
  </w:style>
  <w:style w:type="paragraph" w:styleId="Encabezado">
    <w:name w:val="header"/>
    <w:basedOn w:val="Normal"/>
    <w:link w:val="EncabezadoCar"/>
    <w:uiPriority w:val="99"/>
    <w:unhideWhenUsed/>
    <w:rsid w:val="00124C58"/>
    <w:pPr>
      <w:tabs>
        <w:tab w:val="center" w:pos="4419"/>
        <w:tab w:val="right" w:pos="8838"/>
      </w:tabs>
    </w:pPr>
  </w:style>
  <w:style w:type="character" w:customStyle="1" w:styleId="EncabezadoCar">
    <w:name w:val="Encabezado Car"/>
    <w:basedOn w:val="Fuentedeprrafopredeter"/>
    <w:link w:val="Encabezado"/>
    <w:uiPriority w:val="99"/>
    <w:rsid w:val="00124C58"/>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124C58"/>
    <w:pPr>
      <w:tabs>
        <w:tab w:val="center" w:pos="4419"/>
        <w:tab w:val="right" w:pos="8838"/>
      </w:tabs>
    </w:pPr>
  </w:style>
  <w:style w:type="character" w:customStyle="1" w:styleId="PiedepginaCar">
    <w:name w:val="Pie de página Car"/>
    <w:basedOn w:val="Fuentedeprrafopredeter"/>
    <w:link w:val="Piedepgina"/>
    <w:uiPriority w:val="99"/>
    <w:rsid w:val="00124C58"/>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124C58"/>
  </w:style>
  <w:style w:type="table" w:customStyle="1" w:styleId="Tablaconcuadrcula1">
    <w:name w:val="Tabla con cuadrícula1"/>
    <w:basedOn w:val="Tablanormal"/>
    <w:next w:val="Tablaconcuadrcula"/>
    <w:uiPriority w:val="39"/>
    <w:rsid w:val="00124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24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30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30D3"/>
    <w:rPr>
      <w:rFonts w:ascii="Segoe UI" w:eastAsia="MS Mincho" w:hAnsi="Segoe UI" w:cs="Segoe UI"/>
      <w:sz w:val="18"/>
      <w:szCs w:val="18"/>
      <w:lang w:eastAsia="es-ES"/>
    </w:rPr>
  </w:style>
  <w:style w:type="paragraph" w:styleId="Textonotapie">
    <w:name w:val="footnote text"/>
    <w:basedOn w:val="Normal"/>
    <w:link w:val="TextonotapieCar"/>
    <w:uiPriority w:val="99"/>
    <w:semiHidden/>
    <w:unhideWhenUsed/>
    <w:rsid w:val="006732B2"/>
  </w:style>
  <w:style w:type="character" w:customStyle="1" w:styleId="TextonotapieCar">
    <w:name w:val="Texto nota pie Car"/>
    <w:basedOn w:val="Fuentedeprrafopredeter"/>
    <w:link w:val="Textonotapie"/>
    <w:uiPriority w:val="99"/>
    <w:semiHidden/>
    <w:rsid w:val="006732B2"/>
    <w:rPr>
      <w:rFonts w:ascii="Times New Roman" w:eastAsia="MS Mincho" w:hAnsi="Times New Roman" w:cs="Times New Roman"/>
      <w:sz w:val="20"/>
      <w:szCs w:val="20"/>
      <w:lang w:eastAsia="es-ES"/>
    </w:rPr>
  </w:style>
  <w:style w:type="character" w:styleId="Refdenotaalpie">
    <w:name w:val="footnote reference"/>
    <w:basedOn w:val="Fuentedeprrafopredeter"/>
    <w:uiPriority w:val="99"/>
    <w:semiHidden/>
    <w:unhideWhenUsed/>
    <w:rsid w:val="006732B2"/>
    <w:rPr>
      <w:vertAlign w:val="superscript"/>
    </w:rPr>
  </w:style>
  <w:style w:type="character" w:styleId="Hipervnculo">
    <w:name w:val="Hyperlink"/>
    <w:basedOn w:val="Fuentedeprrafopredeter"/>
    <w:uiPriority w:val="99"/>
    <w:unhideWhenUsed/>
    <w:rsid w:val="006732B2"/>
    <w:rPr>
      <w:color w:val="0563C1" w:themeColor="hyperlink"/>
      <w:u w:val="single"/>
    </w:rPr>
  </w:style>
  <w:style w:type="character" w:styleId="Mencinsinresolver">
    <w:name w:val="Unresolved Mention"/>
    <w:basedOn w:val="Fuentedeprrafopredeter"/>
    <w:uiPriority w:val="99"/>
    <w:semiHidden/>
    <w:unhideWhenUsed/>
    <w:rsid w:val="00673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34484">
      <w:bodyDiv w:val="1"/>
      <w:marLeft w:val="0"/>
      <w:marRight w:val="0"/>
      <w:marTop w:val="0"/>
      <w:marBottom w:val="0"/>
      <w:divBdr>
        <w:top w:val="none" w:sz="0" w:space="0" w:color="auto"/>
        <w:left w:val="none" w:sz="0" w:space="0" w:color="auto"/>
        <w:bottom w:val="none" w:sz="0" w:space="0" w:color="auto"/>
        <w:right w:val="none" w:sz="0" w:space="0" w:color="auto"/>
      </w:divBdr>
    </w:div>
    <w:div w:id="655843985">
      <w:bodyDiv w:val="1"/>
      <w:marLeft w:val="0"/>
      <w:marRight w:val="0"/>
      <w:marTop w:val="0"/>
      <w:marBottom w:val="0"/>
      <w:divBdr>
        <w:top w:val="none" w:sz="0" w:space="0" w:color="auto"/>
        <w:left w:val="none" w:sz="0" w:space="0" w:color="auto"/>
        <w:bottom w:val="none" w:sz="0" w:space="0" w:color="auto"/>
        <w:right w:val="none" w:sz="0" w:space="0" w:color="auto"/>
      </w:divBdr>
    </w:div>
    <w:div w:id="1660231285">
      <w:bodyDiv w:val="1"/>
      <w:marLeft w:val="0"/>
      <w:marRight w:val="0"/>
      <w:marTop w:val="0"/>
      <w:marBottom w:val="0"/>
      <w:divBdr>
        <w:top w:val="none" w:sz="0" w:space="0" w:color="auto"/>
        <w:left w:val="none" w:sz="0" w:space="0" w:color="auto"/>
        <w:bottom w:val="none" w:sz="0" w:space="0" w:color="auto"/>
        <w:right w:val="none" w:sz="0" w:space="0" w:color="auto"/>
      </w:divBdr>
    </w:div>
    <w:div w:id="2106416194">
      <w:bodyDiv w:val="1"/>
      <w:marLeft w:val="0"/>
      <w:marRight w:val="0"/>
      <w:marTop w:val="0"/>
      <w:marBottom w:val="0"/>
      <w:divBdr>
        <w:top w:val="none" w:sz="0" w:space="0" w:color="auto"/>
        <w:left w:val="none" w:sz="0" w:space="0" w:color="auto"/>
        <w:bottom w:val="none" w:sz="0" w:space="0" w:color="auto"/>
        <w:right w:val="none" w:sz="0" w:space="0" w:color="auto"/>
      </w:divBdr>
    </w:div>
    <w:div w:id="211998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cma.com.mx/descargas/perspectivas-agroalimentarias-2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F4E8-057A-41FC-8FA4-40A29B58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9781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dc:creator>
  <cp:keywords/>
  <dc:description/>
  <cp:lastModifiedBy>Brenda Sarahi Gonzalez Dominguez</cp:lastModifiedBy>
  <cp:revision>2</cp:revision>
  <cp:lastPrinted>2023-02-01T18:53:00Z</cp:lastPrinted>
  <dcterms:created xsi:type="dcterms:W3CDTF">2023-03-31T16:25:00Z</dcterms:created>
  <dcterms:modified xsi:type="dcterms:W3CDTF">2023-03-31T16:25:00Z</dcterms:modified>
</cp:coreProperties>
</file>