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136DEF" w14:textId="52359F33" w:rsidR="00C40C6D" w:rsidRPr="00DB1D51" w:rsidRDefault="00C40C6D" w:rsidP="00DB1D51">
      <w:pPr>
        <w:spacing w:after="0" w:line="360" w:lineRule="auto"/>
        <w:jc w:val="both"/>
        <w:rPr>
          <w:rFonts w:ascii="Century Gothic" w:hAnsi="Century Gothic" w:cs="Arial"/>
          <w:b/>
          <w:sz w:val="24"/>
          <w:szCs w:val="24"/>
        </w:rPr>
      </w:pPr>
      <w:bookmarkStart w:id="0" w:name="_GoBack"/>
      <w:bookmarkEnd w:id="0"/>
      <w:r w:rsidRPr="00DB1D51">
        <w:rPr>
          <w:rFonts w:ascii="Century Gothic" w:hAnsi="Century Gothic" w:cs="Arial"/>
          <w:b/>
          <w:sz w:val="24"/>
          <w:szCs w:val="24"/>
        </w:rPr>
        <w:t>H. CONGRESO DEL ESTADO</w:t>
      </w:r>
      <w:r w:rsidR="00877CFD" w:rsidRPr="00DB1D51">
        <w:rPr>
          <w:rFonts w:ascii="Century Gothic" w:hAnsi="Century Gothic" w:cs="Arial"/>
          <w:b/>
          <w:sz w:val="24"/>
          <w:szCs w:val="24"/>
        </w:rPr>
        <w:t xml:space="preserve"> DE CHIHUAHUA</w:t>
      </w:r>
      <w:r w:rsidR="005F09AF">
        <w:rPr>
          <w:rFonts w:ascii="Century Gothic" w:hAnsi="Century Gothic" w:cs="Arial"/>
          <w:b/>
          <w:sz w:val="24"/>
          <w:szCs w:val="24"/>
        </w:rPr>
        <w:t>.</w:t>
      </w:r>
    </w:p>
    <w:p w14:paraId="15C2F9CE" w14:textId="77777777" w:rsidR="00570DC5" w:rsidRPr="00DB1D51" w:rsidRDefault="00570DC5" w:rsidP="00DB1D51">
      <w:pPr>
        <w:spacing w:after="0" w:line="360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DB1D51">
        <w:rPr>
          <w:rFonts w:ascii="Century Gothic" w:hAnsi="Century Gothic" w:cs="Arial"/>
          <w:b/>
          <w:sz w:val="24"/>
          <w:szCs w:val="24"/>
        </w:rPr>
        <w:t xml:space="preserve">P R E S E N T E. </w:t>
      </w:r>
    </w:p>
    <w:p w14:paraId="73F61000" w14:textId="77777777" w:rsidR="00570DC5" w:rsidRPr="00DB1D51" w:rsidRDefault="00570DC5" w:rsidP="00DB1D51">
      <w:pPr>
        <w:spacing w:after="0" w:line="360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14:paraId="4AF4AEBA" w14:textId="155752CD" w:rsidR="00E85E61" w:rsidRPr="0027355A" w:rsidRDefault="00DB1D51" w:rsidP="00DB1D51">
      <w:pPr>
        <w:spacing w:after="0" w:line="360" w:lineRule="auto"/>
        <w:jc w:val="both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Quienes</w:t>
      </w:r>
      <w:r w:rsidR="002620BF" w:rsidRPr="00DB1D51">
        <w:rPr>
          <w:rFonts w:ascii="Century Gothic" w:hAnsi="Century Gothic" w:cs="Arial"/>
          <w:sz w:val="24"/>
          <w:szCs w:val="24"/>
        </w:rPr>
        <w:t xml:space="preserve"> suscrib</w:t>
      </w:r>
      <w:r w:rsidR="004F0ACE">
        <w:rPr>
          <w:rFonts w:ascii="Century Gothic" w:hAnsi="Century Gothic" w:cs="Arial"/>
          <w:sz w:val="24"/>
          <w:szCs w:val="24"/>
        </w:rPr>
        <w:t>imos</w:t>
      </w:r>
      <w:r w:rsidR="002620BF" w:rsidRPr="00DB1D51">
        <w:rPr>
          <w:rFonts w:ascii="Century Gothic" w:hAnsi="Century Gothic" w:cs="Arial"/>
          <w:sz w:val="24"/>
          <w:szCs w:val="24"/>
        </w:rPr>
        <w:t xml:space="preserve">, </w:t>
      </w:r>
      <w:r w:rsidR="00D96985" w:rsidRPr="00DB1D51">
        <w:rPr>
          <w:rFonts w:ascii="Century Gothic" w:hAnsi="Century Gothic" w:cs="Arial"/>
          <w:b/>
          <w:sz w:val="24"/>
          <w:szCs w:val="24"/>
        </w:rPr>
        <w:t>Benjamín Carrera Chávez</w:t>
      </w:r>
      <w:r w:rsidR="00D96985">
        <w:rPr>
          <w:rFonts w:ascii="Century Gothic" w:hAnsi="Century Gothic" w:cs="Arial"/>
          <w:b/>
          <w:sz w:val="24"/>
          <w:szCs w:val="24"/>
        </w:rPr>
        <w:t xml:space="preserve">, </w:t>
      </w:r>
      <w:r w:rsidR="002620BF" w:rsidRPr="00DB1D51">
        <w:rPr>
          <w:rFonts w:ascii="Century Gothic" w:hAnsi="Century Gothic" w:cs="Arial"/>
          <w:b/>
          <w:sz w:val="24"/>
          <w:szCs w:val="24"/>
        </w:rPr>
        <w:t>Edin Cuauhtémoc Estrada Sotelo, Leticia Ortega Máynez, Óscar Daniel Avitia Arellanes, Rosana Díaz Reyes</w:t>
      </w:r>
      <w:r w:rsidR="00E146B4">
        <w:rPr>
          <w:rFonts w:ascii="Century Gothic" w:hAnsi="Century Gothic" w:cs="Arial"/>
          <w:b/>
          <w:sz w:val="24"/>
          <w:szCs w:val="24"/>
        </w:rPr>
        <w:t xml:space="preserve">, </w:t>
      </w:r>
      <w:r w:rsidR="002620BF" w:rsidRPr="00DB1D51">
        <w:rPr>
          <w:rFonts w:ascii="Century Gothic" w:hAnsi="Century Gothic" w:cs="Arial"/>
          <w:b/>
          <w:sz w:val="24"/>
          <w:szCs w:val="24"/>
        </w:rPr>
        <w:t>Magdalena Rentería Pére</w:t>
      </w:r>
      <w:r w:rsidR="00F443C2" w:rsidRPr="00DB1D51">
        <w:rPr>
          <w:rFonts w:ascii="Century Gothic" w:hAnsi="Century Gothic" w:cs="Arial"/>
          <w:b/>
          <w:sz w:val="24"/>
          <w:szCs w:val="24"/>
        </w:rPr>
        <w:t>z, María Antonieta Pérez Reyes</w:t>
      </w:r>
      <w:r w:rsidR="00DB4FA6" w:rsidRPr="00DB1D51">
        <w:rPr>
          <w:rFonts w:ascii="Century Gothic" w:hAnsi="Century Gothic" w:cs="Arial"/>
          <w:b/>
          <w:sz w:val="24"/>
          <w:szCs w:val="24"/>
        </w:rPr>
        <w:t xml:space="preserve">, </w:t>
      </w:r>
      <w:r w:rsidR="002620BF" w:rsidRPr="00DB1D51">
        <w:rPr>
          <w:rFonts w:ascii="Century Gothic" w:hAnsi="Century Gothic" w:cs="Arial"/>
          <w:b/>
          <w:sz w:val="24"/>
          <w:szCs w:val="24"/>
        </w:rPr>
        <w:t>David Óscar Castrejón Rivas</w:t>
      </w:r>
      <w:r w:rsidR="008A4834" w:rsidRPr="00DB1D51">
        <w:rPr>
          <w:rFonts w:ascii="Century Gothic" w:hAnsi="Century Gothic" w:cs="Arial"/>
          <w:b/>
          <w:sz w:val="24"/>
          <w:szCs w:val="24"/>
        </w:rPr>
        <w:t xml:space="preserve"> e</w:t>
      </w:r>
      <w:r w:rsidR="00DB4FA6" w:rsidRPr="00DB1D51">
        <w:rPr>
          <w:rFonts w:ascii="Century Gothic" w:hAnsi="Century Gothic" w:cs="Arial"/>
          <w:b/>
          <w:sz w:val="24"/>
          <w:szCs w:val="24"/>
        </w:rPr>
        <w:t xml:space="preserve"> Ilse América García Soto</w:t>
      </w:r>
      <w:r w:rsidR="002620BF" w:rsidRPr="00DB1D51">
        <w:rPr>
          <w:rFonts w:ascii="Century Gothic" w:hAnsi="Century Gothic" w:cs="Arial"/>
          <w:bCs/>
          <w:sz w:val="24"/>
          <w:szCs w:val="24"/>
        </w:rPr>
        <w:t>, en nuestro carácter de Diputados de la</w:t>
      </w:r>
      <w:r w:rsidR="002620BF" w:rsidRPr="00DB1D51">
        <w:rPr>
          <w:rFonts w:ascii="Century Gothic" w:hAnsi="Century Gothic" w:cs="Arial"/>
          <w:sz w:val="24"/>
          <w:szCs w:val="24"/>
        </w:rPr>
        <w:t xml:space="preserve"> Sexagésima Séptima Legislatura del Honorable Congreso del Estado de Chihuahua e integrantes del </w:t>
      </w:r>
      <w:r w:rsidR="002620BF" w:rsidRPr="00DB1D51">
        <w:rPr>
          <w:rFonts w:ascii="Century Gothic" w:hAnsi="Century Gothic" w:cs="Arial"/>
          <w:bCs/>
          <w:sz w:val="24"/>
          <w:szCs w:val="24"/>
        </w:rPr>
        <w:t>Grupo Parlamentario de Morena</w:t>
      </w:r>
      <w:r w:rsidR="002620BF" w:rsidRPr="00DB1D51">
        <w:rPr>
          <w:rFonts w:ascii="Century Gothic" w:hAnsi="Century Gothic" w:cs="Arial"/>
          <w:sz w:val="24"/>
          <w:szCs w:val="24"/>
        </w:rPr>
        <w:t xml:space="preserve">, </w:t>
      </w:r>
      <w:r w:rsidR="004F0ACE">
        <w:rPr>
          <w:rFonts w:ascii="Century Gothic" w:eastAsia="Century Gothic" w:hAnsi="Century Gothic" w:cs="Century Gothic"/>
          <w:sz w:val="24"/>
          <w:szCs w:val="24"/>
        </w:rPr>
        <w:t xml:space="preserve">en uso de las atribuciones conferidas por los artículos 68 fracción I, de la Constitución Política del Estado de Chihuahua; 167, fracción I, de la Ley Orgánica del Poder Legislativo; así como los numerales 75 y 76 del Reglamento Interior y de Prácticas Parlamentarias del Poder Legislativo, nos permitimos someter a consideración de esta Honorable Representación, la siguiente </w:t>
      </w:r>
      <w:r w:rsidR="004F0ACE" w:rsidRPr="004F0ACE">
        <w:rPr>
          <w:rFonts w:ascii="Century Gothic" w:eastAsia="Century Gothic" w:hAnsi="Century Gothic" w:cs="Century Gothic"/>
          <w:b/>
          <w:bCs/>
          <w:sz w:val="24"/>
          <w:szCs w:val="24"/>
        </w:rPr>
        <w:t>PROPOSICIÓN con carácter de ACUERDO</w:t>
      </w:r>
      <w:r w:rsidR="004F0ACE">
        <w:rPr>
          <w:rFonts w:ascii="Century Gothic" w:eastAsia="Century Gothic" w:hAnsi="Century Gothic" w:cs="Century Gothic"/>
          <w:sz w:val="24"/>
          <w:szCs w:val="24"/>
        </w:rPr>
        <w:t xml:space="preserve"> al tenor de la siguiente:</w:t>
      </w:r>
    </w:p>
    <w:p w14:paraId="571B27DB" w14:textId="77777777" w:rsidR="00E85E61" w:rsidRPr="00DB1D51" w:rsidRDefault="00E85E61" w:rsidP="00DB1D51">
      <w:pPr>
        <w:spacing w:after="0" w:line="360" w:lineRule="auto"/>
        <w:jc w:val="both"/>
        <w:rPr>
          <w:rFonts w:ascii="Century Gothic" w:hAnsi="Century Gothic" w:cs="Arial"/>
          <w:bCs/>
          <w:sz w:val="24"/>
          <w:szCs w:val="24"/>
        </w:rPr>
      </w:pPr>
    </w:p>
    <w:p w14:paraId="02CE82A0" w14:textId="7D66313B" w:rsidR="0075244C" w:rsidRDefault="00D02970" w:rsidP="00DB1D51">
      <w:pPr>
        <w:spacing w:after="0" w:line="36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DB1D51">
        <w:rPr>
          <w:rFonts w:ascii="Century Gothic" w:hAnsi="Century Gothic" w:cs="Arial"/>
          <w:b/>
          <w:sz w:val="24"/>
          <w:szCs w:val="24"/>
        </w:rPr>
        <w:t>EXPOSICIÓN DE MOTIVOS</w:t>
      </w:r>
      <w:r w:rsidR="00FB2459" w:rsidRPr="00DB1D51">
        <w:rPr>
          <w:rFonts w:ascii="Century Gothic" w:hAnsi="Century Gothic" w:cs="Arial"/>
          <w:b/>
          <w:sz w:val="24"/>
          <w:szCs w:val="24"/>
        </w:rPr>
        <w:t>:</w:t>
      </w:r>
    </w:p>
    <w:p w14:paraId="547BB126" w14:textId="77777777" w:rsidR="00CB3F34" w:rsidRDefault="00CB3F34" w:rsidP="00DB1D51">
      <w:pPr>
        <w:spacing w:after="0" w:line="36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14:paraId="2BA6E461" w14:textId="692F3304" w:rsidR="006B0C47" w:rsidRDefault="00CB3F34" w:rsidP="00CB3F34">
      <w:pPr>
        <w:spacing w:after="0" w:line="360" w:lineRule="auto"/>
        <w:jc w:val="both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 w:cs="Arial"/>
          <w:bCs/>
          <w:sz w:val="24"/>
          <w:szCs w:val="24"/>
        </w:rPr>
        <w:t>De acuerdo con datos de la Organización Mundial de la Salud</w:t>
      </w:r>
      <w:r w:rsidR="0054096E">
        <w:rPr>
          <w:rFonts w:ascii="Century Gothic" w:hAnsi="Century Gothic" w:cs="Arial"/>
          <w:bCs/>
          <w:sz w:val="24"/>
          <w:szCs w:val="24"/>
        </w:rPr>
        <w:t>, en el periodo comprendido entre los años 2000 y 2050,</w:t>
      </w:r>
      <w:r>
        <w:rPr>
          <w:rFonts w:ascii="Century Gothic" w:hAnsi="Century Gothic" w:cs="Arial"/>
          <w:bCs/>
          <w:sz w:val="24"/>
          <w:szCs w:val="24"/>
        </w:rPr>
        <w:t xml:space="preserve"> la cantidad de personas de 80 años o más</w:t>
      </w:r>
      <w:r w:rsidR="0054096E">
        <w:rPr>
          <w:rFonts w:ascii="Century Gothic" w:hAnsi="Century Gothic" w:cs="Arial"/>
          <w:bCs/>
          <w:sz w:val="24"/>
          <w:szCs w:val="24"/>
        </w:rPr>
        <w:t xml:space="preserve"> se cuadruplicará hasta alcanzar la cifra de 395 millones, aumento que sería proporcional al número de personas adultas mayores que </w:t>
      </w:r>
      <w:r w:rsidR="008A26A6">
        <w:rPr>
          <w:rFonts w:ascii="Century Gothic" w:hAnsi="Century Gothic" w:cs="Arial"/>
          <w:bCs/>
          <w:sz w:val="24"/>
          <w:szCs w:val="24"/>
        </w:rPr>
        <w:t>requerirán de asistencia para cubrir sus necesidades.</w:t>
      </w:r>
    </w:p>
    <w:p w14:paraId="52C50B73" w14:textId="6C55234D" w:rsidR="008A26A6" w:rsidRDefault="008A26A6" w:rsidP="00CB3F34">
      <w:pPr>
        <w:spacing w:after="0" w:line="360" w:lineRule="auto"/>
        <w:jc w:val="both"/>
        <w:rPr>
          <w:rFonts w:ascii="Century Gothic" w:hAnsi="Century Gothic" w:cs="Arial"/>
          <w:bCs/>
          <w:sz w:val="24"/>
          <w:szCs w:val="24"/>
        </w:rPr>
      </w:pPr>
    </w:p>
    <w:p w14:paraId="193829BA" w14:textId="1765E75B" w:rsidR="008A26A6" w:rsidRDefault="008A26A6" w:rsidP="00CB3F34">
      <w:pPr>
        <w:spacing w:after="0" w:line="360" w:lineRule="auto"/>
        <w:jc w:val="both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 w:cs="Arial"/>
          <w:bCs/>
          <w:sz w:val="24"/>
          <w:szCs w:val="24"/>
        </w:rPr>
        <w:lastRenderedPageBreak/>
        <w:t>En este sentido, las casas de cuidado, asilos, residencias y hospitales son espacios en los que, personas con algún tipo de enfermedad degenerativa, deterioro físico o cualquier condición que dificulte la realización de actividades cotidianas, juegan un papel fundamental en conjunto con las familias de personas adultas mayores.</w:t>
      </w:r>
    </w:p>
    <w:p w14:paraId="3B695C36" w14:textId="77777777" w:rsidR="008A26A6" w:rsidRDefault="008A26A6" w:rsidP="00CB3F34">
      <w:pPr>
        <w:spacing w:after="0" w:line="360" w:lineRule="auto"/>
        <w:jc w:val="both"/>
        <w:rPr>
          <w:rFonts w:ascii="Century Gothic" w:hAnsi="Century Gothic" w:cs="Arial"/>
          <w:bCs/>
          <w:sz w:val="24"/>
          <w:szCs w:val="24"/>
        </w:rPr>
      </w:pPr>
    </w:p>
    <w:p w14:paraId="5671A9DB" w14:textId="4E312DB2" w:rsidR="008A26A6" w:rsidRDefault="008A26A6" w:rsidP="00CB3F34">
      <w:pPr>
        <w:spacing w:after="0" w:line="360" w:lineRule="auto"/>
        <w:jc w:val="both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 w:cs="Arial"/>
          <w:bCs/>
          <w:sz w:val="24"/>
          <w:szCs w:val="24"/>
        </w:rPr>
        <w:t>Sin embargo, hacerse cargo de las funciones de apoyo, atención y facilitación implica una responsabilidad que no es menor y requiere además de, disponibilidad de tiempo y esfuerzo, atender aquellos requerimientos en los aspectos emocional y afectivo.</w:t>
      </w:r>
    </w:p>
    <w:p w14:paraId="4FB2E99E" w14:textId="1DB93814" w:rsidR="008A26A6" w:rsidRDefault="008A26A6" w:rsidP="00CB3F34">
      <w:pPr>
        <w:spacing w:after="0" w:line="360" w:lineRule="auto"/>
        <w:jc w:val="both"/>
        <w:rPr>
          <w:rFonts w:ascii="Century Gothic" w:hAnsi="Century Gothic" w:cs="Arial"/>
          <w:bCs/>
          <w:sz w:val="24"/>
          <w:szCs w:val="24"/>
        </w:rPr>
      </w:pPr>
    </w:p>
    <w:p w14:paraId="65A91D66" w14:textId="61210293" w:rsidR="008A26A6" w:rsidRDefault="008A26A6" w:rsidP="00CB3F34">
      <w:pPr>
        <w:spacing w:after="0" w:line="360" w:lineRule="auto"/>
        <w:jc w:val="both"/>
        <w:rPr>
          <w:rFonts w:ascii="Century Gothic" w:hAnsi="Century Gothic" w:cs="Arial"/>
          <w:bCs/>
          <w:sz w:val="24"/>
          <w:szCs w:val="24"/>
        </w:rPr>
      </w:pPr>
      <w:r>
        <w:rPr>
          <w:rFonts w:ascii="Century Gothic" w:hAnsi="Century Gothic" w:cs="Arial"/>
          <w:bCs/>
          <w:sz w:val="24"/>
          <w:szCs w:val="24"/>
        </w:rPr>
        <w:t xml:space="preserve">Ahora bien, conforme la Ley de los Derechos de las Personas Adultos </w:t>
      </w:r>
      <w:r w:rsidR="00EE7D91">
        <w:rPr>
          <w:rFonts w:ascii="Century Gothic" w:hAnsi="Century Gothic" w:cs="Arial"/>
          <w:bCs/>
          <w:sz w:val="24"/>
          <w:szCs w:val="24"/>
        </w:rPr>
        <w:t>Mayores, se</w:t>
      </w:r>
      <w:r>
        <w:rPr>
          <w:rFonts w:ascii="Century Gothic" w:hAnsi="Century Gothic" w:cs="Arial"/>
          <w:bCs/>
          <w:sz w:val="24"/>
          <w:szCs w:val="24"/>
        </w:rPr>
        <w:t xml:space="preserve"> contempla que una persona de este rango etario es aquella que cuenta con 60 años o más de edad</w:t>
      </w:r>
      <w:r w:rsidR="00BF0489">
        <w:rPr>
          <w:rFonts w:ascii="Century Gothic" w:hAnsi="Century Gothic" w:cs="Arial"/>
          <w:bCs/>
          <w:sz w:val="24"/>
          <w:szCs w:val="24"/>
        </w:rPr>
        <w:t xml:space="preserve">; en este sentido, las proyecciones del Consejo Nacional de Población estiman que el número de adultos mayores en México ronda los 32.4 millones, que equivaldría a poco más del 20% de la población en </w:t>
      </w:r>
      <w:r w:rsidR="00EE7D91">
        <w:rPr>
          <w:rFonts w:ascii="Century Gothic" w:hAnsi="Century Gothic" w:cs="Arial"/>
          <w:bCs/>
          <w:sz w:val="24"/>
          <w:szCs w:val="24"/>
        </w:rPr>
        <w:t>México,</w:t>
      </w:r>
      <w:r w:rsidR="00BF0489">
        <w:rPr>
          <w:rFonts w:ascii="Century Gothic" w:hAnsi="Century Gothic" w:cs="Arial"/>
          <w:bCs/>
          <w:sz w:val="24"/>
          <w:szCs w:val="24"/>
        </w:rPr>
        <w:t xml:space="preserve"> aunque se prevé que aumente de la misma manera que prevé la OMS para el año 2050.</w:t>
      </w:r>
    </w:p>
    <w:p w14:paraId="13C2693E" w14:textId="77777777" w:rsidR="00BF0489" w:rsidRDefault="00BF0489" w:rsidP="00CB3F34">
      <w:pPr>
        <w:spacing w:after="0" w:line="360" w:lineRule="auto"/>
        <w:jc w:val="both"/>
        <w:rPr>
          <w:rFonts w:ascii="Century Gothic" w:hAnsi="Century Gothic" w:cs="Arial"/>
          <w:bCs/>
          <w:sz w:val="24"/>
          <w:szCs w:val="24"/>
        </w:rPr>
      </w:pPr>
    </w:p>
    <w:p w14:paraId="49D362F0" w14:textId="77777777" w:rsidR="00BF0489" w:rsidRDefault="00BF0489" w:rsidP="00BF048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F0489">
        <w:rPr>
          <w:rFonts w:ascii="Century Gothic" w:hAnsi="Century Gothic" w:cs="Arial"/>
          <w:bCs/>
          <w:sz w:val="24"/>
          <w:szCs w:val="24"/>
        </w:rPr>
        <w:t xml:space="preserve">Ahora bien, en el caso de Chihuahua, de conformidad con el Censo de Población y Vivienda del año 2020, en el estado habitan </w:t>
      </w:r>
      <w:r w:rsidR="00C3588E" w:rsidRPr="00BF0489">
        <w:rPr>
          <w:rFonts w:ascii="Century Gothic" w:hAnsi="Century Gothic"/>
          <w:sz w:val="24"/>
          <w:szCs w:val="24"/>
        </w:rPr>
        <w:t>278,960 adultos mayores de 65 años</w:t>
      </w:r>
      <w:r w:rsidRPr="00BF0489">
        <w:rPr>
          <w:rFonts w:ascii="Century Gothic" w:hAnsi="Century Gothic"/>
          <w:sz w:val="24"/>
          <w:szCs w:val="24"/>
        </w:rPr>
        <w:t xml:space="preserve">, de los cuales, </w:t>
      </w:r>
      <w:r w:rsidR="00C3588E" w:rsidRPr="00BF0489">
        <w:rPr>
          <w:rFonts w:ascii="Century Gothic" w:hAnsi="Century Gothic"/>
          <w:sz w:val="24"/>
          <w:szCs w:val="24"/>
        </w:rPr>
        <w:t>poco más de 140 mil se encuentran en alguna condición de vulnerabilidad</w:t>
      </w:r>
      <w:r>
        <w:rPr>
          <w:rFonts w:ascii="Century Gothic" w:hAnsi="Century Gothic"/>
          <w:sz w:val="24"/>
          <w:szCs w:val="24"/>
        </w:rPr>
        <w:t xml:space="preserve"> que responde a la falta de pensión, la falta de familiares directos que les brinden apoyo o bien, que se encuentren viviendo en asilos.</w:t>
      </w:r>
    </w:p>
    <w:p w14:paraId="3BB0D143" w14:textId="13B1ED64" w:rsidR="00BF0489" w:rsidRDefault="00BF0489" w:rsidP="00BF048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 xml:space="preserve">Por otra parte, </w:t>
      </w:r>
      <w:r w:rsidR="00E24023">
        <w:rPr>
          <w:rFonts w:ascii="Century Gothic" w:hAnsi="Century Gothic"/>
          <w:sz w:val="24"/>
          <w:szCs w:val="24"/>
        </w:rPr>
        <w:t xml:space="preserve">de acuerdo con el Informe de Pobreza y Evaluación de CONEVAL, </w:t>
      </w:r>
      <w:r>
        <w:rPr>
          <w:rFonts w:ascii="Century Gothic" w:hAnsi="Century Gothic"/>
          <w:sz w:val="24"/>
          <w:szCs w:val="24"/>
        </w:rPr>
        <w:t>e</w:t>
      </w:r>
      <w:r w:rsidR="00E24023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 2018 nuestra entidad se ubicó en el lugar número 24 a nivel nacional por el porcentaje de adultos mayores en situación de pobreza, cifra que ha disminuido considerablemente respecto al 2014, año en el que alcanzó una cifra del 42.6%</w:t>
      </w:r>
      <w:r w:rsidR="00E24023">
        <w:rPr>
          <w:rFonts w:ascii="Century Gothic" w:hAnsi="Century Gothic"/>
          <w:sz w:val="24"/>
          <w:szCs w:val="24"/>
        </w:rPr>
        <w:t>.</w:t>
      </w:r>
    </w:p>
    <w:p w14:paraId="2BECD505" w14:textId="720F28AC" w:rsidR="00E24023" w:rsidRDefault="00E24023" w:rsidP="00BF048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44937CA" w14:textId="37EE2B02" w:rsidR="00B06285" w:rsidRDefault="00E24023" w:rsidP="00BF048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Ahora bien, de entre las dificultades que enfrentan las personas adultas mayores por el proceso natural del envejecimiento además de las complicaciones en su salud, se suman condiciones personales </w:t>
      </w:r>
      <w:r w:rsidR="004F5441">
        <w:rPr>
          <w:rFonts w:ascii="Century Gothic" w:hAnsi="Century Gothic"/>
          <w:sz w:val="24"/>
          <w:szCs w:val="24"/>
        </w:rPr>
        <w:t>o bien necesidades que requieren de una atención especializada y de personal capacitado</w:t>
      </w:r>
      <w:r w:rsidR="00890949">
        <w:rPr>
          <w:rFonts w:ascii="Century Gothic" w:hAnsi="Century Gothic"/>
          <w:sz w:val="24"/>
          <w:szCs w:val="24"/>
        </w:rPr>
        <w:t xml:space="preserve">, situaciones </w:t>
      </w:r>
      <w:r>
        <w:rPr>
          <w:rFonts w:ascii="Century Gothic" w:hAnsi="Century Gothic"/>
          <w:sz w:val="24"/>
          <w:szCs w:val="24"/>
        </w:rPr>
        <w:t>que llevan a multitud de familias a recurrir a las casas de cuidado ya sean privadas o del estado.</w:t>
      </w:r>
    </w:p>
    <w:p w14:paraId="1DE0C1CF" w14:textId="3BDD1230" w:rsidR="00890949" w:rsidRDefault="00890949" w:rsidP="00BF048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449C002" w14:textId="51D5CACC" w:rsidR="00B06285" w:rsidRDefault="00890949" w:rsidP="00BF048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En relación a lo anterior, es necesario puntualizar que existen quejas recurrentes que en nuestras oficinas respecto a las condiciones de algunas de las casas de retiro que se traducen en negligencia y maltrato a las personas mayores</w:t>
      </w:r>
      <w:r w:rsidR="00B06285">
        <w:rPr>
          <w:rFonts w:ascii="Century Gothic" w:hAnsi="Century Gothic"/>
          <w:sz w:val="24"/>
          <w:szCs w:val="24"/>
        </w:rPr>
        <w:t>.</w:t>
      </w:r>
    </w:p>
    <w:p w14:paraId="11D1D512" w14:textId="39E7C8AA" w:rsidR="00B06285" w:rsidRDefault="00B06285" w:rsidP="00BF048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D5A8758" w14:textId="12EB8C72" w:rsidR="00890949" w:rsidRPr="00890949" w:rsidRDefault="00B06285" w:rsidP="00BF048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06285">
        <w:rPr>
          <w:rFonts w:ascii="Century Gothic" w:hAnsi="Century Gothic" w:cs="Arial"/>
          <w:sz w:val="24"/>
          <w:szCs w:val="24"/>
          <w:shd w:val="clear" w:color="auto" w:fill="FFFFFF"/>
        </w:rPr>
        <w:t xml:space="preserve">Si bien, las personas mayores son titulares de la amplia gama de derechos universales, así como de otros que les son muy específicos como grupo etario y la legislación en Chihuahua no es la excepción, </w:t>
      </w:r>
      <w:r>
        <w:rPr>
          <w:rFonts w:ascii="Century Gothic" w:hAnsi="Century Gothic"/>
          <w:sz w:val="24"/>
          <w:szCs w:val="24"/>
        </w:rPr>
        <w:t xml:space="preserve"> es necesario mencionar al respecto que, la </w:t>
      </w:r>
      <w:r w:rsidR="00890949" w:rsidRPr="00890949">
        <w:rPr>
          <w:rFonts w:ascii="Century Gothic" w:hAnsi="Century Gothic"/>
          <w:sz w:val="24"/>
          <w:szCs w:val="24"/>
        </w:rPr>
        <w:t>Ley de Derechos de las Personas Mayores en el Estado de Chihuahua</w:t>
      </w:r>
      <w:r w:rsidR="00890949">
        <w:rPr>
          <w:rFonts w:ascii="Century Gothic" w:hAnsi="Century Gothic"/>
          <w:sz w:val="24"/>
          <w:szCs w:val="24"/>
        </w:rPr>
        <w:t xml:space="preserve"> en su artículo 68 fracción </w:t>
      </w:r>
      <w:r>
        <w:rPr>
          <w:rFonts w:ascii="Century Gothic" w:hAnsi="Century Gothic"/>
          <w:sz w:val="24"/>
          <w:szCs w:val="24"/>
        </w:rPr>
        <w:t>a</w:t>
      </w:r>
      <w:r w:rsidR="00890949">
        <w:rPr>
          <w:rFonts w:ascii="Century Gothic" w:hAnsi="Century Gothic"/>
          <w:sz w:val="24"/>
          <w:szCs w:val="24"/>
        </w:rPr>
        <w:t xml:space="preserve"> la letra dice: </w:t>
      </w:r>
      <w:r w:rsidR="00890949">
        <w:rPr>
          <w:rFonts w:ascii="Century Gothic" w:hAnsi="Century Gothic"/>
          <w:sz w:val="24"/>
          <w:szCs w:val="24"/>
        </w:rPr>
        <w:br/>
      </w:r>
      <w:r w:rsidR="00890949" w:rsidRPr="00890949">
        <w:rPr>
          <w:rFonts w:ascii="Century Gothic" w:hAnsi="Century Gothic"/>
          <w:i/>
          <w:iCs/>
          <w:sz w:val="24"/>
          <w:szCs w:val="24"/>
        </w:rPr>
        <w:t xml:space="preserve">“Los servicios de acogimiento residencial de personas mayores, que presten los centros de asistencia social pública o privado, estarán orientados a </w:t>
      </w:r>
      <w:r w:rsidR="00890949" w:rsidRPr="00890949">
        <w:rPr>
          <w:rFonts w:ascii="Century Gothic" w:hAnsi="Century Gothic"/>
          <w:i/>
          <w:iCs/>
          <w:sz w:val="24"/>
          <w:szCs w:val="24"/>
        </w:rPr>
        <w:lastRenderedPageBreak/>
        <w:t>garantizar a sus residentes: Un entorno seguro, afectivo y libre de violencia”</w:t>
      </w:r>
      <w:r w:rsidR="00890949">
        <w:rPr>
          <w:rFonts w:ascii="Century Gothic" w:hAnsi="Century Gothic"/>
          <w:sz w:val="24"/>
          <w:szCs w:val="24"/>
        </w:rPr>
        <w:t xml:space="preserve"> siguen ocurriendo.</w:t>
      </w:r>
    </w:p>
    <w:p w14:paraId="522AF0A8" w14:textId="77777777" w:rsidR="00890949" w:rsidRDefault="00890949" w:rsidP="00BF048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176C094" w14:textId="77777777" w:rsidR="00B67446" w:rsidRDefault="00890949" w:rsidP="00BF048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El mismo ordenamiento en su artículo 33 contempla que: </w:t>
      </w:r>
      <w:r w:rsidRPr="00890949">
        <w:rPr>
          <w:rFonts w:ascii="Century Gothic" w:hAnsi="Century Gothic"/>
          <w:i/>
          <w:iCs/>
          <w:sz w:val="24"/>
          <w:szCs w:val="24"/>
        </w:rPr>
        <w:t>“La persona mayor tiene derecho a la seguridad personal y a que se le garantice una vida libre de cualquier tipo de violencia, a recibir un trato digno, a ser respetada y valorada</w:t>
      </w:r>
      <w:r>
        <w:rPr>
          <w:rFonts w:ascii="Century Gothic" w:hAnsi="Century Gothic"/>
          <w:i/>
          <w:iCs/>
          <w:sz w:val="24"/>
          <w:szCs w:val="24"/>
        </w:rPr>
        <w:t xml:space="preserve">” </w:t>
      </w:r>
      <w:r>
        <w:rPr>
          <w:rFonts w:ascii="Century Gothic" w:hAnsi="Century Gothic"/>
          <w:sz w:val="24"/>
          <w:szCs w:val="24"/>
        </w:rPr>
        <w:t xml:space="preserve">sin embargo, existen casos que ocurren </w:t>
      </w:r>
      <w:r w:rsidR="00B06285">
        <w:rPr>
          <w:rFonts w:ascii="Century Gothic" w:hAnsi="Century Gothic"/>
          <w:sz w:val="24"/>
          <w:szCs w:val="24"/>
        </w:rPr>
        <w:t>en el anonimato mientras que hay</w:t>
      </w:r>
      <w:r>
        <w:rPr>
          <w:rFonts w:ascii="Century Gothic" w:hAnsi="Century Gothic"/>
          <w:sz w:val="24"/>
          <w:szCs w:val="24"/>
        </w:rPr>
        <w:t xml:space="preserve"> </w:t>
      </w:r>
      <w:r w:rsidR="00B06285">
        <w:rPr>
          <w:rFonts w:ascii="Century Gothic" w:hAnsi="Century Gothic"/>
          <w:sz w:val="24"/>
          <w:szCs w:val="24"/>
        </w:rPr>
        <w:t xml:space="preserve">algunos otros que salen a la luz provocando indignación e invitándonos a la reflexión. </w:t>
      </w:r>
    </w:p>
    <w:p w14:paraId="7D994352" w14:textId="77777777" w:rsidR="00B67446" w:rsidRDefault="00B67446" w:rsidP="00BF048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D2056FD" w14:textId="0AAA38C1" w:rsidR="00B06285" w:rsidRDefault="004F5441" w:rsidP="00BF048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Tal es el caso </w:t>
      </w:r>
      <w:r w:rsidR="00B06285">
        <w:rPr>
          <w:rFonts w:ascii="Century Gothic" w:hAnsi="Century Gothic"/>
          <w:sz w:val="24"/>
          <w:szCs w:val="24"/>
        </w:rPr>
        <w:t>ocurrido en mayo</w:t>
      </w:r>
      <w:r>
        <w:rPr>
          <w:rFonts w:ascii="Century Gothic" w:hAnsi="Century Gothic"/>
          <w:sz w:val="24"/>
          <w:szCs w:val="24"/>
        </w:rPr>
        <w:t xml:space="preserve"> de 2021 </w:t>
      </w:r>
      <w:r w:rsidR="00B06285">
        <w:rPr>
          <w:rFonts w:ascii="Century Gothic" w:hAnsi="Century Gothic"/>
          <w:sz w:val="24"/>
          <w:szCs w:val="24"/>
        </w:rPr>
        <w:t xml:space="preserve">que </w:t>
      </w:r>
      <w:r>
        <w:rPr>
          <w:rFonts w:ascii="Century Gothic" w:hAnsi="Century Gothic"/>
          <w:sz w:val="24"/>
          <w:szCs w:val="24"/>
        </w:rPr>
        <w:t xml:space="preserve">se viralizó </w:t>
      </w:r>
      <w:r w:rsidR="00B06285">
        <w:rPr>
          <w:rFonts w:ascii="Century Gothic" w:hAnsi="Century Gothic"/>
          <w:sz w:val="24"/>
          <w:szCs w:val="24"/>
        </w:rPr>
        <w:t xml:space="preserve">y consiste en </w:t>
      </w:r>
      <w:r>
        <w:rPr>
          <w:rFonts w:ascii="Century Gothic" w:hAnsi="Century Gothic"/>
          <w:sz w:val="24"/>
          <w:szCs w:val="24"/>
        </w:rPr>
        <w:t>un video en el que se aprecia por más de 5 minutos a un enfermero de una casa de cuidado privada que forcejeó y acabó por subirse</w:t>
      </w:r>
      <w:r w:rsidR="00B06285">
        <w:rPr>
          <w:rFonts w:ascii="Century Gothic" w:hAnsi="Century Gothic"/>
          <w:sz w:val="24"/>
          <w:szCs w:val="24"/>
        </w:rPr>
        <w:t xml:space="preserve"> al torso</w:t>
      </w:r>
      <w:r>
        <w:rPr>
          <w:rFonts w:ascii="Century Gothic" w:hAnsi="Century Gothic"/>
          <w:sz w:val="24"/>
          <w:szCs w:val="24"/>
        </w:rPr>
        <w:t xml:space="preserve"> de una mujer de la tercera edad para inmovilizarla a fin de darle sus medicamentos a la fuerza. </w:t>
      </w:r>
      <w:r w:rsidR="00B67446">
        <w:rPr>
          <w:rFonts w:ascii="Century Gothic" w:hAnsi="Century Gothic"/>
          <w:sz w:val="24"/>
          <w:szCs w:val="24"/>
        </w:rPr>
        <w:t xml:space="preserve">Lamentablemente, </w:t>
      </w:r>
      <w:r w:rsidR="00B06285">
        <w:rPr>
          <w:rFonts w:ascii="Century Gothic" w:hAnsi="Century Gothic"/>
          <w:sz w:val="24"/>
          <w:szCs w:val="24"/>
        </w:rPr>
        <w:t>existen casos que, sin obtener reflectores ni hacer eco en las redes sociales, ocurren y merecen una mira empática que combata la indiferencia, sobre todo haciendo uso de las facultades que la propia legislación dota a las instancias públicas.</w:t>
      </w:r>
    </w:p>
    <w:p w14:paraId="78AC5BB2" w14:textId="0746A9D0" w:rsidR="00B06285" w:rsidRDefault="00B06285" w:rsidP="00BF0489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1D7C857" w14:textId="04274F0C" w:rsidR="00AD541C" w:rsidRDefault="00B06285" w:rsidP="00B631A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06285">
        <w:rPr>
          <w:rFonts w:ascii="Century Gothic" w:hAnsi="Century Gothic"/>
          <w:sz w:val="24"/>
          <w:szCs w:val="24"/>
        </w:rPr>
        <w:t xml:space="preserve">En este sentido, la  </w:t>
      </w:r>
      <w:r w:rsidR="00AD541C" w:rsidRPr="00B06285">
        <w:rPr>
          <w:rFonts w:ascii="Century Gothic" w:hAnsi="Century Gothic"/>
          <w:sz w:val="24"/>
          <w:szCs w:val="24"/>
        </w:rPr>
        <w:t>Ley de Derechos de las Personas Mayores en el Estado de Chihuahua</w:t>
      </w:r>
      <w:r w:rsidRPr="00B06285">
        <w:rPr>
          <w:rFonts w:ascii="Century Gothic" w:hAnsi="Century Gothic"/>
          <w:sz w:val="24"/>
          <w:szCs w:val="24"/>
        </w:rPr>
        <w:t xml:space="preserve"> en el numeral 138 contempla al </w:t>
      </w:r>
      <w:r w:rsidR="00AD541C" w:rsidRPr="00B06285">
        <w:rPr>
          <w:rFonts w:ascii="Century Gothic" w:hAnsi="Century Gothic"/>
          <w:sz w:val="24"/>
          <w:szCs w:val="24"/>
        </w:rPr>
        <w:t>Consejo de Protección de los Derechos de las Personas Mayores</w:t>
      </w:r>
      <w:r w:rsidRPr="00B06285">
        <w:rPr>
          <w:rFonts w:ascii="Century Gothic" w:hAnsi="Century Gothic"/>
          <w:sz w:val="24"/>
          <w:szCs w:val="24"/>
        </w:rPr>
        <w:t xml:space="preserve"> </w:t>
      </w:r>
      <w:r w:rsidR="00AD541C" w:rsidRPr="00B06285">
        <w:rPr>
          <w:rFonts w:ascii="Century Gothic" w:hAnsi="Century Gothic"/>
          <w:sz w:val="24"/>
          <w:szCs w:val="24"/>
        </w:rPr>
        <w:t xml:space="preserve">como </w:t>
      </w:r>
      <w:r w:rsidRPr="00B06285">
        <w:rPr>
          <w:rFonts w:ascii="Century Gothic" w:hAnsi="Century Gothic"/>
          <w:sz w:val="24"/>
          <w:szCs w:val="24"/>
        </w:rPr>
        <w:t>“</w:t>
      </w:r>
      <w:r w:rsidR="00AD541C" w:rsidRPr="00B06285">
        <w:rPr>
          <w:rFonts w:ascii="Century Gothic" w:hAnsi="Century Gothic"/>
          <w:i/>
          <w:iCs/>
          <w:sz w:val="24"/>
          <w:szCs w:val="24"/>
        </w:rPr>
        <w:t>órgano colegiado de vigilancia, opinión, colaboración, coordinación, consulta, promoción y asesoría para la institucionalización de los derechos de las personas mayores a fin de que se les garantice el cabal cumplimiento de sus derechos</w:t>
      </w:r>
      <w:r w:rsidRPr="00B06285">
        <w:rPr>
          <w:rFonts w:ascii="Century Gothic" w:hAnsi="Century Gothic"/>
          <w:sz w:val="24"/>
          <w:szCs w:val="24"/>
        </w:rPr>
        <w:t>” además de contemplar que será este órgano “</w:t>
      </w:r>
      <w:r w:rsidR="00AD541C" w:rsidRPr="00B06285">
        <w:rPr>
          <w:rFonts w:ascii="Century Gothic" w:hAnsi="Century Gothic"/>
          <w:i/>
          <w:iCs/>
          <w:sz w:val="24"/>
          <w:szCs w:val="24"/>
        </w:rPr>
        <w:t>la instancia encargada de coordinar, concertar y fortalecer las capacidades de las instituciones gubernamentales y de las organizaciones de la sociedad civil, para establecer instrumentos, políticas, procedimientos, protocolos, coordinar servicios y acciones articuladas de atención y de protección a favor de las personas mayores en el Estado</w:t>
      </w:r>
      <w:r w:rsidRPr="00B06285">
        <w:rPr>
          <w:rFonts w:ascii="Century Gothic" w:hAnsi="Century Gothic"/>
          <w:sz w:val="24"/>
          <w:szCs w:val="24"/>
        </w:rPr>
        <w:t>.”</w:t>
      </w:r>
    </w:p>
    <w:p w14:paraId="7310371A" w14:textId="77777777" w:rsidR="00B06285" w:rsidRDefault="00B06285" w:rsidP="00B631A8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4DE8617F" w14:textId="196649BB" w:rsidR="00B06285" w:rsidRDefault="00B06285" w:rsidP="00B631A8">
      <w:pPr>
        <w:spacing w:after="0" w:line="360" w:lineRule="auto"/>
        <w:jc w:val="both"/>
      </w:pPr>
      <w:r>
        <w:rPr>
          <w:rFonts w:ascii="Century Gothic" w:hAnsi="Century Gothic"/>
          <w:sz w:val="24"/>
          <w:szCs w:val="24"/>
        </w:rPr>
        <w:t>A fin de cumplir con las atribuciones señaladas, la ley en comento menciona que el Consejo contará con un plan anual de trabajo que “</w:t>
      </w:r>
      <w:r w:rsidR="00AD541C" w:rsidRPr="00B06285">
        <w:rPr>
          <w:rFonts w:ascii="Century Gothic" w:hAnsi="Century Gothic"/>
          <w:i/>
          <w:iCs/>
          <w:sz w:val="24"/>
          <w:szCs w:val="24"/>
        </w:rPr>
        <w:t>preverá la ejecución de acciones a mediano y largo plazo, indicará los objetivos, estrategias y líneas de acción prioritarias, y deberá alinearse al Programa Estatal de Desarrollo Social y Humano y a las políticas públicas que en la materia se dicten a nivel nacional; deberán incluir mecanismos transparentes que permitan su evaluación y seguimiento, así como de participación ciudadana</w:t>
      </w:r>
      <w:r>
        <w:t>.”</w:t>
      </w:r>
    </w:p>
    <w:p w14:paraId="7930A0A8" w14:textId="59904211" w:rsidR="00B67446" w:rsidRDefault="00B67446" w:rsidP="00B631A8">
      <w:pPr>
        <w:spacing w:after="0" w:line="360" w:lineRule="auto"/>
        <w:jc w:val="both"/>
      </w:pPr>
    </w:p>
    <w:p w14:paraId="3EA3D17F" w14:textId="675D9FE4" w:rsidR="005F09AF" w:rsidRPr="00B67446" w:rsidRDefault="00B67446" w:rsidP="00B67446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B67446">
        <w:rPr>
          <w:rFonts w:ascii="Century Gothic" w:hAnsi="Century Gothic"/>
          <w:sz w:val="24"/>
          <w:szCs w:val="24"/>
        </w:rPr>
        <w:t>Ahora bien, en lo que respecta a los centros de retiro que operan de manera privada, la  L</w:t>
      </w:r>
      <w:r w:rsidR="00B631A8" w:rsidRPr="00B67446">
        <w:rPr>
          <w:rFonts w:ascii="Century Gothic" w:hAnsi="Century Gothic"/>
          <w:sz w:val="24"/>
          <w:szCs w:val="24"/>
        </w:rPr>
        <w:t>ey que Establece los Requisitos para el Funcionamiento de los Centros de Atención Residencial para Personas Mayores en el Estado de Chihuahua</w:t>
      </w:r>
      <w:r w:rsidRPr="00B67446">
        <w:rPr>
          <w:rFonts w:ascii="Century Gothic" w:hAnsi="Century Gothic"/>
          <w:sz w:val="24"/>
          <w:szCs w:val="24"/>
        </w:rPr>
        <w:t>, contempla como órgano coadyuvante al Comité</w:t>
      </w:r>
      <w:r w:rsidR="006B0C47" w:rsidRPr="00B67446">
        <w:rPr>
          <w:rFonts w:ascii="Century Gothic" w:hAnsi="Century Gothic"/>
          <w:sz w:val="24"/>
          <w:szCs w:val="24"/>
        </w:rPr>
        <w:t xml:space="preserve"> Interinstitucional para la Supervisión y Vigilancia de los Centros Privados</w:t>
      </w:r>
      <w:r w:rsidRPr="00B67446">
        <w:rPr>
          <w:rFonts w:ascii="Century Gothic" w:hAnsi="Century Gothic"/>
          <w:sz w:val="24"/>
          <w:szCs w:val="24"/>
        </w:rPr>
        <w:t xml:space="preserve">, </w:t>
      </w:r>
      <w:r w:rsidR="00F31D64" w:rsidRPr="00B67446">
        <w:rPr>
          <w:rFonts w:ascii="Century Gothic" w:hAnsi="Century Gothic"/>
          <w:sz w:val="24"/>
          <w:szCs w:val="24"/>
        </w:rPr>
        <w:t xml:space="preserve">integrado </w:t>
      </w:r>
      <w:r w:rsidRPr="00B67446">
        <w:rPr>
          <w:rFonts w:ascii="Century Gothic" w:hAnsi="Century Gothic"/>
          <w:sz w:val="24"/>
          <w:szCs w:val="24"/>
        </w:rPr>
        <w:t>de acuerdo con el artículo 4 del ordenamiento en mención, “</w:t>
      </w:r>
      <w:r w:rsidR="00F31D64" w:rsidRPr="00B67446">
        <w:rPr>
          <w:rFonts w:ascii="Century Gothic" w:hAnsi="Century Gothic"/>
          <w:i/>
          <w:iCs/>
          <w:sz w:val="24"/>
          <w:szCs w:val="24"/>
        </w:rPr>
        <w:t>por el personal operativo que se designe de las siguientes dependencias y entidades de la Administración Pública Estatal o por sus unidades administrativas u orgánicas</w:t>
      </w:r>
      <w:r w:rsidRPr="00B67446">
        <w:rPr>
          <w:rFonts w:ascii="Century Gothic" w:hAnsi="Century Gothic"/>
          <w:i/>
          <w:iCs/>
          <w:sz w:val="24"/>
          <w:szCs w:val="24"/>
        </w:rPr>
        <w:t xml:space="preserve">, </w:t>
      </w:r>
      <w:r w:rsidRPr="00B67446">
        <w:rPr>
          <w:rFonts w:ascii="Century Gothic" w:hAnsi="Century Gothic"/>
          <w:sz w:val="24"/>
          <w:szCs w:val="24"/>
        </w:rPr>
        <w:t xml:space="preserve">siendo estas la ahora Secretaría de Desarrollo Humano y Bien Común, además de las </w:t>
      </w:r>
      <w:r w:rsidR="00F31D64" w:rsidRPr="00B67446">
        <w:rPr>
          <w:rFonts w:ascii="Century Gothic" w:hAnsi="Century Gothic"/>
          <w:sz w:val="24"/>
          <w:szCs w:val="24"/>
        </w:rPr>
        <w:t>Secretaría</w:t>
      </w:r>
      <w:r w:rsidRPr="00B67446">
        <w:rPr>
          <w:rFonts w:ascii="Century Gothic" w:hAnsi="Century Gothic"/>
          <w:sz w:val="24"/>
          <w:szCs w:val="24"/>
        </w:rPr>
        <w:t>s</w:t>
      </w:r>
      <w:r w:rsidR="00F31D64" w:rsidRPr="00B67446">
        <w:rPr>
          <w:rFonts w:ascii="Century Gothic" w:hAnsi="Century Gothic"/>
          <w:sz w:val="24"/>
          <w:szCs w:val="24"/>
        </w:rPr>
        <w:t xml:space="preserve"> de Educación y Deporte</w:t>
      </w:r>
      <w:r w:rsidRPr="00B67446">
        <w:rPr>
          <w:rFonts w:ascii="Century Gothic" w:hAnsi="Century Gothic"/>
          <w:sz w:val="24"/>
          <w:szCs w:val="24"/>
        </w:rPr>
        <w:t xml:space="preserve">, </w:t>
      </w:r>
      <w:r w:rsidR="00F31D64" w:rsidRPr="00B67446">
        <w:rPr>
          <w:rFonts w:ascii="Century Gothic" w:hAnsi="Century Gothic"/>
          <w:sz w:val="24"/>
          <w:szCs w:val="24"/>
        </w:rPr>
        <w:t>de Salud</w:t>
      </w:r>
      <w:r w:rsidRPr="00B67446">
        <w:rPr>
          <w:rFonts w:ascii="Century Gothic" w:hAnsi="Century Gothic"/>
          <w:sz w:val="24"/>
          <w:szCs w:val="24"/>
        </w:rPr>
        <w:t xml:space="preserve">, </w:t>
      </w:r>
      <w:r w:rsidR="00F31D64" w:rsidRPr="00B67446">
        <w:rPr>
          <w:rFonts w:ascii="Century Gothic" w:hAnsi="Century Gothic"/>
          <w:sz w:val="24"/>
          <w:szCs w:val="24"/>
        </w:rPr>
        <w:t>del Trabajo y Previsión Social</w:t>
      </w:r>
      <w:r w:rsidRPr="00B67446">
        <w:rPr>
          <w:rFonts w:ascii="Century Gothic" w:hAnsi="Century Gothic"/>
          <w:sz w:val="24"/>
          <w:szCs w:val="24"/>
        </w:rPr>
        <w:t xml:space="preserve">, la </w:t>
      </w:r>
      <w:r w:rsidR="00F31D64" w:rsidRPr="00B67446">
        <w:rPr>
          <w:rFonts w:ascii="Century Gothic" w:hAnsi="Century Gothic"/>
          <w:sz w:val="24"/>
          <w:szCs w:val="24"/>
        </w:rPr>
        <w:t>Procuraduría de Protección del DIF Estatal</w:t>
      </w:r>
      <w:r w:rsidRPr="00B67446">
        <w:rPr>
          <w:rFonts w:ascii="Century Gothic" w:hAnsi="Century Gothic"/>
          <w:sz w:val="24"/>
          <w:szCs w:val="24"/>
        </w:rPr>
        <w:t xml:space="preserve">, la </w:t>
      </w:r>
      <w:r w:rsidR="00F31D64" w:rsidRPr="00B67446">
        <w:rPr>
          <w:rFonts w:ascii="Century Gothic" w:hAnsi="Century Gothic"/>
          <w:sz w:val="24"/>
          <w:szCs w:val="24"/>
        </w:rPr>
        <w:t>Coordinación Estatal de Protección Civil</w:t>
      </w:r>
      <w:r w:rsidRPr="00B67446">
        <w:rPr>
          <w:rFonts w:ascii="Century Gothic" w:hAnsi="Century Gothic"/>
          <w:sz w:val="24"/>
          <w:szCs w:val="24"/>
        </w:rPr>
        <w:t xml:space="preserve"> y la </w:t>
      </w:r>
      <w:r w:rsidR="00F31D64" w:rsidRPr="00B67446">
        <w:rPr>
          <w:rFonts w:ascii="Century Gothic" w:hAnsi="Century Gothic"/>
          <w:sz w:val="24"/>
          <w:szCs w:val="24"/>
        </w:rPr>
        <w:t>Comisión Estatal para la Protección contra Riesgos Sanitarios</w:t>
      </w:r>
      <w:r w:rsidRPr="00B67446">
        <w:rPr>
          <w:rFonts w:ascii="Century Gothic" w:hAnsi="Century Gothic"/>
          <w:sz w:val="24"/>
          <w:szCs w:val="24"/>
        </w:rPr>
        <w:t xml:space="preserve">. </w:t>
      </w:r>
    </w:p>
    <w:p w14:paraId="410E008D" w14:textId="20258BEA" w:rsidR="004F0ACE" w:rsidRDefault="004F0ACE" w:rsidP="003E7AA2">
      <w:pPr>
        <w:spacing w:after="0" w:line="360" w:lineRule="auto"/>
        <w:rPr>
          <w:rFonts w:ascii="Century Gothic" w:hAnsi="Century Gothic" w:cs="Arial"/>
          <w:b/>
          <w:sz w:val="24"/>
          <w:szCs w:val="24"/>
        </w:rPr>
      </w:pPr>
    </w:p>
    <w:p w14:paraId="7F3087E2" w14:textId="55B3A5B0" w:rsidR="00EE7D91" w:rsidRDefault="003E7AA2" w:rsidP="00EE7D91">
      <w:pPr>
        <w:spacing w:after="0" w:line="360" w:lineRule="auto"/>
        <w:jc w:val="both"/>
        <w:rPr>
          <w:rFonts w:ascii="Century Gothic" w:hAnsi="Century Gothic" w:cs="Arial"/>
          <w:bCs/>
          <w:sz w:val="24"/>
          <w:szCs w:val="24"/>
        </w:rPr>
      </w:pPr>
      <w:r w:rsidRPr="00EE7D91">
        <w:rPr>
          <w:rFonts w:ascii="Century Gothic" w:hAnsi="Century Gothic" w:cs="Arial"/>
          <w:bCs/>
          <w:sz w:val="24"/>
          <w:szCs w:val="24"/>
        </w:rPr>
        <w:t xml:space="preserve">En otro orden de ideas, existen situaciones delicadas que vigilar a fin de evitar maltrato para las y los adultos mayores que se </w:t>
      </w:r>
      <w:r w:rsidR="00EE7D91" w:rsidRPr="00EE7D91">
        <w:rPr>
          <w:rFonts w:ascii="Century Gothic" w:hAnsi="Century Gothic" w:cs="Arial"/>
          <w:bCs/>
          <w:sz w:val="24"/>
          <w:szCs w:val="24"/>
        </w:rPr>
        <w:t>ven forzados</w:t>
      </w:r>
      <w:r w:rsidRPr="00EE7D91">
        <w:rPr>
          <w:rFonts w:ascii="Century Gothic" w:hAnsi="Century Gothic" w:cs="Arial"/>
          <w:bCs/>
          <w:sz w:val="24"/>
          <w:szCs w:val="24"/>
        </w:rPr>
        <w:t xml:space="preserve"> a recurrir a casas de retiro, asilos, albergues etc. De entre las que</w:t>
      </w:r>
      <w:r w:rsidR="00EE7D91" w:rsidRPr="00EE7D91">
        <w:rPr>
          <w:rFonts w:ascii="Century Gothic" w:hAnsi="Century Gothic" w:cs="Arial"/>
          <w:bCs/>
          <w:sz w:val="24"/>
          <w:szCs w:val="24"/>
        </w:rPr>
        <w:t xml:space="preserve"> se debe observar de manera estricta desde aspectos tan básicos como el que se provea a las personas el agua y alimentos suficientes, cuidar del estado físico y emocional de las y los usuarios, hasta aspectos más detallados como el que se les proporcione de manera correcta las dosis de medicamento, por mencionar solo algunas.</w:t>
      </w:r>
    </w:p>
    <w:p w14:paraId="67E83869" w14:textId="77777777" w:rsidR="00EE7D91" w:rsidRPr="00EE7D91" w:rsidRDefault="00EE7D91" w:rsidP="00EE7D91">
      <w:pPr>
        <w:spacing w:after="0" w:line="360" w:lineRule="auto"/>
        <w:jc w:val="both"/>
        <w:rPr>
          <w:rFonts w:ascii="Century Gothic" w:hAnsi="Century Gothic" w:cs="Arial"/>
          <w:bCs/>
          <w:sz w:val="24"/>
          <w:szCs w:val="24"/>
        </w:rPr>
      </w:pPr>
    </w:p>
    <w:p w14:paraId="0F4F640A" w14:textId="4A6CA6EE" w:rsidR="00046848" w:rsidRPr="00EE7D91" w:rsidRDefault="00EE7D91" w:rsidP="00446DF9">
      <w:pPr>
        <w:spacing w:after="0" w:line="360" w:lineRule="auto"/>
        <w:jc w:val="both"/>
        <w:rPr>
          <w:rFonts w:ascii="Century Gothic" w:hAnsi="Century Gothic" w:cs="Arial"/>
          <w:b/>
          <w:iCs/>
          <w:sz w:val="24"/>
          <w:szCs w:val="24"/>
        </w:rPr>
      </w:pPr>
      <w:r>
        <w:rPr>
          <w:rStyle w:val="Ninguno"/>
          <w:rFonts w:ascii="Century Gothic" w:hAnsi="Century Gothic"/>
          <w:iCs/>
          <w:sz w:val="24"/>
          <w:szCs w:val="24"/>
        </w:rPr>
        <w:t>El abandona a las personas mayores es una problemática social que aumenta por los cambios en los índices de natalidad y se ve afectado por la estadística de mortalidad, evidenciando en cualquier caso, el enorme reto que se encuentra respecto a transformar y atender la atención que se proporciona a este grupo poblacional a través de las casas de retiro; t</w:t>
      </w:r>
      <w:r w:rsidR="004F5441" w:rsidRPr="004F5441">
        <w:rPr>
          <w:rStyle w:val="Ninguno"/>
          <w:rFonts w:ascii="Century Gothic" w:hAnsi="Century Gothic"/>
          <w:iCs/>
          <w:sz w:val="24"/>
          <w:szCs w:val="24"/>
        </w:rPr>
        <w:t>oda vez que la legislación vigente es clara en cuanto a los derechos de este segmento de la población</w:t>
      </w:r>
      <w:r w:rsidR="004F5441">
        <w:rPr>
          <w:rStyle w:val="Ninguno"/>
          <w:rFonts w:ascii="Century Gothic" w:hAnsi="Century Gothic"/>
          <w:iCs/>
          <w:sz w:val="24"/>
          <w:szCs w:val="24"/>
        </w:rPr>
        <w:t xml:space="preserve">, </w:t>
      </w:r>
      <w:r w:rsidR="00B67446">
        <w:rPr>
          <w:rStyle w:val="Ninguno"/>
          <w:rFonts w:ascii="Century Gothic" w:hAnsi="Century Gothic"/>
          <w:iCs/>
          <w:sz w:val="24"/>
          <w:szCs w:val="24"/>
        </w:rPr>
        <w:t xml:space="preserve">atendiendo a las anteriores consideraciones </w:t>
      </w:r>
      <w:r w:rsidR="004F5441">
        <w:rPr>
          <w:rStyle w:val="Ninguno"/>
          <w:rFonts w:ascii="Century Gothic" w:hAnsi="Century Gothic"/>
          <w:iCs/>
          <w:sz w:val="24"/>
          <w:szCs w:val="24"/>
        </w:rPr>
        <w:t>nos permitimos someter a consideración del Pleno la siguiente PROPOSICIÓN con caracter de:</w:t>
      </w:r>
    </w:p>
    <w:p w14:paraId="65D86B1B" w14:textId="77777777" w:rsidR="004F0ACE" w:rsidRPr="00744CAD" w:rsidRDefault="004F0ACE" w:rsidP="004F0ACE">
      <w:pPr>
        <w:pStyle w:val="Default"/>
        <w:spacing w:after="39" w:line="360" w:lineRule="auto"/>
        <w:jc w:val="center"/>
        <w:rPr>
          <w:rFonts w:ascii="Century Gothic" w:hAnsi="Century Gothic"/>
          <w:b/>
          <w:bCs/>
        </w:rPr>
      </w:pPr>
      <w:r w:rsidRPr="00744CAD">
        <w:rPr>
          <w:rFonts w:ascii="Century Gothic" w:hAnsi="Century Gothic"/>
          <w:b/>
          <w:bCs/>
        </w:rPr>
        <w:t>A C U E R D O.</w:t>
      </w:r>
    </w:p>
    <w:p w14:paraId="4743DF06" w14:textId="2F12A8F7" w:rsidR="003E7AA2" w:rsidRDefault="008E194E" w:rsidP="003E7AA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  <w:lang w:val="es-MX"/>
        </w:rPr>
        <w:t>PRIMERO</w:t>
      </w:r>
      <w:r w:rsidR="004F0ACE" w:rsidRPr="003E7AA2">
        <w:rPr>
          <w:rFonts w:ascii="Century Gothic" w:hAnsi="Century Gothic" w:cs="Arial"/>
          <w:b/>
          <w:sz w:val="24"/>
          <w:szCs w:val="24"/>
          <w:lang w:val="es-MX"/>
        </w:rPr>
        <w:t>. -</w:t>
      </w:r>
      <w:r w:rsidR="004F0ACE" w:rsidRPr="003E7AA2">
        <w:rPr>
          <w:rFonts w:ascii="Century Gothic" w:hAnsi="Century Gothic" w:cs="Arial"/>
          <w:sz w:val="24"/>
          <w:szCs w:val="24"/>
          <w:lang w:val="es-MX"/>
        </w:rPr>
        <w:t xml:space="preserve"> </w:t>
      </w:r>
      <w:r w:rsidR="003F4A15" w:rsidRPr="003E7AA2">
        <w:rPr>
          <w:rFonts w:ascii="Century Gothic" w:hAnsi="Century Gothic" w:cs="Arial"/>
          <w:sz w:val="24"/>
          <w:szCs w:val="24"/>
        </w:rPr>
        <w:t>La Sexagésima Séptima Legislatura del H. Congreso del Estado, exhorta</w:t>
      </w:r>
      <w:r w:rsidR="003F4A15" w:rsidRPr="003E7AA2">
        <w:rPr>
          <w:rFonts w:ascii="Century Gothic" w:hAnsi="Century Gothic" w:cs="Arial"/>
          <w:b/>
          <w:sz w:val="24"/>
          <w:szCs w:val="24"/>
        </w:rPr>
        <w:t xml:space="preserve"> </w:t>
      </w:r>
      <w:r w:rsidR="003F4A15" w:rsidRPr="003E7AA2">
        <w:rPr>
          <w:rFonts w:ascii="Century Gothic" w:hAnsi="Century Gothic" w:cs="Arial"/>
          <w:sz w:val="24"/>
          <w:szCs w:val="24"/>
          <w:lang w:val="es-MX"/>
        </w:rPr>
        <w:t>respetuosamente a la titular del Poder Ejecutivo del Estado</w:t>
      </w:r>
      <w:r w:rsidR="00B67446" w:rsidRPr="003E7AA2">
        <w:rPr>
          <w:rFonts w:ascii="Century Gothic" w:hAnsi="Century Gothic" w:cs="Arial"/>
          <w:sz w:val="24"/>
          <w:szCs w:val="24"/>
          <w:lang w:val="es-MX"/>
        </w:rPr>
        <w:t xml:space="preserve">, </w:t>
      </w:r>
      <w:r w:rsidR="003E7AA2" w:rsidRPr="003E7AA2">
        <w:rPr>
          <w:rFonts w:ascii="Century Gothic" w:hAnsi="Century Gothic" w:cs="Arial"/>
          <w:sz w:val="24"/>
          <w:szCs w:val="24"/>
          <w:lang w:val="es-MX"/>
        </w:rPr>
        <w:t xml:space="preserve">se instrumente o en su caso se actualice el </w:t>
      </w:r>
      <w:r w:rsidR="003E7AA2" w:rsidRPr="003E7AA2">
        <w:rPr>
          <w:rFonts w:ascii="Century Gothic" w:hAnsi="Century Gothic"/>
          <w:sz w:val="24"/>
          <w:szCs w:val="24"/>
        </w:rPr>
        <w:t xml:space="preserve">Registro Estatal que permita identificar los Centros Privados existentes en el Estado con énfasis en las condiciones que prevalecen en dichos centros. </w:t>
      </w:r>
    </w:p>
    <w:p w14:paraId="79E8D1A3" w14:textId="77777777" w:rsidR="008E194E" w:rsidRDefault="008E194E" w:rsidP="003E7AA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7C51711" w14:textId="77777777" w:rsidR="008E194E" w:rsidRPr="003E7AA2" w:rsidRDefault="008E194E" w:rsidP="008E194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3E7AA2">
        <w:rPr>
          <w:rFonts w:ascii="Century Gothic" w:hAnsi="Century Gothic"/>
          <w:sz w:val="24"/>
          <w:szCs w:val="24"/>
        </w:rPr>
        <w:t xml:space="preserve">De igual manera, se exhorta a la autoridad referida </w:t>
      </w:r>
      <w:r w:rsidRPr="003E7AA2">
        <w:rPr>
          <w:rFonts w:ascii="Century Gothic" w:hAnsi="Century Gothic" w:cs="Arial"/>
          <w:sz w:val="24"/>
          <w:szCs w:val="24"/>
          <w:lang w:val="es-MX"/>
        </w:rPr>
        <w:t xml:space="preserve">para que, a través de la Secretaría de Desarrollo Humano y Bien Común y en coordinación con </w:t>
      </w:r>
      <w:r w:rsidRPr="003E7AA2">
        <w:rPr>
          <w:rFonts w:ascii="Century Gothic" w:hAnsi="Century Gothic"/>
          <w:sz w:val="24"/>
          <w:szCs w:val="24"/>
        </w:rPr>
        <w:t>el Consejo de Protección de los Derechos de las Personas Mayores</w:t>
      </w:r>
      <w:r>
        <w:rPr>
          <w:rFonts w:ascii="Century Gothic" w:hAnsi="Century Gothic"/>
          <w:sz w:val="24"/>
          <w:szCs w:val="24"/>
        </w:rPr>
        <w:t>, el</w:t>
      </w:r>
      <w:r w:rsidRPr="003E7AA2">
        <w:rPr>
          <w:rFonts w:ascii="Century Gothic" w:hAnsi="Century Gothic"/>
          <w:sz w:val="24"/>
          <w:szCs w:val="24"/>
        </w:rPr>
        <w:t xml:space="preserve"> Comité Interinstitucional para la Supervisión y Vigilancia de los Centros Privados</w:t>
      </w:r>
      <w:r>
        <w:rPr>
          <w:rFonts w:ascii="Century Gothic" w:hAnsi="Century Gothic"/>
          <w:sz w:val="24"/>
          <w:szCs w:val="24"/>
        </w:rPr>
        <w:t xml:space="preserve"> así como con </w:t>
      </w:r>
      <w:r w:rsidRPr="003E7AA2">
        <w:rPr>
          <w:rFonts w:ascii="Century Gothic" w:hAnsi="Century Gothic" w:cs="Arial"/>
          <w:sz w:val="24"/>
          <w:szCs w:val="24"/>
          <w:lang w:val="es-MX"/>
        </w:rPr>
        <w:t>las instancias competentes</w:t>
      </w:r>
      <w:r w:rsidRPr="003E7AA2">
        <w:rPr>
          <w:rFonts w:ascii="Century Gothic" w:hAnsi="Century Gothic"/>
          <w:sz w:val="24"/>
          <w:szCs w:val="24"/>
        </w:rPr>
        <w:t>, se lleve</w:t>
      </w:r>
      <w:r>
        <w:rPr>
          <w:rFonts w:ascii="Century Gothic" w:hAnsi="Century Gothic"/>
          <w:sz w:val="24"/>
          <w:szCs w:val="24"/>
        </w:rPr>
        <w:t xml:space="preserve"> </w:t>
      </w:r>
      <w:r w:rsidRPr="003E7AA2">
        <w:rPr>
          <w:rFonts w:ascii="Century Gothic" w:hAnsi="Century Gothic"/>
          <w:sz w:val="24"/>
          <w:szCs w:val="24"/>
        </w:rPr>
        <w:t>a cabo</w:t>
      </w:r>
      <w:r>
        <w:rPr>
          <w:rFonts w:ascii="Century Gothic" w:hAnsi="Century Gothic"/>
          <w:sz w:val="24"/>
          <w:szCs w:val="24"/>
        </w:rPr>
        <w:t xml:space="preserve"> </w:t>
      </w:r>
      <w:r w:rsidRPr="003E7AA2">
        <w:rPr>
          <w:rFonts w:ascii="Century Gothic" w:hAnsi="Century Gothic"/>
          <w:sz w:val="24"/>
          <w:szCs w:val="24"/>
        </w:rPr>
        <w:t>un programa permanente de difusión y asistencia para la protección de los derechos de las personas mayores, así como para la atención y prevención de las situaciones de violencia</w:t>
      </w:r>
      <w:r>
        <w:rPr>
          <w:rFonts w:ascii="Century Gothic" w:hAnsi="Century Gothic"/>
          <w:sz w:val="24"/>
          <w:szCs w:val="24"/>
        </w:rPr>
        <w:t xml:space="preserve">. </w:t>
      </w:r>
    </w:p>
    <w:p w14:paraId="71997200" w14:textId="26B759DF" w:rsidR="008E194E" w:rsidRDefault="008E194E" w:rsidP="003E7AA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62FF7AD4" w14:textId="1BAC80E5" w:rsidR="008E194E" w:rsidRPr="008E194E" w:rsidRDefault="008E194E" w:rsidP="003E7AA2">
      <w:pPr>
        <w:spacing w:after="0" w:line="36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8E194E">
        <w:rPr>
          <w:rFonts w:ascii="Century Gothic" w:hAnsi="Century Gothic"/>
          <w:b/>
          <w:bCs/>
          <w:sz w:val="24"/>
          <w:szCs w:val="24"/>
        </w:rPr>
        <w:t xml:space="preserve">SEGUNDO. </w:t>
      </w:r>
      <w:r w:rsidRPr="008E194E">
        <w:rPr>
          <w:rFonts w:ascii="Century Gothic" w:hAnsi="Century Gothic"/>
          <w:sz w:val="24"/>
          <w:szCs w:val="24"/>
        </w:rPr>
        <w:t>Se exhorta respetuosamente a Gobierno Federal, para que, a través de las instancias competentes, se coordinen con las instancias Estatales a fin de implementar un programa permanente de difusión y asistencia para la protección de los derechos de las personas mayores, así como para la atención y prevención de las situaciones de violencia</w:t>
      </w:r>
      <w:r w:rsidRPr="00E01948">
        <w:rPr>
          <w:rFonts w:ascii="Century Gothic" w:hAnsi="Century Gothic"/>
          <w:sz w:val="32"/>
          <w:szCs w:val="32"/>
        </w:rPr>
        <w:t>.</w:t>
      </w:r>
    </w:p>
    <w:p w14:paraId="063B5639" w14:textId="77777777" w:rsidR="00EE7D91" w:rsidRDefault="00EE7D91" w:rsidP="003E7AA2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7666FEFD" w14:textId="77777777" w:rsidR="003E7AA2" w:rsidRPr="003E7AA2" w:rsidRDefault="003E7AA2" w:rsidP="003E7AA2">
      <w:pPr>
        <w:spacing w:after="0" w:line="360" w:lineRule="auto"/>
        <w:jc w:val="both"/>
      </w:pPr>
    </w:p>
    <w:p w14:paraId="3BCF69D0" w14:textId="454CD705" w:rsidR="004F0ACE" w:rsidRDefault="004F0ACE" w:rsidP="003E7AA2">
      <w:pPr>
        <w:spacing w:line="360" w:lineRule="auto"/>
        <w:ind w:right="48"/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 w:cs="Arial"/>
          <w:b/>
          <w:sz w:val="28"/>
          <w:szCs w:val="28"/>
          <w:lang w:val="es-MX"/>
        </w:rPr>
        <w:t>Económico</w:t>
      </w:r>
      <w:r>
        <w:rPr>
          <w:rFonts w:ascii="Century Gothic" w:hAnsi="Century Gothic"/>
          <w:b/>
          <w:bCs/>
          <w:sz w:val="28"/>
          <w:szCs w:val="28"/>
          <w:lang w:val="es-MX"/>
        </w:rPr>
        <w:t xml:space="preserve">- </w:t>
      </w:r>
      <w:r>
        <w:rPr>
          <w:rFonts w:ascii="Century Gothic" w:hAnsi="Century Gothic"/>
          <w:sz w:val="24"/>
          <w:szCs w:val="24"/>
          <w:lang w:val="es-MX"/>
        </w:rPr>
        <w:t>Remítase copia de</w:t>
      </w:r>
      <w:r w:rsidR="00C3588E">
        <w:rPr>
          <w:rFonts w:ascii="Century Gothic" w:hAnsi="Century Gothic"/>
          <w:sz w:val="24"/>
          <w:szCs w:val="24"/>
          <w:lang w:val="es-MX"/>
        </w:rPr>
        <w:t xml:space="preserve"> la</w:t>
      </w:r>
      <w:r>
        <w:rPr>
          <w:rFonts w:ascii="Century Gothic" w:hAnsi="Century Gothic"/>
          <w:sz w:val="24"/>
          <w:szCs w:val="24"/>
          <w:lang w:val="es-MX"/>
        </w:rPr>
        <w:t xml:space="preserve"> presente</w:t>
      </w:r>
      <w:r w:rsidR="00C3588E">
        <w:rPr>
          <w:rFonts w:ascii="Century Gothic" w:hAnsi="Century Gothic"/>
          <w:sz w:val="24"/>
          <w:szCs w:val="24"/>
          <w:lang w:val="es-MX"/>
        </w:rPr>
        <w:t xml:space="preserve"> Proposición con carácter de</w:t>
      </w:r>
      <w:r>
        <w:rPr>
          <w:rFonts w:ascii="Century Gothic" w:hAnsi="Century Gothic"/>
          <w:sz w:val="24"/>
          <w:szCs w:val="24"/>
          <w:lang w:val="es-MX"/>
        </w:rPr>
        <w:t xml:space="preserve"> Acuerdo</w:t>
      </w:r>
      <w:r w:rsidR="00C3588E">
        <w:rPr>
          <w:rFonts w:ascii="Century Gothic" w:hAnsi="Century Gothic"/>
          <w:sz w:val="24"/>
          <w:szCs w:val="24"/>
          <w:lang w:val="es-MX"/>
        </w:rPr>
        <w:t xml:space="preserve"> </w:t>
      </w:r>
      <w:r>
        <w:rPr>
          <w:rFonts w:ascii="Century Gothic" w:hAnsi="Century Gothic"/>
          <w:sz w:val="24"/>
          <w:szCs w:val="24"/>
          <w:lang w:val="es-MX"/>
        </w:rPr>
        <w:t>a las autoridades anteriormente citadas para su conocimiento y para los efectos a que haya lugar.</w:t>
      </w:r>
    </w:p>
    <w:p w14:paraId="2FE1BD80" w14:textId="77777777" w:rsidR="00EE7D91" w:rsidRPr="003E7AA2" w:rsidRDefault="00EE7D91" w:rsidP="003E7AA2">
      <w:pPr>
        <w:spacing w:line="360" w:lineRule="auto"/>
        <w:ind w:right="48"/>
        <w:rPr>
          <w:rFonts w:ascii="Century Gothic" w:eastAsia="Times New Roman" w:hAnsi="Century Gothic" w:cs="Arial"/>
          <w:bCs/>
          <w:sz w:val="24"/>
          <w:szCs w:val="24"/>
          <w:lang w:val="es-MX" w:eastAsia="es-MX"/>
        </w:rPr>
      </w:pPr>
    </w:p>
    <w:p w14:paraId="1F1B175F" w14:textId="439EE62F" w:rsidR="004F0ACE" w:rsidRPr="003E7AA2" w:rsidRDefault="004F0ACE" w:rsidP="004F0ACE">
      <w:pPr>
        <w:pStyle w:val="Sangradetextonormal"/>
        <w:spacing w:line="360" w:lineRule="auto"/>
        <w:ind w:left="1" w:right="18" w:hanging="3"/>
        <w:rPr>
          <w:rFonts w:ascii="Century Gothic" w:hAnsi="Century Gothic"/>
          <w:sz w:val="24"/>
          <w:szCs w:val="24"/>
        </w:rPr>
      </w:pPr>
      <w:r w:rsidRPr="003E7AA2">
        <w:rPr>
          <w:rFonts w:ascii="Century Gothic" w:hAnsi="Century Gothic"/>
          <w:b/>
          <w:sz w:val="24"/>
          <w:szCs w:val="24"/>
        </w:rPr>
        <w:t>D A D O</w:t>
      </w:r>
      <w:r w:rsidRPr="003E7AA2">
        <w:rPr>
          <w:rFonts w:ascii="Century Gothic" w:hAnsi="Century Gothic"/>
          <w:sz w:val="24"/>
          <w:szCs w:val="24"/>
        </w:rPr>
        <w:t xml:space="preserve"> en el Salón de Sesiones del Poder Legislativo </w:t>
      </w:r>
      <w:r w:rsidR="00C3588E" w:rsidRPr="003E7AA2">
        <w:rPr>
          <w:rFonts w:ascii="Century Gothic" w:hAnsi="Century Gothic"/>
          <w:sz w:val="24"/>
          <w:szCs w:val="24"/>
        </w:rPr>
        <w:t>a los</w:t>
      </w:r>
      <w:r w:rsidRPr="003E7AA2">
        <w:rPr>
          <w:rFonts w:ascii="Century Gothic" w:hAnsi="Century Gothic"/>
          <w:sz w:val="24"/>
          <w:szCs w:val="24"/>
        </w:rPr>
        <w:t xml:space="preserve"> </w:t>
      </w:r>
      <w:r w:rsidR="00C3588E" w:rsidRPr="003E7AA2">
        <w:rPr>
          <w:rFonts w:ascii="Century Gothic" w:hAnsi="Century Gothic"/>
          <w:sz w:val="24"/>
          <w:szCs w:val="24"/>
        </w:rPr>
        <w:t>21</w:t>
      </w:r>
      <w:r w:rsidRPr="003E7AA2">
        <w:rPr>
          <w:rFonts w:ascii="Century Gothic" w:hAnsi="Century Gothic"/>
          <w:sz w:val="24"/>
          <w:szCs w:val="24"/>
        </w:rPr>
        <w:t xml:space="preserve"> día</w:t>
      </w:r>
      <w:r w:rsidR="00C3588E" w:rsidRPr="003E7AA2">
        <w:rPr>
          <w:rFonts w:ascii="Century Gothic" w:hAnsi="Century Gothic"/>
          <w:sz w:val="24"/>
          <w:szCs w:val="24"/>
        </w:rPr>
        <w:t>s</w:t>
      </w:r>
      <w:r w:rsidRPr="003E7AA2">
        <w:rPr>
          <w:rFonts w:ascii="Century Gothic" w:hAnsi="Century Gothic"/>
          <w:sz w:val="24"/>
          <w:szCs w:val="24"/>
        </w:rPr>
        <w:t xml:space="preserve"> del mes de marzo del año 2023.</w:t>
      </w:r>
    </w:p>
    <w:p w14:paraId="535477FE" w14:textId="77777777" w:rsidR="00D96985" w:rsidRPr="00446DF9" w:rsidRDefault="00D96985" w:rsidP="00446DF9">
      <w:pPr>
        <w:spacing w:after="0" w:line="360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3398E012" w14:textId="1F3EDDC7" w:rsidR="00D96985" w:rsidRPr="00D96985" w:rsidRDefault="00D96985" w:rsidP="00D96985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985">
        <w:rPr>
          <w:rFonts w:ascii="Century Gothic" w:hAnsi="Century Gothic" w:cs="Times New Roman"/>
          <w:b/>
          <w:bCs/>
          <w:color w:val="000000"/>
          <w:sz w:val="24"/>
          <w:szCs w:val="24"/>
        </w:rPr>
        <w:t>ATENTAMENTE,</w:t>
      </w:r>
    </w:p>
    <w:p w14:paraId="3CFCED6A" w14:textId="77777777" w:rsidR="00D96985" w:rsidRPr="006437D8" w:rsidRDefault="00D96985" w:rsidP="00D96985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6437D8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0"/>
        <w:gridCol w:w="4678"/>
      </w:tblGrid>
      <w:tr w:rsidR="00D96985" w:rsidRPr="006437D8" w14:paraId="15D5EEB0" w14:textId="77777777" w:rsidTr="00E6233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C90F" w14:textId="77777777" w:rsidR="00D96985" w:rsidRPr="006437D8" w:rsidRDefault="00D96985" w:rsidP="00E62333">
            <w:pPr>
              <w:ind w:lef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D8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BENJAMÍN CARRERA CHÁVEZ</w:t>
            </w:r>
            <w:r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A1E37" w14:textId="77777777" w:rsidR="00D96985" w:rsidRPr="006437D8" w:rsidRDefault="00D96985" w:rsidP="00E62333">
            <w:pPr>
              <w:ind w:lef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D8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EDIN CUAUHTÉMOC ESTRADA SOTELO</w:t>
            </w:r>
            <w:r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96985" w:rsidRPr="006437D8" w14:paraId="050BFBA6" w14:textId="77777777" w:rsidTr="00E6233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28D16" w14:textId="77777777" w:rsidR="00D96985" w:rsidRDefault="00D96985" w:rsidP="00E6233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D5B52D7" w14:textId="77777777" w:rsidR="00D96985" w:rsidRPr="006437D8" w:rsidRDefault="00D96985" w:rsidP="00E6233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44B7EE2" w14:textId="77777777" w:rsidR="00D96985" w:rsidRDefault="00D96985" w:rsidP="00E62333">
            <w:pPr>
              <w:ind w:left="-2" w:hanging="2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  <w:r w:rsidRPr="006437D8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L</w:t>
            </w:r>
            <w:r w:rsidR="003E7AA2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ET</w:t>
            </w:r>
            <w:r w:rsidRPr="006437D8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ICIA ORTEGA MÁYNEZ</w:t>
            </w:r>
            <w:r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6385F7BE" w14:textId="6F2B4DB6" w:rsidR="003E7AA2" w:rsidRPr="003E7AA2" w:rsidRDefault="003E7AA2" w:rsidP="003E7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E14C2" w14:textId="77777777" w:rsidR="00D96985" w:rsidRDefault="00D96985" w:rsidP="00E6233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70EF1D0E" w14:textId="77777777" w:rsidR="00D96985" w:rsidRPr="006437D8" w:rsidRDefault="00D96985" w:rsidP="00E62333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4C5DE294" w14:textId="0B5BABA6" w:rsidR="00D96985" w:rsidRDefault="00D96985" w:rsidP="00E62333">
            <w:pPr>
              <w:ind w:left="-2" w:hanging="2"/>
              <w:jc w:val="center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  <w:r w:rsidRPr="006437D8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OSCAR DANIEL AVITIA ARELLANES</w:t>
            </w:r>
            <w:r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56D4C968" w14:textId="3C3F8D46" w:rsidR="00D77154" w:rsidRDefault="00D77154" w:rsidP="00E62333">
            <w:pPr>
              <w:ind w:left="-2" w:hanging="2"/>
              <w:jc w:val="center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  <w:p w14:paraId="6D1B7EE2" w14:textId="52DF96BE" w:rsidR="00D77154" w:rsidRDefault="00D77154" w:rsidP="00E62333">
            <w:pPr>
              <w:ind w:left="-2" w:hanging="2"/>
              <w:jc w:val="center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  <w:p w14:paraId="66A6CD90" w14:textId="282905A6" w:rsidR="00D77154" w:rsidRDefault="00D77154" w:rsidP="00E62333">
            <w:pPr>
              <w:ind w:left="-2" w:hanging="2"/>
              <w:jc w:val="center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  <w:p w14:paraId="48CA8034" w14:textId="1BA52EFF" w:rsidR="00D77154" w:rsidRDefault="00D77154" w:rsidP="00E62333">
            <w:pPr>
              <w:ind w:left="-2" w:hanging="2"/>
              <w:jc w:val="center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  <w:p w14:paraId="2B08B9E4" w14:textId="77777777" w:rsidR="00D77154" w:rsidRDefault="00D77154" w:rsidP="00E62333">
            <w:pPr>
              <w:ind w:left="-2" w:hanging="2"/>
              <w:jc w:val="center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  <w:p w14:paraId="10DF01CC" w14:textId="77777777" w:rsidR="00D77154" w:rsidRDefault="00D77154" w:rsidP="00E62333">
            <w:pPr>
              <w:ind w:lef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AA656" w14:textId="48CA384F" w:rsidR="00D77154" w:rsidRPr="006437D8" w:rsidRDefault="00D77154" w:rsidP="00E62333">
            <w:pPr>
              <w:ind w:lef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985" w:rsidRPr="006437D8" w14:paraId="0E866A27" w14:textId="77777777" w:rsidTr="00E146B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17FD5" w14:textId="254C893D" w:rsidR="00D77154" w:rsidRPr="00D77154" w:rsidRDefault="00D77154" w:rsidP="00D77154">
            <w:pPr>
              <w:tabs>
                <w:tab w:val="right" w:pos="3944"/>
              </w:tabs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ROSSANA DÍAZ REYES.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6B0A" w14:textId="4EA0E592" w:rsidR="00D96985" w:rsidRPr="006437D8" w:rsidRDefault="00D77154" w:rsidP="00E62333">
            <w:pPr>
              <w:ind w:lef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D8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MARÍA ANTONIETA PÉREZ REYES</w:t>
            </w:r>
            <w:r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77154" w:rsidRPr="006437D8" w14:paraId="07815D89" w14:textId="77777777" w:rsidTr="00E6233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D74C0" w14:textId="11F6E000" w:rsidR="00D77154" w:rsidRDefault="00D77154" w:rsidP="00D77154">
            <w:pPr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  <w:p w14:paraId="46FC14D3" w14:textId="77777777" w:rsidR="00D77154" w:rsidRDefault="00D77154" w:rsidP="00D77154">
            <w:pPr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  <w:p w14:paraId="47D09452" w14:textId="77777777" w:rsidR="00D77154" w:rsidRDefault="00D77154" w:rsidP="00D77154">
            <w:pPr>
              <w:ind w:left="-2" w:hanging="2"/>
              <w:jc w:val="center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  <w:p w14:paraId="51677E9B" w14:textId="60E4E275" w:rsidR="00D77154" w:rsidRPr="006437D8" w:rsidRDefault="00D77154" w:rsidP="00D77154">
            <w:pPr>
              <w:ind w:left="-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7D8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MAGDALENA RENTERÍA PÉREZ</w:t>
            </w:r>
            <w:r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D1205" w14:textId="77777777" w:rsidR="00D77154" w:rsidRDefault="00D77154" w:rsidP="00D77154">
            <w:pPr>
              <w:spacing w:line="360" w:lineRule="auto"/>
              <w:jc w:val="both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  <w:p w14:paraId="5BBA007F" w14:textId="77777777" w:rsidR="00D77154" w:rsidRDefault="00D77154" w:rsidP="00D77154">
            <w:pPr>
              <w:spacing w:line="360" w:lineRule="auto"/>
              <w:jc w:val="both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  <w:p w14:paraId="766C4FEA" w14:textId="5F79EF15" w:rsidR="00D77154" w:rsidRPr="00F93CC4" w:rsidRDefault="00D77154" w:rsidP="00D77154">
            <w:pPr>
              <w:spacing w:line="360" w:lineRule="auto"/>
              <w:jc w:val="both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  <w:r w:rsidRPr="00F93CC4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ILSE AMÉRICA GARCÍA SOTO.</w:t>
            </w:r>
          </w:p>
          <w:p w14:paraId="3442C93B" w14:textId="77777777" w:rsidR="00D77154" w:rsidRPr="006437D8" w:rsidRDefault="00D77154" w:rsidP="00D77154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3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12EB4C7" w14:textId="77777777" w:rsidR="00D77154" w:rsidRDefault="00D77154" w:rsidP="00D77154">
            <w:pPr>
              <w:spacing w:line="360" w:lineRule="auto"/>
              <w:jc w:val="both"/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  <w:p w14:paraId="4E82B5B2" w14:textId="4F24B782" w:rsidR="00D77154" w:rsidRPr="00D77154" w:rsidRDefault="00D77154" w:rsidP="00D77154">
            <w:pPr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77154" w:rsidRPr="006437D8" w14:paraId="30367D1E" w14:textId="77777777" w:rsidTr="00D77154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784BC" w14:textId="00DC8DB1" w:rsidR="00D77154" w:rsidRPr="006437D8" w:rsidRDefault="00D77154" w:rsidP="00D77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7D8"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DIP. DAVID OSCAR CASTREJÓN RIVAS</w:t>
            </w:r>
            <w:r>
              <w:rPr>
                <w:rFonts w:ascii="Century Gothic" w:hAnsi="Century Gothic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C7161" w14:textId="77777777" w:rsidR="00D77154" w:rsidRPr="006437D8" w:rsidRDefault="00D77154" w:rsidP="00D7715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D02858" w14:textId="77777777" w:rsidR="00E77062" w:rsidRPr="00446DF9" w:rsidRDefault="00E77062" w:rsidP="00446DF9">
      <w:pPr>
        <w:spacing w:after="0" w:line="360" w:lineRule="auto"/>
        <w:contextualSpacing/>
        <w:jc w:val="both"/>
        <w:rPr>
          <w:rFonts w:ascii="Century Gothic" w:hAnsi="Century Gothic" w:cs="Arial"/>
          <w:sz w:val="24"/>
          <w:szCs w:val="24"/>
        </w:rPr>
      </w:pPr>
    </w:p>
    <w:p w14:paraId="7CFCC78C" w14:textId="77777777" w:rsidR="002620BF" w:rsidRDefault="002620BF" w:rsidP="00F443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80422B" w14:textId="3D7D1F3D" w:rsidR="002620BF" w:rsidRPr="00D96985" w:rsidRDefault="002620BF" w:rsidP="000776A1">
      <w:pPr>
        <w:spacing w:after="0" w:line="240" w:lineRule="auto"/>
        <w:jc w:val="both"/>
        <w:rPr>
          <w:rFonts w:ascii="Century Gothic" w:hAnsi="Century Gothic" w:cs="Arial"/>
          <w:i/>
          <w:sz w:val="18"/>
          <w:szCs w:val="18"/>
        </w:rPr>
      </w:pPr>
    </w:p>
    <w:sectPr w:rsidR="002620BF" w:rsidRPr="00D96985" w:rsidSect="00D77154">
      <w:headerReference w:type="default" r:id="rId8"/>
      <w:footerReference w:type="default" r:id="rId9"/>
      <w:pgSz w:w="12240" w:h="15840"/>
      <w:pgMar w:top="3119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972A4" w14:textId="77777777" w:rsidR="00D00AAE" w:rsidRDefault="00D00AAE" w:rsidP="002953CA">
      <w:pPr>
        <w:spacing w:after="0" w:line="240" w:lineRule="auto"/>
      </w:pPr>
      <w:r>
        <w:separator/>
      </w:r>
    </w:p>
  </w:endnote>
  <w:endnote w:type="continuationSeparator" w:id="0">
    <w:p w14:paraId="439E01E7" w14:textId="77777777" w:rsidR="00D00AAE" w:rsidRDefault="00D00AAE" w:rsidP="00295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270151333"/>
      <w:docPartObj>
        <w:docPartGallery w:val="Page Numbers (Bottom of Page)"/>
        <w:docPartUnique/>
      </w:docPartObj>
    </w:sdtPr>
    <w:sdtEndPr>
      <w:rPr>
        <w:rFonts w:ascii="Arial" w:hAnsi="Arial" w:cs="Arial"/>
        <w:b/>
        <w:sz w:val="20"/>
        <w:szCs w:val="20"/>
        <w:lang w:val="es-ES_tradnl"/>
      </w:rPr>
    </w:sdtEndPr>
    <w:sdtContent>
      <w:p w14:paraId="519B9993" w14:textId="40E2DC31" w:rsidR="00136AD1" w:rsidRPr="00136AD1" w:rsidRDefault="00136AD1">
        <w:pPr>
          <w:pStyle w:val="Piedepgina"/>
          <w:jc w:val="right"/>
          <w:rPr>
            <w:rFonts w:ascii="Arial" w:eastAsiaTheme="majorEastAsia" w:hAnsi="Arial" w:cs="Arial"/>
            <w:b/>
            <w:sz w:val="20"/>
            <w:szCs w:val="20"/>
          </w:rPr>
        </w:pPr>
        <w:r w:rsidRPr="00136AD1">
          <w:rPr>
            <w:rFonts w:ascii="Arial" w:eastAsiaTheme="majorEastAsia" w:hAnsi="Arial" w:cs="Arial"/>
            <w:b/>
            <w:sz w:val="20"/>
            <w:szCs w:val="20"/>
            <w:lang w:val="es-ES"/>
          </w:rPr>
          <w:t xml:space="preserve">pág. </w:t>
        </w:r>
        <w:r w:rsidRPr="00136AD1">
          <w:rPr>
            <w:rFonts w:ascii="Arial" w:eastAsiaTheme="minorEastAsia" w:hAnsi="Arial" w:cs="Arial"/>
            <w:b/>
            <w:sz w:val="20"/>
            <w:szCs w:val="20"/>
          </w:rPr>
          <w:fldChar w:fldCharType="begin"/>
        </w:r>
        <w:r w:rsidRPr="00136AD1">
          <w:rPr>
            <w:rFonts w:ascii="Arial" w:hAnsi="Arial" w:cs="Arial"/>
            <w:b/>
            <w:sz w:val="20"/>
            <w:szCs w:val="20"/>
          </w:rPr>
          <w:instrText>PAGE    \* MERGEFORMAT</w:instrText>
        </w:r>
        <w:r w:rsidRPr="00136AD1">
          <w:rPr>
            <w:rFonts w:ascii="Arial" w:eastAsiaTheme="minorEastAsia" w:hAnsi="Arial" w:cs="Arial"/>
            <w:b/>
            <w:sz w:val="20"/>
            <w:szCs w:val="20"/>
          </w:rPr>
          <w:fldChar w:fldCharType="separate"/>
        </w:r>
        <w:r w:rsidR="00AA2D67" w:rsidRPr="00AA2D67">
          <w:rPr>
            <w:rFonts w:ascii="Arial" w:eastAsiaTheme="majorEastAsia" w:hAnsi="Arial" w:cs="Arial"/>
            <w:b/>
            <w:noProof/>
            <w:sz w:val="20"/>
            <w:szCs w:val="20"/>
            <w:lang w:val="es-ES"/>
          </w:rPr>
          <w:t>1</w:t>
        </w:r>
        <w:r w:rsidRPr="00136AD1">
          <w:rPr>
            <w:rFonts w:ascii="Arial" w:eastAsiaTheme="majorEastAsia" w:hAnsi="Arial" w:cs="Arial"/>
            <w:b/>
            <w:sz w:val="20"/>
            <w:szCs w:val="20"/>
          </w:rPr>
          <w:fldChar w:fldCharType="end"/>
        </w:r>
      </w:p>
    </w:sdtContent>
  </w:sdt>
  <w:p w14:paraId="50C8FCC6" w14:textId="77777777" w:rsidR="006961C0" w:rsidRDefault="006961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A3A34" w14:textId="77777777" w:rsidR="00D00AAE" w:rsidRDefault="00D00AAE" w:rsidP="002953CA">
      <w:pPr>
        <w:spacing w:after="0" w:line="240" w:lineRule="auto"/>
      </w:pPr>
      <w:r>
        <w:separator/>
      </w:r>
    </w:p>
  </w:footnote>
  <w:footnote w:type="continuationSeparator" w:id="0">
    <w:p w14:paraId="429D66CF" w14:textId="77777777" w:rsidR="00D00AAE" w:rsidRDefault="00D00AAE" w:rsidP="00295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BB9F4" w14:textId="5587DBDE" w:rsidR="0027355A" w:rsidRDefault="0027355A" w:rsidP="0027355A">
    <w:pPr>
      <w:ind w:left="1" w:hanging="3"/>
      <w:jc w:val="right"/>
      <w:rPr>
        <w:rFonts w:ascii="Rage Italic" w:eastAsia="Times New Roman" w:hAnsi="Rage Italic"/>
        <w:color w:val="000000"/>
        <w:sz w:val="28"/>
        <w:szCs w:val="28"/>
        <w:lang w:eastAsia="es-MX"/>
      </w:rPr>
    </w:pPr>
    <w:r>
      <w:rPr>
        <w:rFonts w:ascii="Rage Italic" w:eastAsia="Times New Roman" w:hAnsi="Rage Italic"/>
        <w:color w:val="000000"/>
        <w:sz w:val="28"/>
        <w:szCs w:val="28"/>
        <w:lang w:eastAsia="es-MX"/>
      </w:rPr>
      <w:t>“2023</w:t>
    </w:r>
    <w:r w:rsidRPr="004964F5">
      <w:rPr>
        <w:rFonts w:ascii="Rage Italic" w:eastAsia="Times New Roman" w:hAnsi="Rage Italic"/>
        <w:color w:val="000000"/>
        <w:sz w:val="28"/>
        <w:szCs w:val="28"/>
        <w:lang w:eastAsia="es-MX"/>
      </w:rPr>
      <w:t>, Año del Centenario</w:t>
    </w:r>
    <w:r>
      <w:rPr>
        <w:rFonts w:ascii="Rage Italic" w:eastAsia="Times New Roman" w:hAnsi="Rage Italic"/>
        <w:color w:val="000000"/>
        <w:sz w:val="28"/>
        <w:szCs w:val="28"/>
        <w:lang w:eastAsia="es-MX"/>
      </w:rPr>
      <w:t xml:space="preserve"> de la Muerte del General Francisco Villa</w:t>
    </w:r>
    <w:r w:rsidRPr="004964F5">
      <w:rPr>
        <w:rFonts w:ascii="Rage Italic" w:eastAsia="Times New Roman" w:hAnsi="Rage Italic"/>
        <w:color w:val="000000"/>
        <w:sz w:val="28"/>
        <w:szCs w:val="28"/>
        <w:lang w:eastAsia="es-MX"/>
      </w:rPr>
      <w:t>”</w:t>
    </w:r>
  </w:p>
  <w:p w14:paraId="3E799345" w14:textId="77777777" w:rsidR="0027355A" w:rsidRPr="004964F5" w:rsidRDefault="0027355A" w:rsidP="0027355A">
    <w:pPr>
      <w:ind w:left="1" w:hanging="3"/>
      <w:jc w:val="right"/>
      <w:rPr>
        <w:rFonts w:eastAsia="Times New Roman"/>
        <w:color w:val="000000"/>
        <w:lang w:eastAsia="es-MX"/>
      </w:rPr>
    </w:pPr>
    <w:r>
      <w:rPr>
        <w:rFonts w:ascii="Rage Italic" w:eastAsia="Times New Roman" w:hAnsi="Rage Italic"/>
        <w:color w:val="000000"/>
        <w:sz w:val="28"/>
        <w:szCs w:val="28"/>
        <w:lang w:eastAsia="es-MX"/>
      </w:rPr>
      <w:t>“100 años del Rotarismo en Chihuahua”</w:t>
    </w:r>
  </w:p>
  <w:p w14:paraId="59138F70" w14:textId="77777777" w:rsidR="0027355A" w:rsidRDefault="0027355A" w:rsidP="0027355A">
    <w:pPr>
      <w:pStyle w:val="Encabezado"/>
      <w:ind w:hanging="2"/>
      <w:jc w:val="right"/>
    </w:pPr>
    <w:r w:rsidRPr="004964F5">
      <w:rPr>
        <w:rFonts w:eastAsia="Times New Roman"/>
        <w:color w:val="000000"/>
        <w:bdr w:val="none" w:sz="0" w:space="0" w:color="auto" w:frame="1"/>
        <w:lang w:eastAsia="es-MX"/>
      </w:rPr>
      <w:fldChar w:fldCharType="begin"/>
    </w:r>
    <w:r w:rsidRPr="004964F5">
      <w:rPr>
        <w:rFonts w:eastAsia="Times New Roman"/>
        <w:color w:val="000000"/>
        <w:bdr w:val="none" w:sz="0" w:space="0" w:color="auto" w:frame="1"/>
        <w:lang w:eastAsia="es-MX"/>
      </w:rPr>
      <w:instrText xml:space="preserve"> INCLUDEPICTURE "https://lh4.googleusercontent.com/fMqYI0bbZ0D6NgE-Ks1dl6HfIqCADYc8WEOwgmwkZj9cSnYzHC0QLMXWR7S8GL8r4gYgaukzVtNSPTbUUWKqBj1DeYZveL9g12XSPOughoqfS77AiMgzWvl0C5oioNT36nQ9qM45s-Uz6Kmo2U76YLtoB0lCiLZwvnNxT-IHKjxDcpz8xyIBrYjfpfR2THj7gTWgZczr7Q" \* MERGEFORMATINET </w:instrText>
    </w:r>
    <w:r w:rsidRPr="004964F5">
      <w:rPr>
        <w:rFonts w:eastAsia="Times New Roman"/>
        <w:color w:val="000000"/>
        <w:bdr w:val="none" w:sz="0" w:space="0" w:color="auto" w:frame="1"/>
        <w:lang w:eastAsia="es-MX"/>
      </w:rPr>
      <w:fldChar w:fldCharType="separate"/>
    </w:r>
    <w:r w:rsidRPr="004964F5">
      <w:rPr>
        <w:rFonts w:eastAsia="Times New Roman"/>
        <w:noProof/>
        <w:color w:val="000000"/>
        <w:bdr w:val="none" w:sz="0" w:space="0" w:color="auto" w:frame="1"/>
        <w:lang w:val="es-MX" w:eastAsia="es-MX"/>
      </w:rPr>
      <w:drawing>
        <wp:inline distT="0" distB="0" distL="0" distR="0" wp14:anchorId="6E605C62" wp14:editId="01C50C39">
          <wp:extent cx="1053465" cy="202565"/>
          <wp:effectExtent l="0" t="0" r="635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465" cy="202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64F5">
      <w:rPr>
        <w:rFonts w:eastAsia="Times New Roman"/>
        <w:color w:val="000000"/>
        <w:bdr w:val="none" w:sz="0" w:space="0" w:color="auto" w:frame="1"/>
        <w:lang w:eastAsia="es-MX"/>
      </w:rPr>
      <w:fldChar w:fldCharType="end"/>
    </w:r>
  </w:p>
  <w:p w14:paraId="5E729F91" w14:textId="77777777" w:rsidR="0027355A" w:rsidRDefault="0027355A" w:rsidP="0027355A">
    <w:pPr>
      <w:pStyle w:val="Encabezado"/>
      <w:ind w:hanging="2"/>
    </w:pPr>
  </w:p>
  <w:p w14:paraId="3714961D" w14:textId="77777777" w:rsidR="001E41D2" w:rsidRPr="00DB1D51" w:rsidRDefault="001E41D2" w:rsidP="00DB1D5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67A50"/>
    <w:multiLevelType w:val="hybridMultilevel"/>
    <w:tmpl w:val="4BEC2AA2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846C52"/>
    <w:multiLevelType w:val="hybridMultilevel"/>
    <w:tmpl w:val="B9C2F2F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54532"/>
    <w:multiLevelType w:val="hybridMultilevel"/>
    <w:tmpl w:val="87427A1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C777A"/>
    <w:multiLevelType w:val="hybridMultilevel"/>
    <w:tmpl w:val="BD86741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3DCC"/>
    <w:multiLevelType w:val="hybridMultilevel"/>
    <w:tmpl w:val="EBD25C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C000A"/>
    <w:multiLevelType w:val="hybridMultilevel"/>
    <w:tmpl w:val="514AD51A"/>
    <w:lvl w:ilvl="0" w:tplc="080A0017">
      <w:start w:val="1"/>
      <w:numFmt w:val="lowerLetter"/>
      <w:lvlText w:val="%1)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77B7C94"/>
    <w:multiLevelType w:val="hybridMultilevel"/>
    <w:tmpl w:val="19B6DD40"/>
    <w:lvl w:ilvl="0" w:tplc="EE62A74A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72286"/>
    <w:multiLevelType w:val="hybridMultilevel"/>
    <w:tmpl w:val="03BEE066"/>
    <w:lvl w:ilvl="0" w:tplc="0590DA36">
      <w:start w:val="2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80B83"/>
    <w:multiLevelType w:val="hybridMultilevel"/>
    <w:tmpl w:val="C73E168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A6189"/>
    <w:multiLevelType w:val="hybridMultilevel"/>
    <w:tmpl w:val="13C832FE"/>
    <w:lvl w:ilvl="0" w:tplc="D1D455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71954"/>
    <w:multiLevelType w:val="hybridMultilevel"/>
    <w:tmpl w:val="B2781A4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41716"/>
    <w:multiLevelType w:val="hybridMultilevel"/>
    <w:tmpl w:val="C9B006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06F88"/>
    <w:multiLevelType w:val="hybridMultilevel"/>
    <w:tmpl w:val="2306EAF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D1549"/>
    <w:multiLevelType w:val="hybridMultilevel"/>
    <w:tmpl w:val="8390D20C"/>
    <w:lvl w:ilvl="0" w:tplc="CC72B8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70BA4"/>
    <w:multiLevelType w:val="hybridMultilevel"/>
    <w:tmpl w:val="677EB41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116C1"/>
    <w:multiLevelType w:val="hybridMultilevel"/>
    <w:tmpl w:val="2A50AC14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427340"/>
    <w:multiLevelType w:val="hybridMultilevel"/>
    <w:tmpl w:val="7E0E6F1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F3E14"/>
    <w:multiLevelType w:val="hybridMultilevel"/>
    <w:tmpl w:val="A7CE1EA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67BCF"/>
    <w:multiLevelType w:val="hybridMultilevel"/>
    <w:tmpl w:val="029681D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B6B6E"/>
    <w:multiLevelType w:val="hybridMultilevel"/>
    <w:tmpl w:val="F24A974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944A5"/>
    <w:multiLevelType w:val="hybridMultilevel"/>
    <w:tmpl w:val="62C8EAF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40258"/>
    <w:multiLevelType w:val="hybridMultilevel"/>
    <w:tmpl w:val="4530B86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E1B81"/>
    <w:multiLevelType w:val="hybridMultilevel"/>
    <w:tmpl w:val="72244A78"/>
    <w:lvl w:ilvl="0" w:tplc="7646D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11421"/>
    <w:multiLevelType w:val="hybridMultilevel"/>
    <w:tmpl w:val="BF0A6AAE"/>
    <w:lvl w:ilvl="0" w:tplc="B94C4208">
      <w:start w:val="53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C0D0E"/>
    <w:multiLevelType w:val="hybridMultilevel"/>
    <w:tmpl w:val="EB78F3DE"/>
    <w:lvl w:ilvl="0" w:tplc="EB4A082C">
      <w:start w:val="53"/>
      <w:numFmt w:val="upperRoman"/>
      <w:lvlText w:val="%1."/>
      <w:lvlJc w:val="left"/>
      <w:pPr>
        <w:ind w:left="24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780" w:hanging="360"/>
      </w:pPr>
    </w:lvl>
    <w:lvl w:ilvl="2" w:tplc="080A001B" w:tentative="1">
      <w:start w:val="1"/>
      <w:numFmt w:val="lowerRoman"/>
      <w:lvlText w:val="%3."/>
      <w:lvlJc w:val="right"/>
      <w:pPr>
        <w:ind w:left="3500" w:hanging="180"/>
      </w:pPr>
    </w:lvl>
    <w:lvl w:ilvl="3" w:tplc="080A000F" w:tentative="1">
      <w:start w:val="1"/>
      <w:numFmt w:val="decimal"/>
      <w:lvlText w:val="%4."/>
      <w:lvlJc w:val="left"/>
      <w:pPr>
        <w:ind w:left="4220" w:hanging="360"/>
      </w:pPr>
    </w:lvl>
    <w:lvl w:ilvl="4" w:tplc="080A0019" w:tentative="1">
      <w:start w:val="1"/>
      <w:numFmt w:val="lowerLetter"/>
      <w:lvlText w:val="%5."/>
      <w:lvlJc w:val="left"/>
      <w:pPr>
        <w:ind w:left="4940" w:hanging="360"/>
      </w:pPr>
    </w:lvl>
    <w:lvl w:ilvl="5" w:tplc="080A001B" w:tentative="1">
      <w:start w:val="1"/>
      <w:numFmt w:val="lowerRoman"/>
      <w:lvlText w:val="%6."/>
      <w:lvlJc w:val="right"/>
      <w:pPr>
        <w:ind w:left="5660" w:hanging="180"/>
      </w:pPr>
    </w:lvl>
    <w:lvl w:ilvl="6" w:tplc="080A000F" w:tentative="1">
      <w:start w:val="1"/>
      <w:numFmt w:val="decimal"/>
      <w:lvlText w:val="%7."/>
      <w:lvlJc w:val="left"/>
      <w:pPr>
        <w:ind w:left="6380" w:hanging="360"/>
      </w:pPr>
    </w:lvl>
    <w:lvl w:ilvl="7" w:tplc="080A0019" w:tentative="1">
      <w:start w:val="1"/>
      <w:numFmt w:val="lowerLetter"/>
      <w:lvlText w:val="%8."/>
      <w:lvlJc w:val="left"/>
      <w:pPr>
        <w:ind w:left="7100" w:hanging="360"/>
      </w:pPr>
    </w:lvl>
    <w:lvl w:ilvl="8" w:tplc="080A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5" w15:restartNumberingAfterBreak="0">
    <w:nsid w:val="642109E9"/>
    <w:multiLevelType w:val="hybridMultilevel"/>
    <w:tmpl w:val="C2D0621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A1E84"/>
    <w:multiLevelType w:val="hybridMultilevel"/>
    <w:tmpl w:val="B0BE0C30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92D3F18"/>
    <w:multiLevelType w:val="hybridMultilevel"/>
    <w:tmpl w:val="6014487E"/>
    <w:lvl w:ilvl="0" w:tplc="91B44224">
      <w:start w:val="5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A24D1"/>
    <w:multiLevelType w:val="hybridMultilevel"/>
    <w:tmpl w:val="3D74F9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A0D2B"/>
    <w:multiLevelType w:val="hybridMultilevel"/>
    <w:tmpl w:val="13C6D416"/>
    <w:lvl w:ilvl="0" w:tplc="0AF842AA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8D1"/>
    <w:multiLevelType w:val="hybridMultilevel"/>
    <w:tmpl w:val="15D26DA0"/>
    <w:lvl w:ilvl="0" w:tplc="CC88113E">
      <w:start w:val="5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B3303"/>
    <w:multiLevelType w:val="multilevel"/>
    <w:tmpl w:val="867C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8F32FE"/>
    <w:multiLevelType w:val="hybridMultilevel"/>
    <w:tmpl w:val="089CC39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29"/>
  </w:num>
  <w:num w:numId="5">
    <w:abstractNumId w:val="26"/>
  </w:num>
  <w:num w:numId="6">
    <w:abstractNumId w:val="9"/>
  </w:num>
  <w:num w:numId="7">
    <w:abstractNumId w:val="15"/>
  </w:num>
  <w:num w:numId="8">
    <w:abstractNumId w:val="7"/>
  </w:num>
  <w:num w:numId="9">
    <w:abstractNumId w:val="24"/>
  </w:num>
  <w:num w:numId="10">
    <w:abstractNumId w:val="4"/>
  </w:num>
  <w:num w:numId="11">
    <w:abstractNumId w:val="30"/>
  </w:num>
  <w:num w:numId="12">
    <w:abstractNumId w:val="23"/>
  </w:num>
  <w:num w:numId="13">
    <w:abstractNumId w:val="2"/>
  </w:num>
  <w:num w:numId="14">
    <w:abstractNumId w:val="27"/>
  </w:num>
  <w:num w:numId="15">
    <w:abstractNumId w:val="16"/>
  </w:num>
  <w:num w:numId="16">
    <w:abstractNumId w:val="6"/>
  </w:num>
  <w:num w:numId="17">
    <w:abstractNumId w:val="28"/>
  </w:num>
  <w:num w:numId="18">
    <w:abstractNumId w:val="19"/>
  </w:num>
  <w:num w:numId="19">
    <w:abstractNumId w:val="5"/>
  </w:num>
  <w:num w:numId="20">
    <w:abstractNumId w:val="20"/>
  </w:num>
  <w:num w:numId="21">
    <w:abstractNumId w:val="3"/>
  </w:num>
  <w:num w:numId="22">
    <w:abstractNumId w:val="21"/>
  </w:num>
  <w:num w:numId="23">
    <w:abstractNumId w:val="1"/>
  </w:num>
  <w:num w:numId="24">
    <w:abstractNumId w:val="32"/>
  </w:num>
  <w:num w:numId="25">
    <w:abstractNumId w:val="8"/>
  </w:num>
  <w:num w:numId="26">
    <w:abstractNumId w:val="10"/>
  </w:num>
  <w:num w:numId="27">
    <w:abstractNumId w:val="14"/>
  </w:num>
  <w:num w:numId="28">
    <w:abstractNumId w:val="25"/>
  </w:num>
  <w:num w:numId="29">
    <w:abstractNumId w:val="12"/>
  </w:num>
  <w:num w:numId="30">
    <w:abstractNumId w:val="17"/>
  </w:num>
  <w:num w:numId="31">
    <w:abstractNumId w:val="0"/>
  </w:num>
  <w:num w:numId="32">
    <w:abstractNumId w:val="22"/>
  </w:num>
  <w:num w:numId="33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CA"/>
    <w:rsid w:val="00000F4E"/>
    <w:rsid w:val="00013BF7"/>
    <w:rsid w:val="000219CC"/>
    <w:rsid w:val="00030373"/>
    <w:rsid w:val="000314A5"/>
    <w:rsid w:val="00046848"/>
    <w:rsid w:val="000468DD"/>
    <w:rsid w:val="00053469"/>
    <w:rsid w:val="00054091"/>
    <w:rsid w:val="00057E97"/>
    <w:rsid w:val="00062252"/>
    <w:rsid w:val="00064980"/>
    <w:rsid w:val="00065E71"/>
    <w:rsid w:val="000710B3"/>
    <w:rsid w:val="000733CE"/>
    <w:rsid w:val="00077349"/>
    <w:rsid w:val="000776A1"/>
    <w:rsid w:val="00077D79"/>
    <w:rsid w:val="00084BCB"/>
    <w:rsid w:val="00093C8B"/>
    <w:rsid w:val="00097A6B"/>
    <w:rsid w:val="000A0D5F"/>
    <w:rsid w:val="000A3A05"/>
    <w:rsid w:val="000A4F99"/>
    <w:rsid w:val="000A6106"/>
    <w:rsid w:val="000B294B"/>
    <w:rsid w:val="000B2CE5"/>
    <w:rsid w:val="000B70A8"/>
    <w:rsid w:val="000C1E03"/>
    <w:rsid w:val="000C7EF9"/>
    <w:rsid w:val="000E2538"/>
    <w:rsid w:val="000E4783"/>
    <w:rsid w:val="000F46E7"/>
    <w:rsid w:val="000F4EC8"/>
    <w:rsid w:val="000F6A54"/>
    <w:rsid w:val="00104B9A"/>
    <w:rsid w:val="00104E64"/>
    <w:rsid w:val="00105806"/>
    <w:rsid w:val="001112BB"/>
    <w:rsid w:val="00113B1F"/>
    <w:rsid w:val="00117092"/>
    <w:rsid w:val="001171AA"/>
    <w:rsid w:val="00122DFC"/>
    <w:rsid w:val="00125388"/>
    <w:rsid w:val="00125D85"/>
    <w:rsid w:val="001316FD"/>
    <w:rsid w:val="00131C7E"/>
    <w:rsid w:val="00136AD1"/>
    <w:rsid w:val="00141E14"/>
    <w:rsid w:val="0014637D"/>
    <w:rsid w:val="0014664C"/>
    <w:rsid w:val="001475E6"/>
    <w:rsid w:val="00152C6B"/>
    <w:rsid w:val="001534C5"/>
    <w:rsid w:val="00155176"/>
    <w:rsid w:val="00155983"/>
    <w:rsid w:val="00160525"/>
    <w:rsid w:val="001623E6"/>
    <w:rsid w:val="00166282"/>
    <w:rsid w:val="00171FD5"/>
    <w:rsid w:val="0017566B"/>
    <w:rsid w:val="00193DE4"/>
    <w:rsid w:val="001A0C10"/>
    <w:rsid w:val="001A7A22"/>
    <w:rsid w:val="001B162D"/>
    <w:rsid w:val="001B725C"/>
    <w:rsid w:val="001B7AA4"/>
    <w:rsid w:val="001C4920"/>
    <w:rsid w:val="001C501B"/>
    <w:rsid w:val="001C5AD9"/>
    <w:rsid w:val="001C747A"/>
    <w:rsid w:val="001C7FD6"/>
    <w:rsid w:val="001D1168"/>
    <w:rsid w:val="001D1ABE"/>
    <w:rsid w:val="001D6AE4"/>
    <w:rsid w:val="001E41D2"/>
    <w:rsid w:val="001E52AA"/>
    <w:rsid w:val="001F39F3"/>
    <w:rsid w:val="001F78F2"/>
    <w:rsid w:val="0020088D"/>
    <w:rsid w:val="0020200A"/>
    <w:rsid w:val="00207970"/>
    <w:rsid w:val="002127B0"/>
    <w:rsid w:val="002149E5"/>
    <w:rsid w:val="00214A7D"/>
    <w:rsid w:val="0022534F"/>
    <w:rsid w:val="00227835"/>
    <w:rsid w:val="00227AA5"/>
    <w:rsid w:val="00232B3E"/>
    <w:rsid w:val="002348C2"/>
    <w:rsid w:val="00240ADC"/>
    <w:rsid w:val="00242173"/>
    <w:rsid w:val="00243BFE"/>
    <w:rsid w:val="00244B79"/>
    <w:rsid w:val="00246D15"/>
    <w:rsid w:val="00257188"/>
    <w:rsid w:val="002620BF"/>
    <w:rsid w:val="00262EDE"/>
    <w:rsid w:val="00271078"/>
    <w:rsid w:val="0027355A"/>
    <w:rsid w:val="00275374"/>
    <w:rsid w:val="00275FF7"/>
    <w:rsid w:val="00281A53"/>
    <w:rsid w:val="00282DFA"/>
    <w:rsid w:val="0028453E"/>
    <w:rsid w:val="00287738"/>
    <w:rsid w:val="002908B6"/>
    <w:rsid w:val="0029115F"/>
    <w:rsid w:val="00293450"/>
    <w:rsid w:val="002953CA"/>
    <w:rsid w:val="00296E9E"/>
    <w:rsid w:val="002A7698"/>
    <w:rsid w:val="002B5983"/>
    <w:rsid w:val="002B6392"/>
    <w:rsid w:val="002C04F9"/>
    <w:rsid w:val="002C0C09"/>
    <w:rsid w:val="002D1212"/>
    <w:rsid w:val="002D1388"/>
    <w:rsid w:val="002D173D"/>
    <w:rsid w:val="002D2BA9"/>
    <w:rsid w:val="002D2EAC"/>
    <w:rsid w:val="002D31C7"/>
    <w:rsid w:val="002D3870"/>
    <w:rsid w:val="002D5C05"/>
    <w:rsid w:val="002E536F"/>
    <w:rsid w:val="002E78E4"/>
    <w:rsid w:val="002F1A6C"/>
    <w:rsid w:val="002F41E8"/>
    <w:rsid w:val="002F68B2"/>
    <w:rsid w:val="00304AEB"/>
    <w:rsid w:val="00304DCD"/>
    <w:rsid w:val="00305637"/>
    <w:rsid w:val="003172F8"/>
    <w:rsid w:val="003344AF"/>
    <w:rsid w:val="00335985"/>
    <w:rsid w:val="00336255"/>
    <w:rsid w:val="00342422"/>
    <w:rsid w:val="0034309A"/>
    <w:rsid w:val="00343394"/>
    <w:rsid w:val="00344BA7"/>
    <w:rsid w:val="0035025D"/>
    <w:rsid w:val="00357063"/>
    <w:rsid w:val="003664B9"/>
    <w:rsid w:val="00381793"/>
    <w:rsid w:val="00382239"/>
    <w:rsid w:val="0038461C"/>
    <w:rsid w:val="0039027D"/>
    <w:rsid w:val="003902EC"/>
    <w:rsid w:val="00395739"/>
    <w:rsid w:val="003A0098"/>
    <w:rsid w:val="003A22B5"/>
    <w:rsid w:val="003B1F3F"/>
    <w:rsid w:val="003B2873"/>
    <w:rsid w:val="003B4279"/>
    <w:rsid w:val="003C64C5"/>
    <w:rsid w:val="003E49BD"/>
    <w:rsid w:val="003E7825"/>
    <w:rsid w:val="003E7AA2"/>
    <w:rsid w:val="003F1A41"/>
    <w:rsid w:val="003F4A15"/>
    <w:rsid w:val="00402D05"/>
    <w:rsid w:val="0040546D"/>
    <w:rsid w:val="00407062"/>
    <w:rsid w:val="00412090"/>
    <w:rsid w:val="0041259F"/>
    <w:rsid w:val="00413ED9"/>
    <w:rsid w:val="00415A58"/>
    <w:rsid w:val="00415B2E"/>
    <w:rsid w:val="00435ECB"/>
    <w:rsid w:val="00443D3F"/>
    <w:rsid w:val="00446DF9"/>
    <w:rsid w:val="00454D79"/>
    <w:rsid w:val="00463CD3"/>
    <w:rsid w:val="004764D5"/>
    <w:rsid w:val="004863E9"/>
    <w:rsid w:val="004875EC"/>
    <w:rsid w:val="004A5416"/>
    <w:rsid w:val="004A6D84"/>
    <w:rsid w:val="004B2A48"/>
    <w:rsid w:val="004B5543"/>
    <w:rsid w:val="004B7A86"/>
    <w:rsid w:val="004C3BDD"/>
    <w:rsid w:val="004D3D68"/>
    <w:rsid w:val="004D42A3"/>
    <w:rsid w:val="004E2636"/>
    <w:rsid w:val="004E6602"/>
    <w:rsid w:val="004F0ACE"/>
    <w:rsid w:val="004F5441"/>
    <w:rsid w:val="0050058A"/>
    <w:rsid w:val="0050183F"/>
    <w:rsid w:val="005146B6"/>
    <w:rsid w:val="00515251"/>
    <w:rsid w:val="00520D76"/>
    <w:rsid w:val="00527245"/>
    <w:rsid w:val="005313DB"/>
    <w:rsid w:val="0054096E"/>
    <w:rsid w:val="0054248F"/>
    <w:rsid w:val="00543A84"/>
    <w:rsid w:val="00551F13"/>
    <w:rsid w:val="00563FC7"/>
    <w:rsid w:val="00565A9C"/>
    <w:rsid w:val="0057099D"/>
    <w:rsid w:val="00570DC5"/>
    <w:rsid w:val="00571BD8"/>
    <w:rsid w:val="00573CD5"/>
    <w:rsid w:val="00575E61"/>
    <w:rsid w:val="00577EB6"/>
    <w:rsid w:val="00580D38"/>
    <w:rsid w:val="00586465"/>
    <w:rsid w:val="00586DB8"/>
    <w:rsid w:val="0059073D"/>
    <w:rsid w:val="005B14A7"/>
    <w:rsid w:val="005B180B"/>
    <w:rsid w:val="005C32F5"/>
    <w:rsid w:val="005D4519"/>
    <w:rsid w:val="005E433C"/>
    <w:rsid w:val="005E73B6"/>
    <w:rsid w:val="005F09AF"/>
    <w:rsid w:val="00605BF0"/>
    <w:rsid w:val="00614C93"/>
    <w:rsid w:val="006173B9"/>
    <w:rsid w:val="00620988"/>
    <w:rsid w:val="0062750C"/>
    <w:rsid w:val="00636B42"/>
    <w:rsid w:val="00642027"/>
    <w:rsid w:val="00642279"/>
    <w:rsid w:val="00657531"/>
    <w:rsid w:val="006579C6"/>
    <w:rsid w:val="00657C63"/>
    <w:rsid w:val="006667DC"/>
    <w:rsid w:val="00674940"/>
    <w:rsid w:val="0068295E"/>
    <w:rsid w:val="00682C49"/>
    <w:rsid w:val="00685330"/>
    <w:rsid w:val="00685638"/>
    <w:rsid w:val="00685FA5"/>
    <w:rsid w:val="00686AA4"/>
    <w:rsid w:val="006920A1"/>
    <w:rsid w:val="0069247A"/>
    <w:rsid w:val="00692D5B"/>
    <w:rsid w:val="006961C0"/>
    <w:rsid w:val="006A2542"/>
    <w:rsid w:val="006A7B49"/>
    <w:rsid w:val="006B086C"/>
    <w:rsid w:val="006B0C47"/>
    <w:rsid w:val="006B1B8D"/>
    <w:rsid w:val="006C08B9"/>
    <w:rsid w:val="006C23FF"/>
    <w:rsid w:val="006D746C"/>
    <w:rsid w:val="006E0931"/>
    <w:rsid w:val="006F081A"/>
    <w:rsid w:val="007017A0"/>
    <w:rsid w:val="0070289B"/>
    <w:rsid w:val="007107EE"/>
    <w:rsid w:val="0072097A"/>
    <w:rsid w:val="00726868"/>
    <w:rsid w:val="007268FA"/>
    <w:rsid w:val="00732745"/>
    <w:rsid w:val="00732C8C"/>
    <w:rsid w:val="007353D9"/>
    <w:rsid w:val="0074143C"/>
    <w:rsid w:val="00747855"/>
    <w:rsid w:val="00747B87"/>
    <w:rsid w:val="00747D49"/>
    <w:rsid w:val="00751CE7"/>
    <w:rsid w:val="0075244C"/>
    <w:rsid w:val="00756F43"/>
    <w:rsid w:val="007672D5"/>
    <w:rsid w:val="00774E0F"/>
    <w:rsid w:val="007765AE"/>
    <w:rsid w:val="00785B62"/>
    <w:rsid w:val="007904DC"/>
    <w:rsid w:val="00794191"/>
    <w:rsid w:val="007943A4"/>
    <w:rsid w:val="00794869"/>
    <w:rsid w:val="00794E4B"/>
    <w:rsid w:val="00794F7B"/>
    <w:rsid w:val="007B0664"/>
    <w:rsid w:val="007B1779"/>
    <w:rsid w:val="007B2632"/>
    <w:rsid w:val="007C20C0"/>
    <w:rsid w:val="007C551B"/>
    <w:rsid w:val="007C660E"/>
    <w:rsid w:val="007C79FC"/>
    <w:rsid w:val="007D0C2E"/>
    <w:rsid w:val="007D3541"/>
    <w:rsid w:val="007D41D3"/>
    <w:rsid w:val="007E6A80"/>
    <w:rsid w:val="007F5FCB"/>
    <w:rsid w:val="007F7ACD"/>
    <w:rsid w:val="008073A3"/>
    <w:rsid w:val="0081629D"/>
    <w:rsid w:val="00822B89"/>
    <w:rsid w:val="0082491C"/>
    <w:rsid w:val="008253D0"/>
    <w:rsid w:val="00832EA9"/>
    <w:rsid w:val="008331F0"/>
    <w:rsid w:val="00833B8E"/>
    <w:rsid w:val="00834ED3"/>
    <w:rsid w:val="008363E7"/>
    <w:rsid w:val="00842218"/>
    <w:rsid w:val="008423E5"/>
    <w:rsid w:val="0084395B"/>
    <w:rsid w:val="00845CA4"/>
    <w:rsid w:val="00846516"/>
    <w:rsid w:val="0084744E"/>
    <w:rsid w:val="0084760A"/>
    <w:rsid w:val="00851506"/>
    <w:rsid w:val="00855BBD"/>
    <w:rsid w:val="0086077F"/>
    <w:rsid w:val="008656F6"/>
    <w:rsid w:val="00866FA4"/>
    <w:rsid w:val="00867132"/>
    <w:rsid w:val="00877CFD"/>
    <w:rsid w:val="00886831"/>
    <w:rsid w:val="00887535"/>
    <w:rsid w:val="00887A7F"/>
    <w:rsid w:val="00890949"/>
    <w:rsid w:val="008950CE"/>
    <w:rsid w:val="00896DDA"/>
    <w:rsid w:val="008A1176"/>
    <w:rsid w:val="008A26A6"/>
    <w:rsid w:val="008A4834"/>
    <w:rsid w:val="008B0CA5"/>
    <w:rsid w:val="008B6C7C"/>
    <w:rsid w:val="008D2AD3"/>
    <w:rsid w:val="008D3EE8"/>
    <w:rsid w:val="008D5D8B"/>
    <w:rsid w:val="008E029F"/>
    <w:rsid w:val="008E194E"/>
    <w:rsid w:val="008E1DB9"/>
    <w:rsid w:val="008E2794"/>
    <w:rsid w:val="008E76C8"/>
    <w:rsid w:val="008F331A"/>
    <w:rsid w:val="008F7DD2"/>
    <w:rsid w:val="0090096E"/>
    <w:rsid w:val="009049CC"/>
    <w:rsid w:val="0090576B"/>
    <w:rsid w:val="00910E1F"/>
    <w:rsid w:val="0091219F"/>
    <w:rsid w:val="00920C41"/>
    <w:rsid w:val="009230FF"/>
    <w:rsid w:val="0093209F"/>
    <w:rsid w:val="009363FD"/>
    <w:rsid w:val="0093681C"/>
    <w:rsid w:val="00937216"/>
    <w:rsid w:val="009421C2"/>
    <w:rsid w:val="00943D91"/>
    <w:rsid w:val="00962390"/>
    <w:rsid w:val="00965D3F"/>
    <w:rsid w:val="00984669"/>
    <w:rsid w:val="009870FB"/>
    <w:rsid w:val="009906D9"/>
    <w:rsid w:val="00997EEA"/>
    <w:rsid w:val="009A2EF9"/>
    <w:rsid w:val="009A37DF"/>
    <w:rsid w:val="009B1438"/>
    <w:rsid w:val="009C7C92"/>
    <w:rsid w:val="009D056A"/>
    <w:rsid w:val="009D3C2C"/>
    <w:rsid w:val="009D7232"/>
    <w:rsid w:val="009E18D0"/>
    <w:rsid w:val="009E3654"/>
    <w:rsid w:val="009E36E6"/>
    <w:rsid w:val="00A01C18"/>
    <w:rsid w:val="00A02674"/>
    <w:rsid w:val="00A03009"/>
    <w:rsid w:val="00A03157"/>
    <w:rsid w:val="00A05A6F"/>
    <w:rsid w:val="00A06FF6"/>
    <w:rsid w:val="00A13BCB"/>
    <w:rsid w:val="00A23F1D"/>
    <w:rsid w:val="00A240DB"/>
    <w:rsid w:val="00A33A35"/>
    <w:rsid w:val="00A3659D"/>
    <w:rsid w:val="00A37DF0"/>
    <w:rsid w:val="00A4238D"/>
    <w:rsid w:val="00A50E3B"/>
    <w:rsid w:val="00A60781"/>
    <w:rsid w:val="00A6349D"/>
    <w:rsid w:val="00A6406B"/>
    <w:rsid w:val="00A70D4F"/>
    <w:rsid w:val="00A778CB"/>
    <w:rsid w:val="00A81363"/>
    <w:rsid w:val="00A8137E"/>
    <w:rsid w:val="00A85474"/>
    <w:rsid w:val="00A86119"/>
    <w:rsid w:val="00A95970"/>
    <w:rsid w:val="00A97194"/>
    <w:rsid w:val="00AA2D67"/>
    <w:rsid w:val="00AA6F2F"/>
    <w:rsid w:val="00AB037D"/>
    <w:rsid w:val="00AB5248"/>
    <w:rsid w:val="00AB5FFE"/>
    <w:rsid w:val="00AC126B"/>
    <w:rsid w:val="00AC1D17"/>
    <w:rsid w:val="00AC3373"/>
    <w:rsid w:val="00AC5D8B"/>
    <w:rsid w:val="00AD4700"/>
    <w:rsid w:val="00AD541C"/>
    <w:rsid w:val="00AD5FD4"/>
    <w:rsid w:val="00AF33E0"/>
    <w:rsid w:val="00AF7D27"/>
    <w:rsid w:val="00B06285"/>
    <w:rsid w:val="00B07A41"/>
    <w:rsid w:val="00B110DB"/>
    <w:rsid w:val="00B14741"/>
    <w:rsid w:val="00B1480B"/>
    <w:rsid w:val="00B20FA8"/>
    <w:rsid w:val="00B24F98"/>
    <w:rsid w:val="00B27762"/>
    <w:rsid w:val="00B31F36"/>
    <w:rsid w:val="00B36DB5"/>
    <w:rsid w:val="00B41DBB"/>
    <w:rsid w:val="00B42278"/>
    <w:rsid w:val="00B435EA"/>
    <w:rsid w:val="00B47AD5"/>
    <w:rsid w:val="00B52787"/>
    <w:rsid w:val="00B53459"/>
    <w:rsid w:val="00B53575"/>
    <w:rsid w:val="00B557CE"/>
    <w:rsid w:val="00B6249D"/>
    <w:rsid w:val="00B631A8"/>
    <w:rsid w:val="00B64DA6"/>
    <w:rsid w:val="00B67446"/>
    <w:rsid w:val="00B70935"/>
    <w:rsid w:val="00B73688"/>
    <w:rsid w:val="00B74451"/>
    <w:rsid w:val="00B83F1E"/>
    <w:rsid w:val="00B91C31"/>
    <w:rsid w:val="00B929E3"/>
    <w:rsid w:val="00BA2EDE"/>
    <w:rsid w:val="00BA4EFB"/>
    <w:rsid w:val="00BA56A1"/>
    <w:rsid w:val="00BA7375"/>
    <w:rsid w:val="00BA7B2D"/>
    <w:rsid w:val="00BB2160"/>
    <w:rsid w:val="00BB2DCE"/>
    <w:rsid w:val="00BB46BD"/>
    <w:rsid w:val="00BC2022"/>
    <w:rsid w:val="00BC37B8"/>
    <w:rsid w:val="00BC5884"/>
    <w:rsid w:val="00BD047F"/>
    <w:rsid w:val="00BD0DD3"/>
    <w:rsid w:val="00BD21A8"/>
    <w:rsid w:val="00BD236A"/>
    <w:rsid w:val="00BD3C65"/>
    <w:rsid w:val="00BE0254"/>
    <w:rsid w:val="00BF0489"/>
    <w:rsid w:val="00BF0C56"/>
    <w:rsid w:val="00BF28A4"/>
    <w:rsid w:val="00C009EC"/>
    <w:rsid w:val="00C05700"/>
    <w:rsid w:val="00C23D69"/>
    <w:rsid w:val="00C24CBD"/>
    <w:rsid w:val="00C303AB"/>
    <w:rsid w:val="00C31063"/>
    <w:rsid w:val="00C3588E"/>
    <w:rsid w:val="00C35F35"/>
    <w:rsid w:val="00C36547"/>
    <w:rsid w:val="00C3701A"/>
    <w:rsid w:val="00C40C6D"/>
    <w:rsid w:val="00C43DD3"/>
    <w:rsid w:val="00C451EA"/>
    <w:rsid w:val="00C45B1B"/>
    <w:rsid w:val="00C4643B"/>
    <w:rsid w:val="00C51195"/>
    <w:rsid w:val="00C5129F"/>
    <w:rsid w:val="00C52330"/>
    <w:rsid w:val="00C53EA2"/>
    <w:rsid w:val="00C60D14"/>
    <w:rsid w:val="00C623F5"/>
    <w:rsid w:val="00C65CAE"/>
    <w:rsid w:val="00C70A56"/>
    <w:rsid w:val="00C7322F"/>
    <w:rsid w:val="00C76667"/>
    <w:rsid w:val="00C7746E"/>
    <w:rsid w:val="00C82327"/>
    <w:rsid w:val="00C82A57"/>
    <w:rsid w:val="00C82BA8"/>
    <w:rsid w:val="00C85DE9"/>
    <w:rsid w:val="00C87015"/>
    <w:rsid w:val="00C94B59"/>
    <w:rsid w:val="00C971E1"/>
    <w:rsid w:val="00CA49B7"/>
    <w:rsid w:val="00CA4C25"/>
    <w:rsid w:val="00CB3F34"/>
    <w:rsid w:val="00CC3842"/>
    <w:rsid w:val="00CC621E"/>
    <w:rsid w:val="00CC7B35"/>
    <w:rsid w:val="00CF22B0"/>
    <w:rsid w:val="00CF236E"/>
    <w:rsid w:val="00CF2E7A"/>
    <w:rsid w:val="00CF3743"/>
    <w:rsid w:val="00D0022E"/>
    <w:rsid w:val="00D00AAE"/>
    <w:rsid w:val="00D02970"/>
    <w:rsid w:val="00D04EE7"/>
    <w:rsid w:val="00D065FE"/>
    <w:rsid w:val="00D10127"/>
    <w:rsid w:val="00D1795B"/>
    <w:rsid w:val="00D261CB"/>
    <w:rsid w:val="00D310CE"/>
    <w:rsid w:val="00D34934"/>
    <w:rsid w:val="00D428D3"/>
    <w:rsid w:val="00D436B8"/>
    <w:rsid w:val="00D57916"/>
    <w:rsid w:val="00D60110"/>
    <w:rsid w:val="00D60909"/>
    <w:rsid w:val="00D6466E"/>
    <w:rsid w:val="00D77154"/>
    <w:rsid w:val="00D80C55"/>
    <w:rsid w:val="00D8264F"/>
    <w:rsid w:val="00D850EB"/>
    <w:rsid w:val="00D870F7"/>
    <w:rsid w:val="00D92644"/>
    <w:rsid w:val="00D96263"/>
    <w:rsid w:val="00D96267"/>
    <w:rsid w:val="00D96985"/>
    <w:rsid w:val="00D96D03"/>
    <w:rsid w:val="00D977D2"/>
    <w:rsid w:val="00D97D28"/>
    <w:rsid w:val="00DA2C46"/>
    <w:rsid w:val="00DB1337"/>
    <w:rsid w:val="00DB171F"/>
    <w:rsid w:val="00DB1D51"/>
    <w:rsid w:val="00DB24BE"/>
    <w:rsid w:val="00DB4FA6"/>
    <w:rsid w:val="00DC0220"/>
    <w:rsid w:val="00DC11C2"/>
    <w:rsid w:val="00DC50F2"/>
    <w:rsid w:val="00DC68B0"/>
    <w:rsid w:val="00DD147C"/>
    <w:rsid w:val="00DD2576"/>
    <w:rsid w:val="00DD66FD"/>
    <w:rsid w:val="00DE0DCE"/>
    <w:rsid w:val="00DE1906"/>
    <w:rsid w:val="00DE545A"/>
    <w:rsid w:val="00DE637B"/>
    <w:rsid w:val="00DE6A9C"/>
    <w:rsid w:val="00DF1710"/>
    <w:rsid w:val="00DF3E1F"/>
    <w:rsid w:val="00DF638C"/>
    <w:rsid w:val="00DF67C7"/>
    <w:rsid w:val="00E03E4E"/>
    <w:rsid w:val="00E04859"/>
    <w:rsid w:val="00E1423A"/>
    <w:rsid w:val="00E146B4"/>
    <w:rsid w:val="00E24023"/>
    <w:rsid w:val="00E36F45"/>
    <w:rsid w:val="00E42022"/>
    <w:rsid w:val="00E43C49"/>
    <w:rsid w:val="00E44B1E"/>
    <w:rsid w:val="00E52E21"/>
    <w:rsid w:val="00E6062F"/>
    <w:rsid w:val="00E612C7"/>
    <w:rsid w:val="00E627AF"/>
    <w:rsid w:val="00E71D78"/>
    <w:rsid w:val="00E77062"/>
    <w:rsid w:val="00E85E61"/>
    <w:rsid w:val="00E87CF4"/>
    <w:rsid w:val="00E9544A"/>
    <w:rsid w:val="00EA3FA6"/>
    <w:rsid w:val="00EA5F17"/>
    <w:rsid w:val="00EB09EE"/>
    <w:rsid w:val="00EB1E9E"/>
    <w:rsid w:val="00EC1074"/>
    <w:rsid w:val="00ED20E2"/>
    <w:rsid w:val="00ED5711"/>
    <w:rsid w:val="00ED5A0B"/>
    <w:rsid w:val="00EE27CA"/>
    <w:rsid w:val="00EE667E"/>
    <w:rsid w:val="00EE7D91"/>
    <w:rsid w:val="00EF22E9"/>
    <w:rsid w:val="00EF383F"/>
    <w:rsid w:val="00EF645F"/>
    <w:rsid w:val="00F0073E"/>
    <w:rsid w:val="00F014D7"/>
    <w:rsid w:val="00F11E57"/>
    <w:rsid w:val="00F2138C"/>
    <w:rsid w:val="00F24F3D"/>
    <w:rsid w:val="00F31D64"/>
    <w:rsid w:val="00F400F6"/>
    <w:rsid w:val="00F419AE"/>
    <w:rsid w:val="00F443C2"/>
    <w:rsid w:val="00F44BFF"/>
    <w:rsid w:val="00F44C61"/>
    <w:rsid w:val="00F47CDE"/>
    <w:rsid w:val="00F514F0"/>
    <w:rsid w:val="00F54494"/>
    <w:rsid w:val="00F54840"/>
    <w:rsid w:val="00F549A8"/>
    <w:rsid w:val="00F54E5D"/>
    <w:rsid w:val="00F57FCB"/>
    <w:rsid w:val="00F612DB"/>
    <w:rsid w:val="00F65415"/>
    <w:rsid w:val="00F667FF"/>
    <w:rsid w:val="00F66AD9"/>
    <w:rsid w:val="00F7434F"/>
    <w:rsid w:val="00F7549C"/>
    <w:rsid w:val="00F7685D"/>
    <w:rsid w:val="00F823C6"/>
    <w:rsid w:val="00F93FE8"/>
    <w:rsid w:val="00F950CC"/>
    <w:rsid w:val="00F96499"/>
    <w:rsid w:val="00FA344A"/>
    <w:rsid w:val="00FB2060"/>
    <w:rsid w:val="00FB2459"/>
    <w:rsid w:val="00FB2717"/>
    <w:rsid w:val="00FB68E5"/>
    <w:rsid w:val="00FB7B80"/>
    <w:rsid w:val="00FC0BD4"/>
    <w:rsid w:val="00FD3B09"/>
    <w:rsid w:val="00FD71BA"/>
    <w:rsid w:val="00FF3805"/>
    <w:rsid w:val="00FF6018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E2999"/>
  <w15:chartTrackingRefBased/>
  <w15:docId w15:val="{85D8EFBC-F4A8-4006-AA26-D49E3796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4C5"/>
    <w:rPr>
      <w:lang w:val="es-ES_tradnl"/>
    </w:rPr>
  </w:style>
  <w:style w:type="paragraph" w:styleId="Ttulo1">
    <w:name w:val="heading 1"/>
    <w:basedOn w:val="Normal"/>
    <w:link w:val="Ttulo1Car"/>
    <w:uiPriority w:val="1"/>
    <w:qFormat/>
    <w:rsid w:val="00F0073E"/>
    <w:pPr>
      <w:widowControl w:val="0"/>
      <w:autoSpaceDE w:val="0"/>
      <w:autoSpaceDN w:val="0"/>
      <w:spacing w:before="9" w:after="0" w:line="240" w:lineRule="auto"/>
      <w:ind w:left="134"/>
      <w:outlineLvl w:val="0"/>
    </w:pPr>
    <w:rPr>
      <w:rFonts w:ascii="Arial MT" w:eastAsia="Arial MT" w:hAnsi="Arial MT" w:cs="Arial MT"/>
      <w:sz w:val="25"/>
      <w:szCs w:val="25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3F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B4F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0073E"/>
    <w:rPr>
      <w:rFonts w:ascii="Arial MT" w:eastAsia="Arial MT" w:hAnsi="Arial MT" w:cs="Arial MT"/>
      <w:sz w:val="25"/>
      <w:szCs w:val="25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953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53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953C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2953C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2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2EA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70D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C5"/>
  </w:style>
  <w:style w:type="paragraph" w:styleId="Piedepgina">
    <w:name w:val="footer"/>
    <w:basedOn w:val="Normal"/>
    <w:link w:val="PiedepginaCar"/>
    <w:uiPriority w:val="99"/>
    <w:unhideWhenUsed/>
    <w:rsid w:val="00570D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C5"/>
  </w:style>
  <w:style w:type="table" w:styleId="Tablaconcuadrcula">
    <w:name w:val="Table Grid"/>
    <w:basedOn w:val="Tablanormal"/>
    <w:uiPriority w:val="39"/>
    <w:rsid w:val="00F51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6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C2022"/>
    <w:rPr>
      <w:color w:val="954F72" w:themeColor="followedHyperlink"/>
      <w:u w:val="single"/>
    </w:rPr>
  </w:style>
  <w:style w:type="paragraph" w:styleId="Prrafodelista">
    <w:name w:val="List Paragraph"/>
    <w:aliases w:val="Imagen,Tabla de contenido"/>
    <w:basedOn w:val="Normal"/>
    <w:link w:val="PrrafodelistaCar"/>
    <w:uiPriority w:val="34"/>
    <w:qFormat/>
    <w:rsid w:val="00CF3743"/>
    <w:pPr>
      <w:ind w:left="720"/>
      <w:contextualSpacing/>
    </w:pPr>
  </w:style>
  <w:style w:type="character" w:customStyle="1" w:styleId="PrrafodelistaCar">
    <w:name w:val="Párrafo de lista Car"/>
    <w:aliases w:val="Imagen Car,Tabla de contenido Car"/>
    <w:link w:val="Prrafodelista"/>
    <w:uiPriority w:val="34"/>
    <w:locked/>
    <w:rsid w:val="004A6D84"/>
  </w:style>
  <w:style w:type="paragraph" w:customStyle="1" w:styleId="TableParagraph">
    <w:name w:val="Table Paragraph"/>
    <w:basedOn w:val="Normal"/>
    <w:uiPriority w:val="1"/>
    <w:qFormat/>
    <w:rsid w:val="00F007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0073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073E"/>
    <w:rPr>
      <w:rFonts w:ascii="Arial MT" w:eastAsia="Arial MT" w:hAnsi="Arial MT" w:cs="Arial MT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149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49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49E5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49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49E5"/>
    <w:rPr>
      <w:b/>
      <w:bCs/>
      <w:sz w:val="20"/>
      <w:szCs w:val="20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B4F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3037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30373"/>
    <w:rPr>
      <w:sz w:val="20"/>
      <w:szCs w:val="20"/>
      <w:lang w:val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030373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262E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6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apple-converted-space">
    <w:name w:val="apple-converted-space"/>
    <w:basedOn w:val="Fuentedeprrafopredeter"/>
    <w:rsid w:val="00B435EA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F0AC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F0ACE"/>
    <w:rPr>
      <w:lang w:val="es-ES_tradnl"/>
    </w:rPr>
  </w:style>
  <w:style w:type="paragraph" w:customStyle="1" w:styleId="Default">
    <w:name w:val="Default"/>
    <w:rsid w:val="004F0A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3F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character" w:customStyle="1" w:styleId="Ninguno">
    <w:name w:val="Ninguno"/>
    <w:rsid w:val="004F5441"/>
    <w:rPr>
      <w:lang w:val="de-DE"/>
    </w:rPr>
  </w:style>
  <w:style w:type="paragraph" w:customStyle="1" w:styleId="Cuerpo">
    <w:name w:val="Cuerpo"/>
    <w:rsid w:val="004F544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MarcadorDePosición1</b:Tag>
    <b:SourceType>Book</b:SourceType>
    <b:Guid>{8153C5DD-80B7-45BD-99DC-5D97F534C12A}</b:Guid>
    <b:RefOrder>1</b:RefOrder>
  </b:Source>
</b:Sources>
</file>

<file path=customXml/itemProps1.xml><?xml version="1.0" encoding="utf-8"?>
<ds:datastoreItem xmlns:ds="http://schemas.openxmlformats.org/officeDocument/2006/customXml" ds:itemID="{C6BE0236-7E74-4A0B-862F-CBA0CF42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1611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Cruces Franco</dc:creator>
  <cp:keywords/>
  <dc:description/>
  <cp:lastModifiedBy>Brenda Sarahi Gonzalez Dominguez</cp:lastModifiedBy>
  <cp:revision>2</cp:revision>
  <cp:lastPrinted>2023-03-21T18:33:00Z</cp:lastPrinted>
  <dcterms:created xsi:type="dcterms:W3CDTF">2023-03-21T18:33:00Z</dcterms:created>
  <dcterms:modified xsi:type="dcterms:W3CDTF">2023-03-21T18:33:00Z</dcterms:modified>
</cp:coreProperties>
</file>