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8586" w14:textId="77777777" w:rsidR="00A27A81" w:rsidRDefault="00A27A81" w:rsidP="00A27A81">
      <w:pPr>
        <w:spacing w:line="360" w:lineRule="auto"/>
        <w:jc w:val="both"/>
        <w:rPr>
          <w:rFonts w:ascii="Century Gothic" w:hAnsi="Century Gothic"/>
          <w:b/>
          <w:bCs/>
          <w:sz w:val="24"/>
          <w:szCs w:val="24"/>
        </w:rPr>
      </w:pPr>
      <w:r>
        <w:rPr>
          <w:rFonts w:ascii="Century Gothic" w:hAnsi="Century Gothic"/>
          <w:b/>
          <w:bCs/>
          <w:sz w:val="24"/>
          <w:szCs w:val="24"/>
        </w:rPr>
        <w:t xml:space="preserve">HONORABLE CONGRESO DEL ESTADO DE CHIHUAHUA </w:t>
      </w:r>
    </w:p>
    <w:p w14:paraId="48912DE9" w14:textId="77777777" w:rsidR="00A27A81" w:rsidRDefault="00A27A81" w:rsidP="00A27A81">
      <w:pPr>
        <w:tabs>
          <w:tab w:val="right" w:pos="8838"/>
        </w:tabs>
        <w:spacing w:line="360" w:lineRule="auto"/>
        <w:jc w:val="both"/>
        <w:rPr>
          <w:rFonts w:ascii="Century Gothic" w:hAnsi="Century Gothic"/>
          <w:b/>
          <w:bCs/>
          <w:kern w:val="2"/>
          <w:sz w:val="24"/>
          <w:szCs w:val="24"/>
        </w:rPr>
      </w:pPr>
      <w:r>
        <w:rPr>
          <w:rFonts w:ascii="Century Gothic" w:hAnsi="Century Gothic"/>
          <w:b/>
          <w:bCs/>
          <w:sz w:val="24"/>
          <w:szCs w:val="24"/>
        </w:rPr>
        <w:t>P R E S E N T E.</w:t>
      </w:r>
    </w:p>
    <w:p w14:paraId="049B2162" w14:textId="075ABFAA" w:rsidR="00A27A81" w:rsidRDefault="00A27A81" w:rsidP="00A27A81">
      <w:pPr>
        <w:spacing w:line="360" w:lineRule="auto"/>
        <w:jc w:val="both"/>
        <w:rPr>
          <w:rFonts w:ascii="Century Gothic" w:eastAsia="Century Gothic" w:hAnsi="Century Gothic" w:cs="Century Gothic"/>
          <w:bCs/>
          <w:sz w:val="24"/>
          <w:szCs w:val="24"/>
        </w:rPr>
      </w:pPr>
      <w:r>
        <w:rPr>
          <w:rFonts w:ascii="Century Gothic" w:eastAsia="Century Gothic" w:hAnsi="Century Gothic" w:cs="Century Gothic"/>
          <w:sz w:val="24"/>
          <w:szCs w:val="24"/>
        </w:rPr>
        <w:t xml:space="preserve">Los que suscriben, </w:t>
      </w:r>
      <w:r>
        <w:rPr>
          <w:rFonts w:ascii="Century Gothic" w:eastAsia="Century Gothic" w:hAnsi="Century Gothic" w:cs="Century Gothic"/>
          <w:b/>
          <w:bCs/>
          <w:sz w:val="24"/>
          <w:szCs w:val="24"/>
        </w:rPr>
        <w:t xml:space="preserve">Leticia Ortega Máynez, Edin Cuauhtémoc Estrada Sotelo, Óscar Daniel Avitia Arellanes, Rosana Díaz Reyes, Gustavo De la Rosa </w:t>
      </w:r>
      <w:proofErr w:type="spellStart"/>
      <w:r>
        <w:rPr>
          <w:rFonts w:ascii="Century Gothic" w:eastAsia="Century Gothic" w:hAnsi="Century Gothic" w:cs="Century Gothic"/>
          <w:b/>
          <w:bCs/>
          <w:sz w:val="24"/>
          <w:szCs w:val="24"/>
        </w:rPr>
        <w:t>Hickerson</w:t>
      </w:r>
      <w:proofErr w:type="spellEnd"/>
      <w:r>
        <w:rPr>
          <w:rFonts w:ascii="Century Gothic" w:eastAsia="Century Gothic" w:hAnsi="Century Gothic" w:cs="Century Gothic"/>
          <w:b/>
          <w:bCs/>
          <w:sz w:val="24"/>
          <w:szCs w:val="24"/>
        </w:rPr>
        <w:t>, Ilse América García Soto, Magdalena Rentería Pérez, María Antonieta Pérez Reyes, Benjamín Carrera Chávez y David Óscar Castrejón Rivas,</w:t>
      </w:r>
      <w:r>
        <w:rPr>
          <w:rFonts w:ascii="Century Gothic" w:eastAsia="Century Gothic" w:hAnsi="Century Gothic" w:cs="Century Gothic"/>
          <w:sz w:val="24"/>
          <w:szCs w:val="24"/>
        </w:rPr>
        <w:t xml:space="preserve">  en nuestro carácter de Diputadas y Diputados de la Sexagésima Séptima Legislatura del Honorable Congreso del Estado de Chihuahua e integrantes del </w:t>
      </w:r>
      <w:r>
        <w:rPr>
          <w:rFonts w:ascii="Century Gothic" w:eastAsia="Century Gothic" w:hAnsi="Century Gothic" w:cs="Century Gothic"/>
          <w:b/>
          <w:bCs/>
          <w:sz w:val="24"/>
          <w:szCs w:val="24"/>
        </w:rPr>
        <w:t>Grupo Parlamentario de Morena</w:t>
      </w:r>
      <w:r>
        <w:rPr>
          <w:rFonts w:ascii="Century Gothic" w:eastAsia="Century Gothic" w:hAnsi="Century Gothic" w:cs="Century Gothic"/>
          <w:sz w:val="24"/>
          <w:szCs w:val="24"/>
        </w:rPr>
        <w:t>, con fundamento en lo dispuesto por los artículos 68 fracción I, de la Constitución Política del Estado de Chihuahua;167 fracción I, de la Ley Orgánica del Poder Legislativo; así como los numerales 75 y 77 del Reglamento Interior de Prácticas Parlamentarias del Poder Legislativo; todos ordenamientos del Estado de Chihuahua, acudimos ante esta Honorable Asamblea Legislativa</w:t>
      </w:r>
      <w:r>
        <w:rPr>
          <w:rFonts w:ascii="Century Gothic" w:eastAsia="Century Gothic" w:hAnsi="Century Gothic" w:cs="Century Gothic"/>
          <w:bCs/>
          <w:sz w:val="24"/>
          <w:szCs w:val="24"/>
        </w:rPr>
        <w:t xml:space="preserve">, </w:t>
      </w:r>
      <w:r>
        <w:rPr>
          <w:rFonts w:ascii="Century Gothic" w:eastAsia="Century Gothic" w:hAnsi="Century Gothic" w:cs="Century Gothic"/>
          <w:b/>
          <w:sz w:val="24"/>
          <w:szCs w:val="24"/>
        </w:rPr>
        <w:t xml:space="preserve">a fin de presentar iniciativa con carácter de decreto con la intención de </w:t>
      </w:r>
      <w:r w:rsidR="00B6552F" w:rsidRPr="00334B83">
        <w:rPr>
          <w:rFonts w:ascii="Century Gothic" w:hAnsi="Century Gothic" w:cs="Arial"/>
          <w:b/>
          <w:bCs/>
          <w:sz w:val="24"/>
        </w:rPr>
        <w:t>adicionar el artículo 421 Ter y la fracción IV al artículo 424 del</w:t>
      </w:r>
      <w:r w:rsidR="00B6552F">
        <w:rPr>
          <w:rFonts w:ascii="Century Gothic" w:hAnsi="Century Gothic" w:cs="Arial"/>
          <w:sz w:val="24"/>
        </w:rPr>
        <w:t xml:space="preserve"> </w:t>
      </w:r>
      <w:r w:rsidR="00B6552F">
        <w:rPr>
          <w:rFonts w:ascii="Century Gothic" w:hAnsi="Century Gothic" w:cs="Arial"/>
          <w:b/>
          <w:sz w:val="24"/>
        </w:rPr>
        <w:t xml:space="preserve">Código Civil del Estado de Chihuahua, así como el articulo </w:t>
      </w:r>
      <w:r w:rsidR="00B6552F" w:rsidRPr="00B6552F">
        <w:rPr>
          <w:rFonts w:ascii="Century Gothic" w:hAnsi="Century Gothic" w:cs="Arial"/>
          <w:b/>
          <w:bCs/>
          <w:sz w:val="24"/>
        </w:rPr>
        <w:t>126 Ter al Código Penal</w:t>
      </w:r>
      <w:r w:rsidR="00B6552F">
        <w:rPr>
          <w:rFonts w:ascii="Century Gothic" w:hAnsi="Century Gothic" w:cs="Arial"/>
          <w:b/>
          <w:bCs/>
          <w:sz w:val="24"/>
        </w:rPr>
        <w:t>,</w:t>
      </w:r>
      <w:r w:rsidR="00B6552F">
        <w:rPr>
          <w:rFonts w:ascii="Century Gothic" w:hAnsi="Century Gothic" w:cs="Arial"/>
          <w:b/>
          <w:sz w:val="24"/>
        </w:rPr>
        <w:t xml:space="preserve"> </w:t>
      </w:r>
      <w:r>
        <w:rPr>
          <w:rFonts w:ascii="Century Gothic" w:hAnsi="Century Gothic"/>
          <w:b/>
          <w:sz w:val="24"/>
          <w:szCs w:val="24"/>
        </w:rPr>
        <w:t xml:space="preserve"> </w:t>
      </w:r>
      <w:r>
        <w:rPr>
          <w:rFonts w:ascii="Century Gothic" w:eastAsia="Century Gothic" w:hAnsi="Century Gothic" w:cs="Century Gothic"/>
          <w:bCs/>
          <w:sz w:val="24"/>
          <w:szCs w:val="24"/>
        </w:rPr>
        <w:t>lo anterior bajo el sustento en la siguiente:</w:t>
      </w:r>
    </w:p>
    <w:p w14:paraId="2C9104EF" w14:textId="77777777" w:rsidR="00B6552F" w:rsidRDefault="00B6552F" w:rsidP="00A27A81">
      <w:pPr>
        <w:spacing w:line="360" w:lineRule="auto"/>
        <w:jc w:val="both"/>
        <w:rPr>
          <w:rFonts w:ascii="Century Gothic" w:eastAsia="Century Gothic" w:hAnsi="Century Gothic" w:cs="Century Gothic"/>
          <w:bCs/>
          <w:sz w:val="24"/>
          <w:szCs w:val="24"/>
        </w:rPr>
      </w:pPr>
    </w:p>
    <w:p w14:paraId="3AC9457D" w14:textId="4C5890D5" w:rsidR="00576BBB" w:rsidRPr="00A27A81" w:rsidRDefault="00A27A81" w:rsidP="00533263">
      <w:pPr>
        <w:spacing w:line="360" w:lineRule="auto"/>
        <w:jc w:val="center"/>
        <w:rPr>
          <w:rFonts w:ascii="Century Gothic" w:hAnsi="Century Gothic"/>
          <w:b/>
          <w:bCs/>
          <w:sz w:val="24"/>
          <w:szCs w:val="24"/>
        </w:rPr>
      </w:pPr>
      <w:r w:rsidRPr="00A27A81">
        <w:rPr>
          <w:rFonts w:ascii="Century Gothic" w:hAnsi="Century Gothic"/>
          <w:b/>
          <w:bCs/>
          <w:sz w:val="24"/>
          <w:szCs w:val="24"/>
        </w:rPr>
        <w:t>EXPOSICIÓN DE MOTIVOS:</w:t>
      </w:r>
    </w:p>
    <w:p w14:paraId="37039A8C" w14:textId="00BE9E4E" w:rsidR="00E03EE1" w:rsidRPr="00A27A81" w:rsidRDefault="00E03EE1" w:rsidP="00533263">
      <w:pPr>
        <w:spacing w:line="360" w:lineRule="auto"/>
        <w:jc w:val="both"/>
        <w:rPr>
          <w:rFonts w:ascii="Century Gothic" w:hAnsi="Century Gothic"/>
          <w:sz w:val="24"/>
          <w:szCs w:val="24"/>
        </w:rPr>
      </w:pPr>
      <w:r w:rsidRPr="00A27A81">
        <w:rPr>
          <w:rFonts w:ascii="Century Gothic" w:hAnsi="Century Gothic"/>
          <w:sz w:val="24"/>
          <w:szCs w:val="24"/>
        </w:rPr>
        <w:t xml:space="preserve">Cecilia Monzon, fue una </w:t>
      </w:r>
      <w:r w:rsidR="005C7CB7" w:rsidRPr="00A27A81">
        <w:rPr>
          <w:rFonts w:ascii="Century Gothic" w:hAnsi="Century Gothic"/>
          <w:sz w:val="24"/>
          <w:szCs w:val="24"/>
        </w:rPr>
        <w:t>mujer</w:t>
      </w:r>
      <w:r w:rsidRPr="00A27A81">
        <w:rPr>
          <w:rFonts w:ascii="Century Gothic" w:hAnsi="Century Gothic"/>
          <w:sz w:val="24"/>
          <w:szCs w:val="24"/>
        </w:rPr>
        <w:t xml:space="preserve"> </w:t>
      </w:r>
      <w:r w:rsidR="006B5940">
        <w:rPr>
          <w:rFonts w:ascii="Century Gothic" w:hAnsi="Century Gothic"/>
          <w:sz w:val="24"/>
          <w:szCs w:val="24"/>
        </w:rPr>
        <w:t xml:space="preserve">activista y abogada de las mujeres, </w:t>
      </w:r>
      <w:r w:rsidRPr="00A27A81">
        <w:rPr>
          <w:rFonts w:ascii="Century Gothic" w:hAnsi="Century Gothic"/>
          <w:sz w:val="24"/>
          <w:szCs w:val="24"/>
        </w:rPr>
        <w:t xml:space="preserve">asesinada </w:t>
      </w:r>
      <w:r w:rsidR="006B5940" w:rsidRPr="00A27A81">
        <w:rPr>
          <w:rFonts w:ascii="Century Gothic" w:hAnsi="Century Gothic"/>
          <w:sz w:val="24"/>
          <w:szCs w:val="24"/>
        </w:rPr>
        <w:t xml:space="preserve">en el año 2022 </w:t>
      </w:r>
      <w:r w:rsidRPr="00A27A81">
        <w:rPr>
          <w:rFonts w:ascii="Century Gothic" w:hAnsi="Century Gothic"/>
          <w:sz w:val="24"/>
          <w:szCs w:val="24"/>
        </w:rPr>
        <w:t>por</w:t>
      </w:r>
      <w:r w:rsidR="006B5940">
        <w:rPr>
          <w:rFonts w:ascii="Century Gothic" w:hAnsi="Century Gothic"/>
          <w:sz w:val="24"/>
          <w:szCs w:val="24"/>
        </w:rPr>
        <w:t xml:space="preserve"> órdenes de</w:t>
      </w:r>
      <w:r w:rsidRPr="00A27A81">
        <w:rPr>
          <w:rFonts w:ascii="Century Gothic" w:hAnsi="Century Gothic"/>
          <w:sz w:val="24"/>
          <w:szCs w:val="24"/>
        </w:rPr>
        <w:t xml:space="preserve"> su ex </w:t>
      </w:r>
      <w:r w:rsidR="006B5940">
        <w:rPr>
          <w:rFonts w:ascii="Century Gothic" w:hAnsi="Century Gothic"/>
          <w:sz w:val="24"/>
          <w:szCs w:val="24"/>
        </w:rPr>
        <w:t>pareja,</w:t>
      </w:r>
      <w:r w:rsidR="006B5940" w:rsidRPr="00A27A81">
        <w:rPr>
          <w:rFonts w:ascii="Century Gothic" w:hAnsi="Century Gothic"/>
          <w:sz w:val="24"/>
          <w:szCs w:val="24"/>
        </w:rPr>
        <w:t xml:space="preserve"> </w:t>
      </w:r>
      <w:r w:rsidR="006B5940">
        <w:rPr>
          <w:rFonts w:ascii="Century Gothic" w:hAnsi="Century Gothic"/>
          <w:sz w:val="24"/>
          <w:szCs w:val="24"/>
        </w:rPr>
        <w:t>tras un procedimiento por</w:t>
      </w:r>
      <w:r w:rsidRPr="00A27A81">
        <w:rPr>
          <w:rFonts w:ascii="Century Gothic" w:hAnsi="Century Gothic"/>
          <w:sz w:val="24"/>
          <w:szCs w:val="24"/>
        </w:rPr>
        <w:t xml:space="preserve"> pensión alimenticia</w:t>
      </w:r>
      <w:r w:rsidR="00CB625A" w:rsidRPr="00A27A81">
        <w:rPr>
          <w:rFonts w:ascii="Century Gothic" w:hAnsi="Century Gothic"/>
          <w:sz w:val="24"/>
          <w:szCs w:val="24"/>
        </w:rPr>
        <w:t xml:space="preserve"> </w:t>
      </w:r>
      <w:r w:rsidR="007B2FEE" w:rsidRPr="00A27A81">
        <w:rPr>
          <w:rFonts w:ascii="Century Gothic" w:hAnsi="Century Gothic"/>
          <w:sz w:val="24"/>
          <w:szCs w:val="24"/>
        </w:rPr>
        <w:t>el estado de Puebla</w:t>
      </w:r>
      <w:r w:rsidR="00CB625A" w:rsidRPr="00A27A81">
        <w:rPr>
          <w:rFonts w:ascii="Century Gothic" w:hAnsi="Century Gothic"/>
          <w:sz w:val="24"/>
          <w:szCs w:val="24"/>
        </w:rPr>
        <w:t xml:space="preserve">. Y así como ella, </w:t>
      </w:r>
      <w:r w:rsidR="00AE41B1" w:rsidRPr="00A27A81">
        <w:rPr>
          <w:rFonts w:ascii="Century Gothic" w:hAnsi="Century Gothic"/>
          <w:sz w:val="24"/>
          <w:szCs w:val="24"/>
        </w:rPr>
        <w:t xml:space="preserve">hay 12.2 millones de mujeres en el país que sufren violencia severa o muy severa que </w:t>
      </w:r>
      <w:r w:rsidR="00AE41B1" w:rsidRPr="00A27A81">
        <w:rPr>
          <w:rFonts w:ascii="Century Gothic" w:hAnsi="Century Gothic"/>
          <w:sz w:val="24"/>
          <w:szCs w:val="24"/>
        </w:rPr>
        <w:lastRenderedPageBreak/>
        <w:t xml:space="preserve">terminan con lesiones o </w:t>
      </w:r>
      <w:r w:rsidR="007B2FEE" w:rsidRPr="00A27A81">
        <w:rPr>
          <w:rFonts w:ascii="Century Gothic" w:hAnsi="Century Gothic"/>
          <w:sz w:val="24"/>
          <w:szCs w:val="24"/>
        </w:rPr>
        <w:t xml:space="preserve">con </w:t>
      </w:r>
      <w:r w:rsidR="00AE41B1" w:rsidRPr="00A27A81">
        <w:rPr>
          <w:rFonts w:ascii="Century Gothic" w:hAnsi="Century Gothic"/>
          <w:sz w:val="24"/>
          <w:szCs w:val="24"/>
        </w:rPr>
        <w:t xml:space="preserve">su propia muerte. De acuerdo con el INEGI, en 4 de cada 10 casos el </w:t>
      </w:r>
      <w:r w:rsidR="006B5940">
        <w:rPr>
          <w:rFonts w:ascii="Century Gothic" w:hAnsi="Century Gothic"/>
          <w:sz w:val="24"/>
          <w:szCs w:val="24"/>
        </w:rPr>
        <w:t>feminicida</w:t>
      </w:r>
      <w:r w:rsidR="006B5940" w:rsidRPr="00A27A81">
        <w:rPr>
          <w:rFonts w:ascii="Century Gothic" w:hAnsi="Century Gothic"/>
          <w:sz w:val="24"/>
          <w:szCs w:val="24"/>
        </w:rPr>
        <w:t xml:space="preserve"> </w:t>
      </w:r>
      <w:r w:rsidR="00AE41B1" w:rsidRPr="00A27A81">
        <w:rPr>
          <w:rFonts w:ascii="Century Gothic" w:hAnsi="Century Gothic"/>
          <w:sz w:val="24"/>
          <w:szCs w:val="24"/>
        </w:rPr>
        <w:t>resulta ser su pareja</w:t>
      </w:r>
      <w:r w:rsidR="0048749A" w:rsidRPr="00A27A81">
        <w:rPr>
          <w:rStyle w:val="Refdenotaalpie"/>
          <w:rFonts w:ascii="Century Gothic" w:hAnsi="Century Gothic"/>
          <w:sz w:val="24"/>
          <w:szCs w:val="24"/>
        </w:rPr>
        <w:footnoteReference w:id="1"/>
      </w:r>
      <w:r w:rsidR="00AE41B1" w:rsidRPr="00A27A81">
        <w:rPr>
          <w:rFonts w:ascii="Century Gothic" w:hAnsi="Century Gothic"/>
          <w:sz w:val="24"/>
          <w:szCs w:val="24"/>
        </w:rPr>
        <w:t xml:space="preserve">. </w:t>
      </w:r>
    </w:p>
    <w:p w14:paraId="0E155039" w14:textId="25EF976F" w:rsidR="00AE41B1" w:rsidRPr="00A27A81" w:rsidRDefault="00AE41B1" w:rsidP="00533263">
      <w:pPr>
        <w:pStyle w:val="NormalWeb"/>
        <w:shd w:val="clear" w:color="auto" w:fill="FFFFFF"/>
        <w:spacing w:before="0" w:beforeAutospacing="0" w:after="0" w:afterAutospacing="0" w:line="360" w:lineRule="auto"/>
        <w:jc w:val="both"/>
        <w:textAlignment w:val="baseline"/>
        <w:rPr>
          <w:rFonts w:ascii="Century Gothic" w:hAnsi="Century Gothic"/>
        </w:rPr>
      </w:pPr>
      <w:r w:rsidRPr="00A27A81">
        <w:rPr>
          <w:rFonts w:ascii="Century Gothic" w:hAnsi="Century Gothic"/>
        </w:rPr>
        <w:t>La violencia de género sucede de forma sistemática y persistente desde la intimidad de los hogare</w:t>
      </w:r>
      <w:r w:rsidR="00B6552F">
        <w:rPr>
          <w:rFonts w:ascii="Century Gothic" w:hAnsi="Century Gothic"/>
        </w:rPr>
        <w:t>s y</w:t>
      </w:r>
      <w:r w:rsidRPr="00A27A81">
        <w:rPr>
          <w:rFonts w:ascii="Century Gothic" w:hAnsi="Century Gothic"/>
        </w:rPr>
        <w:t xml:space="preserve"> se alimenta de los prejuicios machistas y de la impunidad</w:t>
      </w:r>
      <w:r w:rsidR="006B5940">
        <w:rPr>
          <w:rFonts w:ascii="Century Gothic" w:hAnsi="Century Gothic"/>
        </w:rPr>
        <w:t xml:space="preserve"> de la que demasiadas veces han gozado este tipo de agresores</w:t>
      </w:r>
      <w:r w:rsidRPr="00A27A81">
        <w:rPr>
          <w:rFonts w:ascii="Century Gothic" w:hAnsi="Century Gothic"/>
        </w:rPr>
        <w:t xml:space="preserve">. </w:t>
      </w:r>
    </w:p>
    <w:p w14:paraId="66B1ADD3" w14:textId="77777777" w:rsidR="007B2FEE" w:rsidRPr="00A27A81" w:rsidRDefault="007B2FEE" w:rsidP="00533263">
      <w:pPr>
        <w:pStyle w:val="NormalWeb"/>
        <w:shd w:val="clear" w:color="auto" w:fill="FFFFFF"/>
        <w:spacing w:before="0" w:beforeAutospacing="0" w:after="0" w:afterAutospacing="0" w:line="360" w:lineRule="auto"/>
        <w:jc w:val="both"/>
        <w:textAlignment w:val="baseline"/>
        <w:rPr>
          <w:rFonts w:ascii="Century Gothic" w:hAnsi="Century Gothic"/>
        </w:rPr>
      </w:pPr>
    </w:p>
    <w:p w14:paraId="0C3D8151" w14:textId="1B4C7545" w:rsidR="00A873BF" w:rsidRPr="00A27A81" w:rsidRDefault="00A873BF" w:rsidP="00533263">
      <w:pPr>
        <w:spacing w:line="360" w:lineRule="auto"/>
        <w:jc w:val="both"/>
        <w:rPr>
          <w:rFonts w:ascii="Century Gothic" w:hAnsi="Century Gothic"/>
          <w:sz w:val="24"/>
          <w:szCs w:val="24"/>
        </w:rPr>
      </w:pPr>
      <w:r w:rsidRPr="00A27A81">
        <w:rPr>
          <w:rFonts w:ascii="Century Gothic" w:hAnsi="Century Gothic"/>
          <w:sz w:val="24"/>
          <w:szCs w:val="24"/>
        </w:rPr>
        <w:t xml:space="preserve">Cuando esta violencia contra la mujer se representa de la </w:t>
      </w:r>
      <w:r w:rsidR="006B5940">
        <w:rPr>
          <w:rFonts w:ascii="Century Gothic" w:hAnsi="Century Gothic"/>
          <w:sz w:val="24"/>
          <w:szCs w:val="24"/>
        </w:rPr>
        <w:t>forma más extrema, esto es, el</w:t>
      </w:r>
      <w:r w:rsidR="0035222A" w:rsidRPr="00A27A81">
        <w:rPr>
          <w:rFonts w:ascii="Century Gothic" w:hAnsi="Century Gothic"/>
          <w:sz w:val="24"/>
          <w:szCs w:val="24"/>
        </w:rPr>
        <w:t xml:space="preserve"> feminicidio,</w:t>
      </w:r>
      <w:r w:rsidR="006B5940">
        <w:rPr>
          <w:rFonts w:ascii="Century Gothic" w:hAnsi="Century Gothic"/>
          <w:sz w:val="24"/>
          <w:szCs w:val="24"/>
        </w:rPr>
        <w:t xml:space="preserve"> nos corresponde ir un paso más allá </w:t>
      </w:r>
      <w:proofErr w:type="gramStart"/>
      <w:r w:rsidR="006B5940">
        <w:rPr>
          <w:rFonts w:ascii="Century Gothic" w:hAnsi="Century Gothic"/>
          <w:sz w:val="24"/>
          <w:szCs w:val="24"/>
        </w:rPr>
        <w:t xml:space="preserve">y </w:t>
      </w:r>
      <w:r w:rsidR="0035222A" w:rsidRPr="00A27A81">
        <w:rPr>
          <w:rFonts w:ascii="Century Gothic" w:hAnsi="Century Gothic"/>
          <w:sz w:val="24"/>
          <w:szCs w:val="24"/>
        </w:rPr>
        <w:t xml:space="preserve"> además</w:t>
      </w:r>
      <w:proofErr w:type="gramEnd"/>
      <w:r w:rsidR="0035222A" w:rsidRPr="00A27A81">
        <w:rPr>
          <w:rFonts w:ascii="Century Gothic" w:hAnsi="Century Gothic"/>
          <w:sz w:val="24"/>
          <w:szCs w:val="24"/>
        </w:rPr>
        <w:t xml:space="preserve"> de velar por la justicia, también </w:t>
      </w:r>
      <w:r w:rsidR="006B5940">
        <w:rPr>
          <w:rFonts w:ascii="Century Gothic" w:hAnsi="Century Gothic"/>
          <w:sz w:val="24"/>
          <w:szCs w:val="24"/>
        </w:rPr>
        <w:t>tenemos el deber de</w:t>
      </w:r>
      <w:r w:rsidR="0035222A" w:rsidRPr="00A27A81">
        <w:rPr>
          <w:rFonts w:ascii="Century Gothic" w:hAnsi="Century Gothic"/>
          <w:sz w:val="24"/>
          <w:szCs w:val="24"/>
        </w:rPr>
        <w:t xml:space="preserve"> analizar las circunstancias en las que se </w:t>
      </w:r>
      <w:r w:rsidR="006B5940">
        <w:rPr>
          <w:rFonts w:ascii="Century Gothic" w:hAnsi="Century Gothic"/>
          <w:sz w:val="24"/>
          <w:szCs w:val="24"/>
        </w:rPr>
        <w:t>quedan</w:t>
      </w:r>
      <w:r w:rsidR="006B5940" w:rsidRPr="00A27A81">
        <w:rPr>
          <w:rFonts w:ascii="Century Gothic" w:hAnsi="Century Gothic"/>
          <w:sz w:val="24"/>
          <w:szCs w:val="24"/>
        </w:rPr>
        <w:t xml:space="preserve"> </w:t>
      </w:r>
      <w:r w:rsidR="0035222A" w:rsidRPr="00A27A81">
        <w:rPr>
          <w:rFonts w:ascii="Century Gothic" w:hAnsi="Century Gothic"/>
          <w:sz w:val="24"/>
          <w:szCs w:val="24"/>
        </w:rPr>
        <w:t xml:space="preserve">los hijos </w:t>
      </w:r>
      <w:r w:rsidR="007B2FEE" w:rsidRPr="00A27A81">
        <w:rPr>
          <w:rFonts w:ascii="Century Gothic" w:hAnsi="Century Gothic"/>
          <w:sz w:val="24"/>
          <w:szCs w:val="24"/>
        </w:rPr>
        <w:t xml:space="preserve">e hijas </w:t>
      </w:r>
      <w:r w:rsidR="0035222A" w:rsidRPr="00A27A81">
        <w:rPr>
          <w:rFonts w:ascii="Century Gothic" w:hAnsi="Century Gothic"/>
          <w:sz w:val="24"/>
          <w:szCs w:val="24"/>
        </w:rPr>
        <w:t>que</w:t>
      </w:r>
      <w:r w:rsidR="006B4C4C">
        <w:rPr>
          <w:rFonts w:ascii="Century Gothic" w:hAnsi="Century Gothic"/>
          <w:sz w:val="24"/>
          <w:szCs w:val="24"/>
        </w:rPr>
        <w:t xml:space="preserve"> la</w:t>
      </w:r>
      <w:r w:rsidR="0035222A" w:rsidRPr="00A27A81">
        <w:rPr>
          <w:rFonts w:ascii="Century Gothic" w:hAnsi="Century Gothic"/>
          <w:sz w:val="24"/>
          <w:szCs w:val="24"/>
        </w:rPr>
        <w:t xml:space="preserve"> </w:t>
      </w:r>
      <w:r w:rsidR="006B5940">
        <w:rPr>
          <w:rFonts w:ascii="Century Gothic" w:hAnsi="Century Gothic"/>
          <w:sz w:val="24"/>
          <w:szCs w:val="24"/>
        </w:rPr>
        <w:t>madre</w:t>
      </w:r>
      <w:r w:rsidR="0035222A" w:rsidRPr="00A27A81">
        <w:rPr>
          <w:rFonts w:ascii="Century Gothic" w:hAnsi="Century Gothic"/>
          <w:sz w:val="24"/>
          <w:szCs w:val="24"/>
        </w:rPr>
        <w:t xml:space="preserve"> haya tenido</w:t>
      </w:r>
      <w:r w:rsidR="006B5940">
        <w:rPr>
          <w:rFonts w:ascii="Century Gothic" w:hAnsi="Century Gothic"/>
          <w:sz w:val="24"/>
          <w:szCs w:val="24"/>
        </w:rPr>
        <w:t xml:space="preserve"> con el autor de tales actos</w:t>
      </w:r>
      <w:r w:rsidR="0035222A" w:rsidRPr="00A27A81">
        <w:rPr>
          <w:rFonts w:ascii="Century Gothic" w:hAnsi="Century Gothic"/>
          <w:sz w:val="24"/>
          <w:szCs w:val="24"/>
        </w:rPr>
        <w:t xml:space="preserve">. </w:t>
      </w:r>
    </w:p>
    <w:p w14:paraId="22EBFCFB" w14:textId="4E6C0C89" w:rsidR="0035222A" w:rsidRPr="00A27A81" w:rsidRDefault="0035222A" w:rsidP="00533263">
      <w:pPr>
        <w:spacing w:line="360" w:lineRule="auto"/>
        <w:jc w:val="both"/>
        <w:rPr>
          <w:rFonts w:ascii="Century Gothic" w:hAnsi="Century Gothic" w:cs="Arial"/>
          <w:sz w:val="24"/>
          <w:szCs w:val="24"/>
        </w:rPr>
      </w:pPr>
      <w:r w:rsidRPr="00A27A81">
        <w:rPr>
          <w:rFonts w:ascii="Century Gothic" w:hAnsi="Century Gothic" w:cs="Arial"/>
          <w:sz w:val="24"/>
          <w:szCs w:val="24"/>
        </w:rPr>
        <w:t>Es por esto, que una de las previsiones que debe integrarse como consecuencia de estos hechos tan lamentables, es el privilegiar el interés superior de la niñez y contemplar lo relativo a la patria potestad de quienes han quedado en situación de orfandad por feminicidio.</w:t>
      </w:r>
    </w:p>
    <w:p w14:paraId="5E28D7CF" w14:textId="1D01F147" w:rsidR="008267E7" w:rsidRPr="00A27A81" w:rsidRDefault="008267E7" w:rsidP="00533263">
      <w:pPr>
        <w:spacing w:line="360" w:lineRule="auto"/>
        <w:jc w:val="both"/>
        <w:rPr>
          <w:rFonts w:ascii="Century Gothic" w:hAnsi="Century Gothic"/>
          <w:sz w:val="24"/>
          <w:szCs w:val="24"/>
        </w:rPr>
      </w:pPr>
      <w:r w:rsidRPr="00A27A81">
        <w:rPr>
          <w:rFonts w:ascii="Century Gothic" w:hAnsi="Century Gothic"/>
          <w:sz w:val="24"/>
          <w:szCs w:val="24"/>
        </w:rPr>
        <w:t xml:space="preserve">El interés superior de niñas, niños y adolescentes es un principio de la Convención sobre los Derechos del Niño (CDN), </w:t>
      </w:r>
      <w:r w:rsidR="00B72FC3" w:rsidRPr="00A27A81">
        <w:rPr>
          <w:rFonts w:ascii="Century Gothic" w:hAnsi="Century Gothic"/>
          <w:sz w:val="24"/>
          <w:szCs w:val="24"/>
        </w:rPr>
        <w:t xml:space="preserve">que </w:t>
      </w:r>
      <w:r w:rsidRPr="00A27A81">
        <w:rPr>
          <w:rFonts w:ascii="Century Gothic" w:hAnsi="Century Gothic"/>
          <w:sz w:val="24"/>
          <w:szCs w:val="24"/>
        </w:rPr>
        <w:t xml:space="preserve">busca la mayor satisfacción de todas y cada una de </w:t>
      </w:r>
      <w:r w:rsidR="00B72FC3" w:rsidRPr="00A27A81">
        <w:rPr>
          <w:rFonts w:ascii="Century Gothic" w:hAnsi="Century Gothic"/>
          <w:sz w:val="24"/>
          <w:szCs w:val="24"/>
        </w:rPr>
        <w:t>sus</w:t>
      </w:r>
      <w:r w:rsidRPr="00A27A81">
        <w:rPr>
          <w:rFonts w:ascii="Century Gothic" w:hAnsi="Century Gothic"/>
          <w:sz w:val="24"/>
          <w:szCs w:val="24"/>
        </w:rPr>
        <w:t xml:space="preserve"> necesidades. Su aplicación exige adoptar un enfoque basado en derechos que permita garantizar el respeto y protección a su dignidad e integridad física, psicológica, moral y espiritual. </w:t>
      </w:r>
    </w:p>
    <w:p w14:paraId="69880B23" w14:textId="6E91F99F" w:rsidR="008267E7" w:rsidRPr="00A27A81" w:rsidRDefault="008267E7" w:rsidP="00533263">
      <w:pPr>
        <w:spacing w:line="360" w:lineRule="auto"/>
        <w:jc w:val="both"/>
        <w:rPr>
          <w:rFonts w:ascii="Century Gothic" w:hAnsi="Century Gothic"/>
          <w:sz w:val="24"/>
          <w:szCs w:val="24"/>
        </w:rPr>
      </w:pPr>
      <w:r w:rsidRPr="00A27A81">
        <w:rPr>
          <w:rFonts w:ascii="Century Gothic" w:hAnsi="Century Gothic"/>
          <w:sz w:val="24"/>
          <w:szCs w:val="24"/>
        </w:rPr>
        <w:t>El interés superior debe ser la consideración primordial en la toma de decisiones, “por tanto se debe conceder más importancia a lo que sea mejor para el niño”.</w:t>
      </w:r>
    </w:p>
    <w:p w14:paraId="2229C780" w14:textId="38AC8BD0" w:rsidR="008267E7" w:rsidRPr="00A27A81" w:rsidRDefault="008267E7" w:rsidP="00533263">
      <w:pPr>
        <w:spacing w:line="360" w:lineRule="auto"/>
        <w:jc w:val="both"/>
        <w:rPr>
          <w:rFonts w:ascii="Century Gothic" w:hAnsi="Century Gothic"/>
          <w:sz w:val="24"/>
          <w:szCs w:val="24"/>
        </w:rPr>
      </w:pPr>
      <w:r w:rsidRPr="00A27A81">
        <w:rPr>
          <w:rFonts w:ascii="Century Gothic" w:hAnsi="Century Gothic"/>
          <w:sz w:val="24"/>
          <w:szCs w:val="24"/>
        </w:rPr>
        <w:lastRenderedPageBreak/>
        <w:t>Las niñas, niños y adolescentes están en proceso de formación y desarrollo, por sus características particulares dependen de las personas responsables de su cuidado para la realización de sus derechos; sin embargo, esta circunstancia puede llegar a limitar sus posibilidades de defender sus intereses. Todos los órganos jurisdiccionales, autoridades administrativas y órganos legislativos tienen la obligación de tomar en cuenta el interés superior como una consideración primordial y promover, respetar, proteger y garantizar los derechos de las personas menores de edad de conformidad con los principios de universalidad, interdependencia, indivisibilidad y progresividad.</w:t>
      </w:r>
    </w:p>
    <w:p w14:paraId="73E56610" w14:textId="1E468F94" w:rsidR="005C7CB7" w:rsidRPr="00A27A81" w:rsidRDefault="008267E7" w:rsidP="00533263">
      <w:pPr>
        <w:spacing w:line="360" w:lineRule="auto"/>
        <w:jc w:val="both"/>
        <w:rPr>
          <w:rFonts w:ascii="Century Gothic" w:hAnsi="Century Gothic"/>
          <w:sz w:val="24"/>
          <w:szCs w:val="24"/>
        </w:rPr>
      </w:pPr>
      <w:r w:rsidRPr="00A27A81">
        <w:rPr>
          <w:rFonts w:ascii="Century Gothic" w:hAnsi="Century Gothic"/>
          <w:sz w:val="24"/>
          <w:szCs w:val="24"/>
        </w:rPr>
        <w:t xml:space="preserve">México ratificó </w:t>
      </w:r>
      <w:r w:rsidR="00B3037F" w:rsidRPr="00A27A81">
        <w:rPr>
          <w:rFonts w:ascii="Century Gothic" w:hAnsi="Century Gothic"/>
          <w:sz w:val="24"/>
          <w:szCs w:val="24"/>
        </w:rPr>
        <w:t>esta convención</w:t>
      </w:r>
      <w:r w:rsidRPr="00A27A81">
        <w:rPr>
          <w:rFonts w:ascii="Century Gothic" w:hAnsi="Century Gothic"/>
          <w:sz w:val="24"/>
          <w:szCs w:val="24"/>
        </w:rPr>
        <w:t xml:space="preserve"> en 1990, sin embargo, fue hasta 2011 que incorporó el principio del interés superior de la niñez en el artículo 4o. de la Constitución Política de los Estados Unidos Mexicanos, al especificar que: “En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r w:rsidR="005C7CB7" w:rsidRPr="00A27A81">
        <w:rPr>
          <w:rFonts w:ascii="Century Gothic" w:hAnsi="Century Gothic"/>
          <w:sz w:val="24"/>
          <w:szCs w:val="24"/>
        </w:rPr>
        <w:t>¨.</w:t>
      </w:r>
    </w:p>
    <w:p w14:paraId="14DD1C08" w14:textId="4A894D20" w:rsidR="005C7CB7" w:rsidRPr="00A27A81" w:rsidRDefault="00B3037F" w:rsidP="00533263">
      <w:pPr>
        <w:spacing w:line="360" w:lineRule="auto"/>
        <w:jc w:val="both"/>
        <w:rPr>
          <w:rFonts w:ascii="Century Gothic" w:hAnsi="Century Gothic"/>
          <w:sz w:val="24"/>
          <w:szCs w:val="24"/>
        </w:rPr>
      </w:pPr>
      <w:r w:rsidRPr="00A27A81">
        <w:rPr>
          <w:rFonts w:ascii="Century Gothic" w:hAnsi="Century Gothic"/>
          <w:sz w:val="24"/>
          <w:szCs w:val="24"/>
        </w:rPr>
        <w:t>Por otra parte, l</w:t>
      </w:r>
      <w:r w:rsidR="005C7CB7" w:rsidRPr="00A27A81">
        <w:rPr>
          <w:rFonts w:ascii="Century Gothic" w:hAnsi="Century Gothic"/>
          <w:sz w:val="24"/>
          <w:szCs w:val="24"/>
        </w:rPr>
        <w:t xml:space="preserve">a Ley General de los Derechos de Niñas, Niños y Adolescentes (LGDNNA), reconoce su carácter de titulares de derechos. Los artículos 2, párrafos segundo y tercero; 17 y 18 prevén que el interés superior de la niñez deberá ser considerado de manera primordial. </w:t>
      </w:r>
    </w:p>
    <w:p w14:paraId="3AD5CADE" w14:textId="4932B6B7" w:rsidR="005C7CB7" w:rsidRPr="00A27A81" w:rsidRDefault="00B3037F" w:rsidP="00533263">
      <w:pPr>
        <w:spacing w:line="360" w:lineRule="auto"/>
        <w:jc w:val="both"/>
        <w:rPr>
          <w:rFonts w:ascii="Century Gothic" w:hAnsi="Century Gothic"/>
          <w:sz w:val="24"/>
          <w:szCs w:val="24"/>
        </w:rPr>
      </w:pPr>
      <w:r w:rsidRPr="00A27A81">
        <w:rPr>
          <w:rFonts w:ascii="Century Gothic" w:hAnsi="Century Gothic"/>
          <w:sz w:val="24"/>
          <w:szCs w:val="24"/>
        </w:rPr>
        <w:t>Incluso l</w:t>
      </w:r>
      <w:r w:rsidR="005C7CB7" w:rsidRPr="00A27A81">
        <w:rPr>
          <w:rFonts w:ascii="Century Gothic" w:hAnsi="Century Gothic"/>
          <w:sz w:val="24"/>
          <w:szCs w:val="24"/>
        </w:rPr>
        <w:t>a Suprema Corte de Justicia de la Nación ha emitido diversas jurisprudencias relativas a es</w:t>
      </w:r>
      <w:r w:rsidR="00A27A81">
        <w:rPr>
          <w:rFonts w:ascii="Century Gothic" w:hAnsi="Century Gothic"/>
          <w:sz w:val="24"/>
          <w:szCs w:val="24"/>
        </w:rPr>
        <w:t>t</w:t>
      </w:r>
      <w:r w:rsidR="005C7CB7" w:rsidRPr="00A27A81">
        <w:rPr>
          <w:rFonts w:ascii="Century Gothic" w:hAnsi="Century Gothic"/>
          <w:sz w:val="24"/>
          <w:szCs w:val="24"/>
        </w:rPr>
        <w:t>e principio</w:t>
      </w:r>
      <w:r w:rsidR="00A27A81">
        <w:rPr>
          <w:rFonts w:ascii="Century Gothic" w:hAnsi="Century Gothic"/>
          <w:sz w:val="24"/>
          <w:szCs w:val="24"/>
        </w:rPr>
        <w:t xml:space="preserve">, </w:t>
      </w:r>
      <w:r w:rsidR="005C7CB7" w:rsidRPr="00A27A81">
        <w:rPr>
          <w:rFonts w:ascii="Century Gothic" w:hAnsi="Century Gothic"/>
          <w:sz w:val="24"/>
          <w:szCs w:val="24"/>
        </w:rPr>
        <w:t>enfatizan</w:t>
      </w:r>
      <w:r w:rsidR="00A27A81">
        <w:rPr>
          <w:rFonts w:ascii="Century Gothic" w:hAnsi="Century Gothic"/>
          <w:sz w:val="24"/>
          <w:szCs w:val="24"/>
        </w:rPr>
        <w:t>do</w:t>
      </w:r>
      <w:r w:rsidR="005C7CB7" w:rsidRPr="00A27A81">
        <w:rPr>
          <w:rFonts w:ascii="Century Gothic" w:hAnsi="Century Gothic"/>
          <w:sz w:val="24"/>
          <w:szCs w:val="24"/>
        </w:rPr>
        <w:t xml:space="preserve"> que los tribunales deberán atender al interés superior de la niñez y adolescencia, y que éste demanda un estricto escrutinio de las particularidades del caso. Asimismo, señalan que debe considerarse la opinión de las niñas, niños y adolescentes </w:t>
      </w:r>
      <w:r w:rsidR="005C7CB7" w:rsidRPr="00A27A81">
        <w:rPr>
          <w:rFonts w:ascii="Century Gothic" w:hAnsi="Century Gothic"/>
          <w:sz w:val="24"/>
          <w:szCs w:val="24"/>
        </w:rPr>
        <w:lastRenderedPageBreak/>
        <w:t>en cualquier decisión que les afecte, y se acentúa la obligación del juez(a) de examinar las circunstancias específicas de cada asunto para poder llegar a una solución estable, justa y equitativa especialmente para la niña, niño o adolescente</w:t>
      </w:r>
      <w:r w:rsidR="005C7CB7" w:rsidRPr="00A27A81">
        <w:rPr>
          <w:rStyle w:val="Refdenotaalpie"/>
          <w:rFonts w:ascii="Century Gothic" w:hAnsi="Century Gothic"/>
          <w:sz w:val="24"/>
          <w:szCs w:val="24"/>
        </w:rPr>
        <w:footnoteReference w:id="2"/>
      </w:r>
      <w:r w:rsidR="005C7CB7" w:rsidRPr="00A27A81">
        <w:rPr>
          <w:rFonts w:ascii="Century Gothic" w:hAnsi="Century Gothic"/>
          <w:sz w:val="24"/>
          <w:szCs w:val="24"/>
        </w:rPr>
        <w:t>.</w:t>
      </w:r>
    </w:p>
    <w:p w14:paraId="04C25B38" w14:textId="3B329B5B" w:rsidR="00B3037F" w:rsidRPr="00A27A81" w:rsidRDefault="008D6C7B" w:rsidP="00533263">
      <w:pPr>
        <w:spacing w:line="360" w:lineRule="auto"/>
        <w:jc w:val="both"/>
        <w:rPr>
          <w:rFonts w:ascii="Century Gothic" w:hAnsi="Century Gothic" w:cs="Arial"/>
          <w:sz w:val="24"/>
          <w:szCs w:val="24"/>
        </w:rPr>
      </w:pPr>
      <w:r w:rsidRPr="00A27A81">
        <w:rPr>
          <w:rFonts w:ascii="Century Gothic" w:hAnsi="Century Gothic" w:cs="Arial"/>
          <w:sz w:val="24"/>
          <w:szCs w:val="24"/>
        </w:rPr>
        <w:t>En este sentido,</w:t>
      </w:r>
      <w:r w:rsidR="00B3037F" w:rsidRPr="00A27A81">
        <w:rPr>
          <w:rFonts w:ascii="Century Gothic" w:hAnsi="Century Gothic" w:cs="Arial"/>
          <w:sz w:val="24"/>
          <w:szCs w:val="24"/>
        </w:rPr>
        <w:t xml:space="preserve"> es que el Estado de Chihuahua debe velar por los niños, niñas y adolescentes que han quedado sin su madre a consecuencia de un feminicidio, sobre todo cuando éste fue perpetuado por el padre de los mismos. </w:t>
      </w:r>
    </w:p>
    <w:p w14:paraId="25741B97" w14:textId="340E07AD" w:rsidR="008D6C7B" w:rsidRDefault="00B3037F" w:rsidP="00533263">
      <w:pPr>
        <w:spacing w:line="360" w:lineRule="auto"/>
        <w:jc w:val="both"/>
        <w:rPr>
          <w:rFonts w:ascii="Century Gothic" w:hAnsi="Century Gothic" w:cs="Arial"/>
          <w:sz w:val="24"/>
          <w:szCs w:val="24"/>
        </w:rPr>
      </w:pPr>
      <w:r w:rsidRPr="00A27A81">
        <w:rPr>
          <w:rFonts w:ascii="Century Gothic" w:hAnsi="Century Gothic" w:cs="Arial"/>
          <w:sz w:val="24"/>
          <w:szCs w:val="24"/>
        </w:rPr>
        <w:t>E</w:t>
      </w:r>
      <w:r w:rsidR="008D6C7B" w:rsidRPr="00A27A81">
        <w:rPr>
          <w:rFonts w:ascii="Century Gothic" w:hAnsi="Century Gothic" w:cs="Arial"/>
          <w:sz w:val="24"/>
          <w:szCs w:val="24"/>
        </w:rPr>
        <w:t>l artículo</w:t>
      </w:r>
      <w:r w:rsidR="008D6C7B" w:rsidRPr="00A27A81">
        <w:rPr>
          <w:rFonts w:ascii="Century Gothic" w:hAnsi="Century Gothic" w:cs="Arial"/>
          <w:sz w:val="24"/>
          <w:szCs w:val="24"/>
          <w:lang w:val="es-ES"/>
        </w:rPr>
        <w:t xml:space="preserve"> </w:t>
      </w:r>
      <w:r w:rsidR="008D6C7B" w:rsidRPr="00A27A81">
        <w:rPr>
          <w:rFonts w:ascii="Century Gothic" w:hAnsi="Century Gothic" w:cs="Arial"/>
          <w:bCs/>
          <w:sz w:val="24"/>
          <w:szCs w:val="24"/>
        </w:rPr>
        <w:t xml:space="preserve">9.1 de </w:t>
      </w:r>
      <w:r w:rsidRPr="00A27A81">
        <w:rPr>
          <w:rFonts w:ascii="Century Gothic" w:hAnsi="Century Gothic" w:cs="Arial"/>
          <w:bCs/>
          <w:sz w:val="24"/>
          <w:szCs w:val="24"/>
        </w:rPr>
        <w:t xml:space="preserve">esta misma </w:t>
      </w:r>
      <w:r w:rsidR="008D6C7B" w:rsidRPr="00A27A81">
        <w:rPr>
          <w:rFonts w:ascii="Century Gothic" w:hAnsi="Century Gothic" w:cs="Arial"/>
          <w:bCs/>
          <w:sz w:val="24"/>
          <w:szCs w:val="24"/>
        </w:rPr>
        <w:t xml:space="preserve">Convención </w:t>
      </w:r>
      <w:r w:rsidRPr="00A27A81">
        <w:rPr>
          <w:rFonts w:ascii="Century Gothic" w:hAnsi="Century Gothic" w:cs="Arial"/>
          <w:bCs/>
          <w:sz w:val="24"/>
          <w:szCs w:val="24"/>
        </w:rPr>
        <w:t>internacional</w:t>
      </w:r>
      <w:r w:rsidR="008D6C7B" w:rsidRPr="00A27A81">
        <w:rPr>
          <w:rFonts w:ascii="Century Gothic" w:hAnsi="Century Gothic" w:cs="Arial"/>
          <w:sz w:val="24"/>
          <w:szCs w:val="24"/>
        </w:rPr>
        <w:t xml:space="preserve">, establece que los Estados parte velarán porque </w:t>
      </w:r>
      <w:r w:rsidR="002A6F24">
        <w:rPr>
          <w:rFonts w:ascii="Century Gothic" w:hAnsi="Century Gothic" w:cs="Arial"/>
          <w:sz w:val="24"/>
          <w:szCs w:val="24"/>
        </w:rPr>
        <w:t>las niñas y los niños</w:t>
      </w:r>
      <w:r w:rsidR="008D6C7B" w:rsidRPr="00A27A81">
        <w:rPr>
          <w:rFonts w:ascii="Century Gothic" w:hAnsi="Century Gothic" w:cs="Arial"/>
          <w:sz w:val="24"/>
          <w:szCs w:val="24"/>
        </w:rPr>
        <w:t xml:space="preserve"> no sea</w:t>
      </w:r>
      <w:r w:rsidR="002A6F24">
        <w:rPr>
          <w:rFonts w:ascii="Century Gothic" w:hAnsi="Century Gothic" w:cs="Arial"/>
          <w:sz w:val="24"/>
          <w:szCs w:val="24"/>
        </w:rPr>
        <w:t>n</w:t>
      </w:r>
      <w:r w:rsidR="008D6C7B" w:rsidRPr="00A27A81">
        <w:rPr>
          <w:rFonts w:ascii="Century Gothic" w:hAnsi="Century Gothic" w:cs="Arial"/>
          <w:sz w:val="24"/>
          <w:szCs w:val="24"/>
        </w:rPr>
        <w:t xml:space="preserve"> separado</w:t>
      </w:r>
      <w:r w:rsidR="006B4C4C">
        <w:rPr>
          <w:rFonts w:ascii="Century Gothic" w:hAnsi="Century Gothic" w:cs="Arial"/>
          <w:sz w:val="24"/>
          <w:szCs w:val="24"/>
        </w:rPr>
        <w:t>s</w:t>
      </w:r>
      <w:r w:rsidR="008D6C7B" w:rsidRPr="00A27A81">
        <w:rPr>
          <w:rFonts w:ascii="Century Gothic" w:hAnsi="Century Gothic" w:cs="Arial"/>
          <w:sz w:val="24"/>
          <w:szCs w:val="24"/>
        </w:rPr>
        <w:t xml:space="preserve"> de sus padres contra la voluntad de éstos, a excepción de cuando las autoridades competentes determinen que tal separación es necesaria para salvaguardar su interés</w:t>
      </w:r>
      <w:r w:rsidR="008D6C7B" w:rsidRPr="00A27A81">
        <w:rPr>
          <w:rFonts w:ascii="Century Gothic" w:hAnsi="Century Gothic" w:cs="Arial"/>
          <w:sz w:val="24"/>
          <w:szCs w:val="24"/>
          <w:lang w:val="es-ES"/>
        </w:rPr>
        <w:t xml:space="preserve"> </w:t>
      </w:r>
      <w:r w:rsidR="008D6C7B" w:rsidRPr="00A27A81">
        <w:rPr>
          <w:rFonts w:ascii="Century Gothic" w:hAnsi="Century Gothic" w:cs="Arial"/>
          <w:sz w:val="24"/>
          <w:szCs w:val="24"/>
        </w:rPr>
        <w:t>superior.</w:t>
      </w:r>
    </w:p>
    <w:p w14:paraId="4A2D357D" w14:textId="33E582F5" w:rsidR="002A6F24" w:rsidRDefault="002A6F24" w:rsidP="002A6F24">
      <w:pPr>
        <w:spacing w:line="360" w:lineRule="auto"/>
        <w:jc w:val="both"/>
        <w:rPr>
          <w:rFonts w:ascii="Century Gothic" w:hAnsi="Century Gothic" w:cs="Arial"/>
          <w:sz w:val="24"/>
          <w:szCs w:val="24"/>
        </w:rPr>
      </w:pPr>
      <w:r>
        <w:rPr>
          <w:rFonts w:ascii="Century Gothic" w:hAnsi="Century Gothic" w:cs="Arial"/>
          <w:sz w:val="24"/>
          <w:szCs w:val="24"/>
        </w:rPr>
        <w:t xml:space="preserve">En este sentido, de conformidad con la </w:t>
      </w:r>
      <w:r w:rsidRPr="002A6F24">
        <w:rPr>
          <w:rFonts w:ascii="Century Gothic" w:hAnsi="Century Gothic" w:cs="Arial"/>
          <w:sz w:val="24"/>
          <w:szCs w:val="24"/>
        </w:rPr>
        <w:t xml:space="preserve">Observación general </w:t>
      </w:r>
      <w:proofErr w:type="spellStart"/>
      <w:r w:rsidRPr="002A6F24">
        <w:rPr>
          <w:rFonts w:ascii="Century Gothic" w:hAnsi="Century Gothic" w:cs="Arial"/>
          <w:sz w:val="24"/>
          <w:szCs w:val="24"/>
        </w:rPr>
        <w:t>Nº</w:t>
      </w:r>
      <w:proofErr w:type="spellEnd"/>
      <w:r w:rsidRPr="002A6F24">
        <w:rPr>
          <w:rFonts w:ascii="Century Gothic" w:hAnsi="Century Gothic" w:cs="Arial"/>
          <w:sz w:val="24"/>
          <w:szCs w:val="24"/>
        </w:rPr>
        <w:t xml:space="preserve"> 14 (2013) sobre el derecho del niño a que su interés superior sea una consideración primordial (artículo 3, párrafo 1)</w:t>
      </w:r>
      <w:r>
        <w:rPr>
          <w:rFonts w:ascii="Century Gothic" w:hAnsi="Century Gothic" w:cs="Arial"/>
          <w:sz w:val="24"/>
          <w:szCs w:val="24"/>
        </w:rPr>
        <w:t xml:space="preserve"> establece lo siguiente “(…)</w:t>
      </w:r>
      <w:r w:rsidRPr="002A6F24">
        <w:rPr>
          <w:rFonts w:ascii="Century Gothic" w:hAnsi="Century Gothic" w:cs="Arial"/>
          <w:sz w:val="24"/>
          <w:szCs w:val="24"/>
        </w:rPr>
        <w:t xml:space="preserve"> Los</w:t>
      </w:r>
      <w:r>
        <w:rPr>
          <w:rFonts w:ascii="Century Gothic" w:hAnsi="Century Gothic" w:cs="Arial"/>
          <w:sz w:val="24"/>
          <w:szCs w:val="24"/>
        </w:rPr>
        <w:t xml:space="preserve"> </w:t>
      </w:r>
      <w:r w:rsidRPr="002A6F24">
        <w:rPr>
          <w:rFonts w:ascii="Century Gothic" w:hAnsi="Century Gothic" w:cs="Arial"/>
          <w:sz w:val="24"/>
          <w:szCs w:val="24"/>
        </w:rPr>
        <w:t xml:space="preserve">tribunales deben velar por </w:t>
      </w:r>
      <w:r w:rsidR="006B4C4C" w:rsidRPr="002A6F24">
        <w:rPr>
          <w:rFonts w:ascii="Century Gothic" w:hAnsi="Century Gothic" w:cs="Arial"/>
          <w:sz w:val="24"/>
          <w:szCs w:val="24"/>
        </w:rPr>
        <w:t>que</w:t>
      </w:r>
      <w:r w:rsidR="006B4C4C">
        <w:rPr>
          <w:rFonts w:ascii="Century Gothic" w:hAnsi="Century Gothic" w:cs="Arial"/>
          <w:sz w:val="24"/>
          <w:szCs w:val="24"/>
        </w:rPr>
        <w:t xml:space="preserve"> </w:t>
      </w:r>
      <w:r w:rsidR="006B4C4C" w:rsidRPr="002A6F24">
        <w:rPr>
          <w:rFonts w:ascii="Century Gothic" w:hAnsi="Century Gothic" w:cs="Arial"/>
          <w:sz w:val="24"/>
          <w:szCs w:val="24"/>
        </w:rPr>
        <w:t>el</w:t>
      </w:r>
      <w:r w:rsidRPr="002A6F24">
        <w:rPr>
          <w:rFonts w:ascii="Century Gothic" w:hAnsi="Century Gothic" w:cs="Arial"/>
          <w:sz w:val="24"/>
          <w:szCs w:val="24"/>
        </w:rPr>
        <w:t xml:space="preserve"> interés superior del niño se tenga en cuenta en todas las</w:t>
      </w:r>
      <w:r>
        <w:rPr>
          <w:rFonts w:ascii="Century Gothic" w:hAnsi="Century Gothic" w:cs="Arial"/>
          <w:sz w:val="24"/>
          <w:szCs w:val="24"/>
        </w:rPr>
        <w:t xml:space="preserve"> </w:t>
      </w:r>
      <w:r w:rsidRPr="002A6F24">
        <w:rPr>
          <w:rFonts w:ascii="Century Gothic" w:hAnsi="Century Gothic" w:cs="Arial"/>
          <w:sz w:val="24"/>
          <w:szCs w:val="24"/>
        </w:rPr>
        <w:t>situaciones y decisiones, de procedimiento o sustantivas, y han de demostrar que así lo han</w:t>
      </w:r>
      <w:r>
        <w:rPr>
          <w:rFonts w:ascii="Century Gothic" w:hAnsi="Century Gothic" w:cs="Arial"/>
          <w:sz w:val="24"/>
          <w:szCs w:val="24"/>
        </w:rPr>
        <w:t xml:space="preserve"> </w:t>
      </w:r>
      <w:r w:rsidRPr="002A6F24">
        <w:rPr>
          <w:rFonts w:ascii="Century Gothic" w:hAnsi="Century Gothic" w:cs="Arial"/>
          <w:sz w:val="24"/>
          <w:szCs w:val="24"/>
        </w:rPr>
        <w:t>hecho efectivamente</w:t>
      </w:r>
      <w:r>
        <w:rPr>
          <w:rFonts w:ascii="Century Gothic" w:hAnsi="Century Gothic" w:cs="Arial"/>
          <w:sz w:val="24"/>
          <w:szCs w:val="24"/>
        </w:rPr>
        <w:t>…”</w:t>
      </w:r>
    </w:p>
    <w:p w14:paraId="19885283" w14:textId="06DDB139" w:rsidR="002A6F24" w:rsidRPr="00A27A81" w:rsidRDefault="002A6F24" w:rsidP="0084473A">
      <w:pPr>
        <w:spacing w:line="360" w:lineRule="auto"/>
        <w:jc w:val="both"/>
        <w:rPr>
          <w:rFonts w:ascii="Century Gothic" w:hAnsi="Century Gothic" w:cs="Arial"/>
          <w:sz w:val="24"/>
          <w:szCs w:val="24"/>
        </w:rPr>
      </w:pPr>
      <w:r>
        <w:rPr>
          <w:rFonts w:ascii="Century Gothic" w:hAnsi="Century Gothic" w:cs="Arial"/>
          <w:sz w:val="24"/>
          <w:szCs w:val="24"/>
        </w:rPr>
        <w:t xml:space="preserve">De la misma forma, </w:t>
      </w:r>
      <w:r w:rsidR="006B4C4C">
        <w:rPr>
          <w:rFonts w:ascii="Century Gothic" w:hAnsi="Century Gothic" w:cs="Arial"/>
          <w:sz w:val="24"/>
          <w:szCs w:val="24"/>
        </w:rPr>
        <w:t>p</w:t>
      </w:r>
      <w:r w:rsidR="0084473A" w:rsidRPr="0084473A">
        <w:rPr>
          <w:rFonts w:ascii="Century Gothic" w:hAnsi="Century Gothic" w:cs="Arial"/>
          <w:sz w:val="24"/>
          <w:szCs w:val="24"/>
        </w:rPr>
        <w:t>ara promover todos los derechos del niño consagrados en la</w:t>
      </w:r>
      <w:r w:rsidR="0084473A">
        <w:rPr>
          <w:rFonts w:ascii="Century Gothic" w:hAnsi="Century Gothic" w:cs="Arial"/>
          <w:sz w:val="24"/>
          <w:szCs w:val="24"/>
        </w:rPr>
        <w:t xml:space="preserve"> </w:t>
      </w:r>
      <w:r w:rsidR="0084473A" w:rsidRPr="0084473A">
        <w:rPr>
          <w:rFonts w:ascii="Century Gothic" w:hAnsi="Century Gothic" w:cs="Arial"/>
          <w:sz w:val="24"/>
          <w:szCs w:val="24"/>
        </w:rPr>
        <w:t>Convención es esencial asegurar y promover los derechos fundamentales de los niños al</w:t>
      </w:r>
      <w:r w:rsidR="0084473A">
        <w:rPr>
          <w:rFonts w:ascii="Century Gothic" w:hAnsi="Century Gothic" w:cs="Arial"/>
          <w:sz w:val="24"/>
          <w:szCs w:val="24"/>
        </w:rPr>
        <w:t xml:space="preserve"> </w:t>
      </w:r>
      <w:r w:rsidR="0084473A" w:rsidRPr="0084473A">
        <w:rPr>
          <w:rFonts w:ascii="Century Gothic" w:hAnsi="Century Gothic" w:cs="Arial"/>
          <w:sz w:val="24"/>
          <w:szCs w:val="24"/>
        </w:rPr>
        <w:t>respeto de su dignidad humana e integridad física y psicológica, mediante la prevención de</w:t>
      </w:r>
      <w:r w:rsidR="0084473A">
        <w:rPr>
          <w:rFonts w:ascii="Century Gothic" w:hAnsi="Century Gothic" w:cs="Arial"/>
          <w:sz w:val="24"/>
          <w:szCs w:val="24"/>
        </w:rPr>
        <w:t xml:space="preserve"> </w:t>
      </w:r>
      <w:r w:rsidR="0084473A" w:rsidRPr="0084473A">
        <w:rPr>
          <w:rFonts w:ascii="Century Gothic" w:hAnsi="Century Gothic" w:cs="Arial"/>
          <w:sz w:val="24"/>
          <w:szCs w:val="24"/>
        </w:rPr>
        <w:t>toda forma de violencia. Todos los argumentos que aquí se exponen refuerzan este</w:t>
      </w:r>
      <w:r w:rsidR="0084473A">
        <w:rPr>
          <w:rFonts w:ascii="Century Gothic" w:hAnsi="Century Gothic" w:cs="Arial"/>
          <w:sz w:val="24"/>
          <w:szCs w:val="24"/>
        </w:rPr>
        <w:t xml:space="preserve"> </w:t>
      </w:r>
      <w:r w:rsidR="0084473A" w:rsidRPr="0084473A">
        <w:rPr>
          <w:rFonts w:ascii="Century Gothic" w:hAnsi="Century Gothic" w:cs="Arial"/>
          <w:sz w:val="24"/>
          <w:szCs w:val="24"/>
        </w:rPr>
        <w:t xml:space="preserve">imperativo de los </w:t>
      </w:r>
      <w:r w:rsidR="0084473A" w:rsidRPr="0084473A">
        <w:rPr>
          <w:rFonts w:ascii="Century Gothic" w:hAnsi="Century Gothic" w:cs="Arial"/>
          <w:sz w:val="24"/>
          <w:szCs w:val="24"/>
        </w:rPr>
        <w:lastRenderedPageBreak/>
        <w:t>derechos humanos, pero no lo sustituyen. Por lo tanto, las estrategias y</w:t>
      </w:r>
      <w:r w:rsidR="0084473A">
        <w:rPr>
          <w:rFonts w:ascii="Century Gothic" w:hAnsi="Century Gothic" w:cs="Arial"/>
          <w:sz w:val="24"/>
          <w:szCs w:val="24"/>
        </w:rPr>
        <w:t xml:space="preserve"> </w:t>
      </w:r>
      <w:r w:rsidR="0084473A" w:rsidRPr="0084473A">
        <w:rPr>
          <w:rFonts w:ascii="Century Gothic" w:hAnsi="Century Gothic" w:cs="Arial"/>
          <w:sz w:val="24"/>
          <w:szCs w:val="24"/>
        </w:rPr>
        <w:t>sistemas destinados a prevenir y combatir la violencia deben adoptar un enfoque que esté</w:t>
      </w:r>
      <w:r w:rsidR="0084473A">
        <w:rPr>
          <w:rFonts w:ascii="Century Gothic" w:hAnsi="Century Gothic" w:cs="Arial"/>
          <w:sz w:val="24"/>
          <w:szCs w:val="24"/>
        </w:rPr>
        <w:t xml:space="preserve"> </w:t>
      </w:r>
      <w:r w:rsidR="0084473A" w:rsidRPr="0084473A">
        <w:rPr>
          <w:rFonts w:ascii="Century Gothic" w:hAnsi="Century Gothic" w:cs="Arial"/>
          <w:sz w:val="24"/>
          <w:szCs w:val="24"/>
        </w:rPr>
        <w:t xml:space="preserve">basado más en los derechos del niño que en su </w:t>
      </w:r>
      <w:proofErr w:type="gramStart"/>
      <w:r w:rsidR="0084473A">
        <w:rPr>
          <w:rFonts w:ascii="Century Gothic" w:hAnsi="Century Gothic" w:cs="Arial"/>
          <w:sz w:val="24"/>
          <w:szCs w:val="24"/>
        </w:rPr>
        <w:t>bienestar..</w:t>
      </w:r>
      <w:proofErr w:type="gramEnd"/>
    </w:p>
    <w:p w14:paraId="4A46D93A" w14:textId="46524129" w:rsidR="00EB3EC8" w:rsidRPr="00A27A81" w:rsidRDefault="008D6C7B" w:rsidP="00533263">
      <w:pPr>
        <w:spacing w:line="360" w:lineRule="auto"/>
        <w:jc w:val="both"/>
        <w:rPr>
          <w:rFonts w:ascii="Century Gothic" w:hAnsi="Century Gothic" w:cs="Arial"/>
          <w:sz w:val="24"/>
          <w:szCs w:val="24"/>
        </w:rPr>
      </w:pPr>
      <w:r w:rsidRPr="00A27A81">
        <w:rPr>
          <w:rFonts w:ascii="Century Gothic" w:hAnsi="Century Gothic" w:cs="Arial"/>
          <w:sz w:val="24"/>
          <w:szCs w:val="24"/>
        </w:rPr>
        <w:t>Conforme a</w:t>
      </w:r>
      <w:r w:rsidR="0084473A">
        <w:rPr>
          <w:rFonts w:ascii="Century Gothic" w:hAnsi="Century Gothic" w:cs="Arial"/>
          <w:sz w:val="24"/>
          <w:szCs w:val="24"/>
        </w:rPr>
        <w:t xml:space="preserve"> dichas interpretaciones de la Convención y a la normativa </w:t>
      </w:r>
      <w:proofErr w:type="spellStart"/>
      <w:r w:rsidR="0084473A">
        <w:rPr>
          <w:rFonts w:ascii="Century Gothic" w:hAnsi="Century Gothic" w:cs="Arial"/>
          <w:sz w:val="24"/>
          <w:szCs w:val="24"/>
        </w:rPr>
        <w:t>aplicable</w:t>
      </w:r>
      <w:r w:rsidRPr="00A27A81">
        <w:rPr>
          <w:rFonts w:ascii="Century Gothic" w:hAnsi="Century Gothic" w:cs="Arial"/>
          <w:sz w:val="24"/>
          <w:szCs w:val="24"/>
        </w:rPr>
        <w:t>se</w:t>
      </w:r>
      <w:proofErr w:type="spellEnd"/>
      <w:r w:rsidRPr="00A27A81">
        <w:rPr>
          <w:rFonts w:ascii="Century Gothic" w:hAnsi="Century Gothic" w:cs="Arial"/>
          <w:sz w:val="24"/>
          <w:szCs w:val="24"/>
        </w:rPr>
        <w:t xml:space="preserve"> entiende que </w:t>
      </w:r>
      <w:r w:rsidR="0084473A">
        <w:rPr>
          <w:rFonts w:ascii="Century Gothic" w:hAnsi="Century Gothic" w:cs="Arial"/>
          <w:sz w:val="24"/>
          <w:szCs w:val="24"/>
        </w:rPr>
        <w:t xml:space="preserve">la institución </w:t>
      </w:r>
      <w:r w:rsidR="00FE1ADC">
        <w:rPr>
          <w:rFonts w:ascii="Century Gothic" w:hAnsi="Century Gothic" w:cs="Arial"/>
          <w:sz w:val="24"/>
          <w:szCs w:val="24"/>
        </w:rPr>
        <w:t>d</w:t>
      </w:r>
      <w:r w:rsidR="0084473A">
        <w:rPr>
          <w:rFonts w:ascii="Century Gothic" w:hAnsi="Century Gothic" w:cs="Arial"/>
          <w:sz w:val="24"/>
          <w:szCs w:val="24"/>
        </w:rPr>
        <w:t xml:space="preserve">e </w:t>
      </w:r>
      <w:r w:rsidR="00FE1ADC">
        <w:rPr>
          <w:rFonts w:ascii="Century Gothic" w:hAnsi="Century Gothic" w:cs="Arial"/>
          <w:sz w:val="24"/>
          <w:szCs w:val="24"/>
        </w:rPr>
        <w:t xml:space="preserve">la </w:t>
      </w:r>
      <w:r w:rsidR="0084473A">
        <w:rPr>
          <w:rFonts w:ascii="Century Gothic" w:hAnsi="Century Gothic" w:cs="Arial"/>
          <w:sz w:val="24"/>
          <w:szCs w:val="24"/>
        </w:rPr>
        <w:t>patria potestad cuyo ejercicio otorga la ley a los padres</w:t>
      </w:r>
      <w:r w:rsidRPr="00A27A81">
        <w:rPr>
          <w:rFonts w:ascii="Century Gothic" w:hAnsi="Century Gothic" w:cs="Arial"/>
          <w:sz w:val="24"/>
          <w:szCs w:val="24"/>
        </w:rPr>
        <w:t xml:space="preserve"> biológicos</w:t>
      </w:r>
      <w:r w:rsidR="0084473A">
        <w:rPr>
          <w:rFonts w:ascii="Century Gothic" w:hAnsi="Century Gothic" w:cs="Arial"/>
          <w:sz w:val="24"/>
          <w:szCs w:val="24"/>
        </w:rPr>
        <w:t xml:space="preserve">, encierra un número de obligaciones y derechos, entre los que se encuentran las visitas a </w:t>
      </w:r>
      <w:r w:rsidRPr="00A27A81">
        <w:rPr>
          <w:rFonts w:ascii="Century Gothic" w:hAnsi="Century Gothic" w:cs="Arial"/>
          <w:sz w:val="24"/>
          <w:szCs w:val="24"/>
        </w:rPr>
        <w:t>sus hijos</w:t>
      </w:r>
      <w:r w:rsidR="00FE1ADC">
        <w:rPr>
          <w:rFonts w:ascii="Century Gothic" w:hAnsi="Century Gothic" w:cs="Arial"/>
          <w:sz w:val="24"/>
          <w:szCs w:val="24"/>
        </w:rPr>
        <w:t xml:space="preserve"> que</w:t>
      </w:r>
      <w:r w:rsidRPr="00A27A81">
        <w:rPr>
          <w:rFonts w:ascii="Century Gothic" w:hAnsi="Century Gothic" w:cs="Arial"/>
          <w:sz w:val="24"/>
          <w:szCs w:val="24"/>
        </w:rPr>
        <w:t xml:space="preserve"> no </w:t>
      </w:r>
      <w:r w:rsidR="0084473A">
        <w:rPr>
          <w:rFonts w:ascii="Century Gothic" w:hAnsi="Century Gothic" w:cs="Arial"/>
          <w:sz w:val="24"/>
          <w:szCs w:val="24"/>
        </w:rPr>
        <w:t>constituyen un</w:t>
      </w:r>
      <w:r w:rsidRPr="00A27A81">
        <w:rPr>
          <w:rFonts w:ascii="Century Gothic" w:hAnsi="Century Gothic" w:cs="Arial"/>
          <w:sz w:val="24"/>
          <w:szCs w:val="24"/>
        </w:rPr>
        <w:t xml:space="preserve"> principio absoluto cuando se trata de adoptar medidas de protección respecto de un</w:t>
      </w:r>
      <w:r w:rsidRPr="00A27A81">
        <w:rPr>
          <w:rFonts w:ascii="Century Gothic" w:hAnsi="Century Gothic" w:cs="Arial"/>
          <w:sz w:val="24"/>
          <w:szCs w:val="24"/>
          <w:lang w:val="es-ES"/>
        </w:rPr>
        <w:t xml:space="preserve"> </w:t>
      </w:r>
      <w:r w:rsidRPr="00A27A81">
        <w:rPr>
          <w:rFonts w:ascii="Century Gothic" w:hAnsi="Century Gothic" w:cs="Arial"/>
          <w:sz w:val="24"/>
          <w:szCs w:val="24"/>
        </w:rPr>
        <w:t>menor</w:t>
      </w:r>
      <w:r w:rsidRPr="00A27A81">
        <w:rPr>
          <w:rFonts w:ascii="Century Gothic" w:hAnsi="Century Gothic" w:cs="Arial"/>
          <w:sz w:val="24"/>
          <w:szCs w:val="24"/>
          <w:lang w:val="es-ES"/>
        </w:rPr>
        <w:t xml:space="preserve"> </w:t>
      </w:r>
      <w:r w:rsidRPr="00A27A81">
        <w:rPr>
          <w:rFonts w:ascii="Century Gothic" w:hAnsi="Century Gothic" w:cs="Arial"/>
          <w:sz w:val="24"/>
          <w:szCs w:val="24"/>
        </w:rPr>
        <w:t>desamparado y tampoco tiene el carácter de derecho o</w:t>
      </w:r>
      <w:r w:rsidRPr="00A27A81">
        <w:rPr>
          <w:rFonts w:ascii="Century Gothic" w:hAnsi="Century Gothic" w:cs="Arial"/>
          <w:sz w:val="24"/>
          <w:szCs w:val="24"/>
          <w:lang w:val="es-ES"/>
        </w:rPr>
        <w:t xml:space="preserve"> </w:t>
      </w:r>
      <w:r w:rsidRPr="00A27A81">
        <w:rPr>
          <w:rFonts w:ascii="Century Gothic" w:hAnsi="Century Gothic" w:cs="Arial"/>
          <w:sz w:val="24"/>
          <w:szCs w:val="24"/>
        </w:rPr>
        <w:t>interés</w:t>
      </w:r>
      <w:r w:rsidRPr="00A27A81">
        <w:rPr>
          <w:rFonts w:ascii="Century Gothic" w:hAnsi="Century Gothic" w:cs="Arial"/>
          <w:sz w:val="24"/>
          <w:szCs w:val="24"/>
          <w:lang w:val="es-ES"/>
        </w:rPr>
        <w:t xml:space="preserve"> </w:t>
      </w:r>
      <w:r w:rsidRPr="00A27A81">
        <w:rPr>
          <w:rFonts w:ascii="Century Gothic" w:hAnsi="Century Gothic" w:cs="Arial"/>
          <w:sz w:val="24"/>
          <w:szCs w:val="24"/>
        </w:rPr>
        <w:t>preponderante, pues está subordinado a que dicha convivencia procure el</w:t>
      </w:r>
      <w:r w:rsidRPr="00A27A81">
        <w:rPr>
          <w:rFonts w:ascii="Century Gothic" w:hAnsi="Century Gothic" w:cs="Arial"/>
          <w:sz w:val="24"/>
          <w:szCs w:val="24"/>
          <w:lang w:val="es-ES"/>
        </w:rPr>
        <w:t xml:space="preserve"> </w:t>
      </w:r>
      <w:r w:rsidRPr="00A27A81">
        <w:rPr>
          <w:rFonts w:ascii="Century Gothic" w:hAnsi="Century Gothic" w:cs="Arial"/>
          <w:sz w:val="24"/>
          <w:szCs w:val="24"/>
        </w:rPr>
        <w:t>interés</w:t>
      </w:r>
      <w:r w:rsidRPr="00A27A81">
        <w:rPr>
          <w:rFonts w:ascii="Century Gothic" w:hAnsi="Century Gothic" w:cs="Arial"/>
          <w:sz w:val="24"/>
          <w:szCs w:val="24"/>
          <w:lang w:val="es-ES"/>
        </w:rPr>
        <w:t xml:space="preserve"> </w:t>
      </w:r>
      <w:r w:rsidRPr="00A27A81">
        <w:rPr>
          <w:rFonts w:ascii="Century Gothic" w:hAnsi="Century Gothic" w:cs="Arial"/>
          <w:sz w:val="24"/>
          <w:szCs w:val="24"/>
        </w:rPr>
        <w:t>del</w:t>
      </w:r>
      <w:r w:rsidRPr="00A27A81">
        <w:rPr>
          <w:rFonts w:ascii="Century Gothic" w:hAnsi="Century Gothic" w:cs="Arial"/>
          <w:sz w:val="24"/>
          <w:szCs w:val="24"/>
          <w:lang w:val="es-ES"/>
        </w:rPr>
        <w:t xml:space="preserve"> </w:t>
      </w:r>
      <w:r w:rsidRPr="00A27A81">
        <w:rPr>
          <w:rFonts w:ascii="Century Gothic" w:hAnsi="Century Gothic" w:cs="Arial"/>
          <w:sz w:val="24"/>
          <w:szCs w:val="24"/>
        </w:rPr>
        <w:t xml:space="preserve">menor. </w:t>
      </w:r>
    </w:p>
    <w:p w14:paraId="70DBCCD7" w14:textId="588ED362" w:rsidR="00EB2D6F" w:rsidRDefault="009A31C9" w:rsidP="00533263">
      <w:pPr>
        <w:pStyle w:val="NormalWeb"/>
        <w:shd w:val="clear" w:color="auto" w:fill="FFFFFF"/>
        <w:spacing w:before="0" w:beforeAutospacing="0" w:after="144" w:afterAutospacing="0" w:line="360" w:lineRule="auto"/>
        <w:jc w:val="both"/>
        <w:rPr>
          <w:rFonts w:ascii="Century Gothic" w:hAnsi="Century Gothic" w:cs="Arial"/>
        </w:rPr>
      </w:pPr>
      <w:r w:rsidRPr="00A27A81">
        <w:rPr>
          <w:rFonts w:ascii="Century Gothic" w:hAnsi="Century Gothic" w:cs="Arial"/>
        </w:rPr>
        <w:t>En esta lógica, se propone que se prive de la patria potestad a</w:t>
      </w:r>
      <w:r w:rsidRPr="00A27A81">
        <w:rPr>
          <w:rFonts w:ascii="Century Gothic" w:hAnsi="Century Gothic"/>
        </w:rPr>
        <w:t xml:space="preserve">l padre que sea vinculado a proceso o sea condenado por la comisión o tentativa de feminicidio. </w:t>
      </w:r>
      <w:r w:rsidR="00EB2D6F" w:rsidRPr="00A27A81">
        <w:rPr>
          <w:rFonts w:ascii="Century Gothic" w:hAnsi="Century Gothic"/>
        </w:rPr>
        <w:t>Es claro que las autoridades j</w:t>
      </w:r>
      <w:r w:rsidR="00EB2D6F" w:rsidRPr="00A27A81">
        <w:rPr>
          <w:rFonts w:ascii="Century Gothic" w:hAnsi="Century Gothic" w:cs="Arial"/>
        </w:rPr>
        <w:t>urisdiccionales en todos los casos deben ponderar entre los derechos de un meno</w:t>
      </w:r>
      <w:r w:rsidR="00533263" w:rsidRPr="00A27A81">
        <w:rPr>
          <w:rFonts w:ascii="Century Gothic" w:hAnsi="Century Gothic" w:cs="Arial"/>
        </w:rPr>
        <w:t>r a un desarrollo y bienestar íntegro</w:t>
      </w:r>
      <w:r w:rsidR="00EB2D6F" w:rsidRPr="00A27A81">
        <w:rPr>
          <w:rFonts w:ascii="Century Gothic" w:hAnsi="Century Gothic" w:cs="Arial"/>
        </w:rPr>
        <w:t xml:space="preserve"> y el derecho de su progenitor </w:t>
      </w:r>
      <w:r w:rsidR="00533263" w:rsidRPr="00A27A81">
        <w:rPr>
          <w:rFonts w:ascii="Century Gothic" w:hAnsi="Century Gothic" w:cs="Arial"/>
        </w:rPr>
        <w:t>a ejercer la patria potestad, sin embargo, en casos donde el mismo padre comete feminicidio contra la madre de sus hijos, resulta plenamente justificado que</w:t>
      </w:r>
      <w:r w:rsidR="0084473A">
        <w:rPr>
          <w:rFonts w:ascii="Century Gothic" w:hAnsi="Century Gothic" w:cs="Arial"/>
        </w:rPr>
        <w:t xml:space="preserve"> como consecuencia del grado de violencia ejerci</w:t>
      </w:r>
      <w:r w:rsidR="00FE1ADC">
        <w:rPr>
          <w:rFonts w:ascii="Century Gothic" w:hAnsi="Century Gothic" w:cs="Arial"/>
        </w:rPr>
        <w:t>d</w:t>
      </w:r>
      <w:r w:rsidR="0084473A">
        <w:rPr>
          <w:rFonts w:ascii="Century Gothic" w:hAnsi="Century Gothic" w:cs="Arial"/>
        </w:rPr>
        <w:t>o contra la vida y desarrollo del menor</w:t>
      </w:r>
      <w:r w:rsidR="00533263" w:rsidRPr="00A27A81">
        <w:rPr>
          <w:rFonts w:ascii="Century Gothic" w:hAnsi="Century Gothic" w:cs="Arial"/>
        </w:rPr>
        <w:t xml:space="preserve"> pierda la patria potestad sobre ellos, </w:t>
      </w:r>
      <w:r w:rsidR="00EB2D6F" w:rsidRPr="00A27A81">
        <w:rPr>
          <w:rFonts w:ascii="Century Gothic" w:hAnsi="Century Gothic" w:cs="Arial"/>
        </w:rPr>
        <w:t>pues con tal medida se está garantizando justamente el interés superior del menor.</w:t>
      </w:r>
      <w:r w:rsidR="0084473A">
        <w:rPr>
          <w:rFonts w:ascii="Century Gothic" w:hAnsi="Century Gothic" w:cs="Arial"/>
        </w:rPr>
        <w:t xml:space="preserve"> En este sentido, debe entenderse que los menores también tienen reconocida la condición de víctima del delito de feminicidio o tentativa, precisamente debido al daño irreparable que dicho delito supone sobre su forma de vivir y relacionarse con el mundo. </w:t>
      </w:r>
    </w:p>
    <w:p w14:paraId="2C4B4609" w14:textId="2C1FD95B" w:rsidR="004F0C75" w:rsidRPr="00A27A81" w:rsidRDefault="00533263" w:rsidP="00533263">
      <w:pPr>
        <w:pStyle w:val="NormalWeb"/>
        <w:shd w:val="clear" w:color="auto" w:fill="FFFFFF"/>
        <w:spacing w:before="0" w:beforeAutospacing="0" w:after="144" w:afterAutospacing="0" w:line="360" w:lineRule="auto"/>
        <w:jc w:val="both"/>
        <w:rPr>
          <w:rFonts w:ascii="Century Gothic" w:hAnsi="Century Gothic"/>
        </w:rPr>
      </w:pPr>
      <w:r w:rsidRPr="00A27A81">
        <w:rPr>
          <w:rFonts w:ascii="Century Gothic" w:hAnsi="Century Gothic"/>
        </w:rPr>
        <w:t>En virtud de lo anterior, some</w:t>
      </w:r>
      <w:r w:rsidR="00603935">
        <w:rPr>
          <w:rFonts w:ascii="Century Gothic" w:hAnsi="Century Gothic"/>
        </w:rPr>
        <w:t xml:space="preserve">temos </w:t>
      </w:r>
      <w:r w:rsidRPr="00A27A81">
        <w:rPr>
          <w:rFonts w:ascii="Century Gothic" w:hAnsi="Century Gothic"/>
        </w:rPr>
        <w:t>a consideración del Pleno del Congreso del Estado, la siguiente Iniciativa de:</w:t>
      </w:r>
    </w:p>
    <w:p w14:paraId="446FFBE8" w14:textId="77777777" w:rsidR="009F5885" w:rsidRDefault="009F5885" w:rsidP="009F5885">
      <w:pPr>
        <w:spacing w:line="360" w:lineRule="auto"/>
        <w:jc w:val="center"/>
        <w:rPr>
          <w:rFonts w:ascii="Century Gothic" w:hAnsi="Century Gothic"/>
          <w:b/>
          <w:sz w:val="24"/>
          <w:szCs w:val="24"/>
        </w:rPr>
      </w:pPr>
      <w:r>
        <w:rPr>
          <w:rFonts w:ascii="Century Gothic" w:hAnsi="Century Gothic"/>
          <w:b/>
          <w:sz w:val="24"/>
          <w:szCs w:val="24"/>
        </w:rPr>
        <w:t>DECRETO:</w:t>
      </w:r>
    </w:p>
    <w:p w14:paraId="171FCB1A" w14:textId="56AD17E0" w:rsidR="009F5885" w:rsidRDefault="009F5885" w:rsidP="009F5885">
      <w:pPr>
        <w:spacing w:afterLines="160" w:after="384" w:line="360" w:lineRule="auto"/>
        <w:jc w:val="both"/>
        <w:rPr>
          <w:rFonts w:ascii="Century Gothic" w:hAnsi="Century Gothic" w:cs="Arial"/>
          <w:sz w:val="24"/>
        </w:rPr>
      </w:pPr>
      <w:r>
        <w:rPr>
          <w:rFonts w:ascii="Century Gothic" w:hAnsi="Century Gothic" w:cs="Arial"/>
          <w:b/>
          <w:sz w:val="24"/>
        </w:rPr>
        <w:lastRenderedPageBreak/>
        <w:t xml:space="preserve">ARTÍCULO </w:t>
      </w:r>
      <w:r w:rsidR="00187DC3">
        <w:rPr>
          <w:rFonts w:ascii="Century Gothic" w:hAnsi="Century Gothic" w:cs="Arial"/>
          <w:b/>
          <w:sz w:val="24"/>
        </w:rPr>
        <w:t>PRIMERO</w:t>
      </w:r>
      <w:r>
        <w:rPr>
          <w:rFonts w:ascii="Century Gothic" w:hAnsi="Century Gothic" w:cs="Arial"/>
          <w:b/>
          <w:sz w:val="24"/>
        </w:rPr>
        <w:t>.</w:t>
      </w:r>
      <w:r>
        <w:rPr>
          <w:rFonts w:ascii="Century Gothic" w:hAnsi="Century Gothic" w:cs="Arial"/>
          <w:sz w:val="24"/>
        </w:rPr>
        <w:t xml:space="preserve"> Se adiciona </w:t>
      </w:r>
      <w:r w:rsidR="00B9158E">
        <w:rPr>
          <w:rFonts w:ascii="Century Gothic" w:hAnsi="Century Gothic" w:cs="Arial"/>
          <w:sz w:val="24"/>
        </w:rPr>
        <w:t>el artículo 421 Ter</w:t>
      </w:r>
      <w:r w:rsidR="00187DC3">
        <w:rPr>
          <w:rFonts w:ascii="Century Gothic" w:hAnsi="Century Gothic" w:cs="Arial"/>
          <w:sz w:val="24"/>
        </w:rPr>
        <w:t xml:space="preserve"> y la fracción IV</w:t>
      </w:r>
      <w:r w:rsidR="00B9158E">
        <w:rPr>
          <w:rFonts w:ascii="Century Gothic" w:hAnsi="Century Gothic" w:cs="Arial"/>
          <w:sz w:val="24"/>
        </w:rPr>
        <w:t xml:space="preserve"> a</w:t>
      </w:r>
      <w:r>
        <w:rPr>
          <w:rFonts w:ascii="Century Gothic" w:hAnsi="Century Gothic" w:cs="Arial"/>
          <w:sz w:val="24"/>
        </w:rPr>
        <w:t xml:space="preserve">l </w:t>
      </w:r>
      <w:r w:rsidR="00187DC3">
        <w:rPr>
          <w:rFonts w:ascii="Century Gothic" w:hAnsi="Century Gothic" w:cs="Arial"/>
          <w:sz w:val="24"/>
        </w:rPr>
        <w:t>artículo 424</w:t>
      </w:r>
      <w:r w:rsidR="00B6552F">
        <w:rPr>
          <w:rFonts w:ascii="Century Gothic" w:hAnsi="Century Gothic" w:cs="Arial"/>
          <w:sz w:val="24"/>
        </w:rPr>
        <w:t xml:space="preserve"> </w:t>
      </w:r>
      <w:r w:rsidR="00187DC3">
        <w:rPr>
          <w:rFonts w:ascii="Century Gothic" w:hAnsi="Century Gothic" w:cs="Arial"/>
          <w:sz w:val="24"/>
        </w:rPr>
        <w:t xml:space="preserve">del </w:t>
      </w:r>
      <w:r>
        <w:rPr>
          <w:rFonts w:ascii="Century Gothic" w:hAnsi="Century Gothic" w:cs="Arial"/>
          <w:sz w:val="24"/>
        </w:rPr>
        <w:t xml:space="preserve">Código Civil del Estado de Chihuahua, para quedar de la siguiente manera: </w:t>
      </w:r>
    </w:p>
    <w:p w14:paraId="27DDF17D" w14:textId="00F396E1" w:rsidR="009F5885" w:rsidRDefault="009F5885" w:rsidP="00B9158E">
      <w:pPr>
        <w:spacing w:line="360" w:lineRule="auto"/>
        <w:ind w:left="708"/>
        <w:jc w:val="both"/>
        <w:rPr>
          <w:rFonts w:ascii="Arial" w:eastAsia="SimSun" w:hAnsi="Arial" w:cs="Arial"/>
          <w:b/>
          <w:sz w:val="24"/>
          <w:szCs w:val="24"/>
          <w:lang w:val="es-ES"/>
        </w:rPr>
      </w:pPr>
      <w:r>
        <w:rPr>
          <w:rFonts w:ascii="Century Gothic" w:hAnsi="Century Gothic"/>
          <w:b/>
          <w:sz w:val="24"/>
          <w:szCs w:val="24"/>
        </w:rPr>
        <w:t>Artículo 421</w:t>
      </w:r>
      <w:r w:rsidR="00B9158E">
        <w:rPr>
          <w:rFonts w:ascii="Century Gothic" w:hAnsi="Century Gothic"/>
          <w:b/>
          <w:sz w:val="24"/>
          <w:szCs w:val="24"/>
        </w:rPr>
        <w:t xml:space="preserve"> TER</w:t>
      </w:r>
      <w:r>
        <w:rPr>
          <w:rFonts w:ascii="Century Gothic" w:hAnsi="Century Gothic"/>
          <w:b/>
          <w:sz w:val="24"/>
          <w:szCs w:val="24"/>
        </w:rPr>
        <w:t xml:space="preserve">. </w:t>
      </w:r>
      <w:r w:rsidR="00B9158E" w:rsidRPr="00B9158E">
        <w:rPr>
          <w:rFonts w:ascii="Century Gothic" w:hAnsi="Century Gothic"/>
          <w:b/>
          <w:bCs/>
          <w:sz w:val="24"/>
          <w:szCs w:val="24"/>
        </w:rPr>
        <w:t>La patria potestad se perderá</w:t>
      </w:r>
      <w:r w:rsidR="00B9158E" w:rsidRPr="00B9158E">
        <w:rPr>
          <w:sz w:val="24"/>
          <w:szCs w:val="24"/>
        </w:rPr>
        <w:t xml:space="preserve"> </w:t>
      </w:r>
      <w:r w:rsidR="00B9158E">
        <w:rPr>
          <w:rFonts w:ascii="Arial" w:eastAsia="SimSun" w:hAnsi="Arial" w:cs="Arial"/>
          <w:b/>
          <w:sz w:val="24"/>
          <w:szCs w:val="24"/>
          <w:lang w:val="es-ES"/>
        </w:rPr>
        <w:t>c</w:t>
      </w:r>
      <w:r w:rsidRPr="009F5885">
        <w:rPr>
          <w:rFonts w:ascii="Arial" w:eastAsia="SimSun" w:hAnsi="Arial" w:cs="Arial"/>
          <w:b/>
          <w:sz w:val="24"/>
          <w:szCs w:val="24"/>
          <w:lang w:val="es-ES"/>
        </w:rPr>
        <w:t>uando el titular de ella sea condenado por delito de feminicidio</w:t>
      </w:r>
      <w:r w:rsidR="00410F65">
        <w:rPr>
          <w:rFonts w:ascii="Arial" w:eastAsia="SimSun" w:hAnsi="Arial" w:cs="Arial"/>
          <w:b/>
          <w:sz w:val="24"/>
          <w:szCs w:val="24"/>
          <w:lang w:val="es-ES"/>
        </w:rPr>
        <w:t xml:space="preserve"> o su tentativa,</w:t>
      </w:r>
      <w:r w:rsidRPr="009F5885">
        <w:rPr>
          <w:rFonts w:ascii="Arial" w:eastAsia="SimSun" w:hAnsi="Arial" w:cs="Arial"/>
          <w:b/>
          <w:sz w:val="24"/>
          <w:szCs w:val="24"/>
          <w:lang w:val="es-ES"/>
        </w:rPr>
        <w:t xml:space="preserve"> en contra de la madre de las niñas, niños y adolescentes sujetos a patria potestad.</w:t>
      </w:r>
    </w:p>
    <w:p w14:paraId="54A8208F" w14:textId="0AFBAC75" w:rsidR="00B9158E" w:rsidRPr="0019390D" w:rsidRDefault="00B9158E" w:rsidP="00B9158E">
      <w:pPr>
        <w:spacing w:line="360" w:lineRule="auto"/>
        <w:ind w:left="708"/>
        <w:jc w:val="both"/>
        <w:rPr>
          <w:rFonts w:ascii="Century Gothic" w:hAnsi="Century Gothic"/>
          <w:sz w:val="24"/>
          <w:szCs w:val="24"/>
        </w:rPr>
      </w:pPr>
      <w:r w:rsidRPr="0019390D">
        <w:rPr>
          <w:rFonts w:ascii="Century Gothic" w:hAnsi="Century Gothic"/>
          <w:sz w:val="24"/>
          <w:szCs w:val="24"/>
        </w:rPr>
        <w:t xml:space="preserve">ARTÍCULO 424. </w:t>
      </w:r>
      <w:r w:rsidRPr="00D64E54">
        <w:rPr>
          <w:rFonts w:ascii="Century Gothic" w:hAnsi="Century Gothic"/>
          <w:sz w:val="24"/>
          <w:szCs w:val="24"/>
        </w:rPr>
        <w:t>La patria potestad se suspende:</w:t>
      </w:r>
    </w:p>
    <w:p w14:paraId="622B8154" w14:textId="6754993B" w:rsidR="00B6552F" w:rsidRPr="0019390D" w:rsidRDefault="00B6552F" w:rsidP="00B9158E">
      <w:pPr>
        <w:spacing w:line="360" w:lineRule="auto"/>
        <w:ind w:left="708"/>
        <w:jc w:val="both"/>
        <w:rPr>
          <w:rFonts w:ascii="Century Gothic" w:hAnsi="Century Gothic"/>
          <w:sz w:val="24"/>
          <w:szCs w:val="24"/>
        </w:rPr>
      </w:pPr>
      <w:r w:rsidRPr="0019390D">
        <w:rPr>
          <w:rFonts w:ascii="Century Gothic" w:hAnsi="Century Gothic"/>
          <w:sz w:val="24"/>
          <w:szCs w:val="24"/>
        </w:rPr>
        <w:t>I a III…</w:t>
      </w:r>
    </w:p>
    <w:p w14:paraId="1BA0A9C9" w14:textId="72B54E22" w:rsidR="00B9158E" w:rsidRDefault="00B9158E" w:rsidP="00B9158E">
      <w:pPr>
        <w:spacing w:line="276" w:lineRule="auto"/>
        <w:ind w:left="708"/>
        <w:jc w:val="both"/>
        <w:rPr>
          <w:rFonts w:ascii="Century Gothic" w:eastAsia="SimSun" w:hAnsi="Century Gothic" w:cs="Arial"/>
          <w:b/>
          <w:bCs/>
          <w:sz w:val="24"/>
          <w:szCs w:val="24"/>
          <w:lang w:val="es-ES"/>
        </w:rPr>
      </w:pPr>
      <w:r w:rsidRPr="00B9158E">
        <w:rPr>
          <w:rFonts w:ascii="Century Gothic" w:hAnsi="Century Gothic"/>
          <w:b/>
          <w:bCs/>
          <w:sz w:val="24"/>
          <w:szCs w:val="24"/>
        </w:rPr>
        <w:t xml:space="preserve">IV. </w:t>
      </w:r>
      <w:r w:rsidRPr="00B9158E">
        <w:rPr>
          <w:rFonts w:ascii="Century Gothic" w:eastAsia="SimSun" w:hAnsi="Century Gothic" w:cs="Arial"/>
          <w:b/>
          <w:bCs/>
          <w:sz w:val="24"/>
          <w:szCs w:val="24"/>
          <w:lang w:val="es-ES"/>
        </w:rPr>
        <w:t xml:space="preserve">Por auto de vinculación a proceso dictado por delito de feminicidio </w:t>
      </w:r>
      <w:r w:rsidR="00410F65">
        <w:rPr>
          <w:rFonts w:ascii="Century Gothic" w:eastAsia="SimSun" w:hAnsi="Century Gothic" w:cs="Arial"/>
          <w:b/>
          <w:bCs/>
          <w:sz w:val="24"/>
          <w:szCs w:val="24"/>
          <w:lang w:val="es-ES"/>
        </w:rPr>
        <w:t xml:space="preserve">o su tentativa </w:t>
      </w:r>
      <w:r w:rsidRPr="00B9158E">
        <w:rPr>
          <w:rFonts w:ascii="Century Gothic" w:eastAsia="SimSun" w:hAnsi="Century Gothic" w:cs="Arial"/>
          <w:b/>
          <w:bCs/>
          <w:sz w:val="24"/>
          <w:szCs w:val="24"/>
          <w:lang w:val="es-ES"/>
        </w:rPr>
        <w:t>en contra de la madre de las niñas, niños y adolescentes sujetos a patria potestad.</w:t>
      </w:r>
    </w:p>
    <w:p w14:paraId="5A5D6A9F" w14:textId="15E06A81" w:rsidR="00B9158E" w:rsidRDefault="00B9158E" w:rsidP="00187DC3">
      <w:pPr>
        <w:spacing w:line="276" w:lineRule="auto"/>
        <w:jc w:val="both"/>
        <w:rPr>
          <w:rFonts w:ascii="Century Gothic" w:eastAsia="SimSun" w:hAnsi="Century Gothic" w:cs="Arial"/>
          <w:b/>
          <w:bCs/>
          <w:sz w:val="24"/>
          <w:szCs w:val="24"/>
          <w:lang w:val="es-ES"/>
        </w:rPr>
      </w:pPr>
    </w:p>
    <w:p w14:paraId="61E3C886" w14:textId="3484DE76" w:rsidR="00187DC3" w:rsidRDefault="00187DC3" w:rsidP="00187DC3">
      <w:pPr>
        <w:spacing w:afterLines="160" w:after="384" w:line="360" w:lineRule="auto"/>
        <w:jc w:val="both"/>
        <w:rPr>
          <w:rFonts w:ascii="Century Gothic" w:hAnsi="Century Gothic" w:cs="Arial"/>
          <w:sz w:val="24"/>
        </w:rPr>
      </w:pPr>
      <w:r>
        <w:rPr>
          <w:rFonts w:ascii="Century Gothic" w:hAnsi="Century Gothic" w:cs="Arial"/>
          <w:b/>
          <w:sz w:val="24"/>
        </w:rPr>
        <w:t>ARTÍCULO SEGUNDO.</w:t>
      </w:r>
      <w:r>
        <w:rPr>
          <w:rFonts w:ascii="Century Gothic" w:hAnsi="Century Gothic" w:cs="Arial"/>
          <w:sz w:val="24"/>
        </w:rPr>
        <w:t xml:space="preserve"> Se adiciona el artículo 126 Ter al Código Penal del Estado de Chihuahua, para quedar de la siguiente manera: </w:t>
      </w:r>
    </w:p>
    <w:p w14:paraId="624527CB" w14:textId="673EBEBC" w:rsidR="00187DC3" w:rsidRDefault="00187DC3" w:rsidP="00B6552F">
      <w:pPr>
        <w:spacing w:line="276" w:lineRule="auto"/>
        <w:ind w:left="708"/>
        <w:jc w:val="both"/>
        <w:rPr>
          <w:rFonts w:ascii="Arial" w:eastAsia="SimSun" w:hAnsi="Arial" w:cs="Arial"/>
          <w:b/>
          <w:bCs/>
          <w:sz w:val="24"/>
          <w:szCs w:val="24"/>
          <w:lang w:val="es-ES"/>
        </w:rPr>
      </w:pPr>
      <w:r>
        <w:rPr>
          <w:rFonts w:ascii="Century Gothic" w:eastAsia="SimSun" w:hAnsi="Century Gothic" w:cs="Arial"/>
          <w:b/>
          <w:bCs/>
          <w:sz w:val="24"/>
          <w:szCs w:val="24"/>
          <w:lang w:val="es-ES"/>
        </w:rPr>
        <w:t xml:space="preserve">126 TER. </w:t>
      </w:r>
      <w:r>
        <w:rPr>
          <w:rFonts w:ascii="Arial" w:eastAsia="SimSun" w:hAnsi="Arial" w:cs="Arial"/>
          <w:b/>
          <w:bCs/>
          <w:sz w:val="24"/>
          <w:szCs w:val="24"/>
        </w:rPr>
        <w:t>E</w:t>
      </w:r>
      <w:r>
        <w:rPr>
          <w:rFonts w:ascii="Arial" w:eastAsia="SimSun" w:hAnsi="Arial" w:cs="Arial"/>
          <w:b/>
          <w:bCs/>
          <w:sz w:val="24"/>
          <w:szCs w:val="24"/>
          <w:lang w:eastAsia="es-MX"/>
        </w:rPr>
        <w:t xml:space="preserve">n el caso de que el sujeto activo tenga </w:t>
      </w:r>
      <w:proofErr w:type="spellStart"/>
      <w:r>
        <w:rPr>
          <w:rFonts w:ascii="Arial" w:eastAsia="SimSun" w:hAnsi="Arial" w:cs="Arial"/>
          <w:b/>
          <w:bCs/>
          <w:sz w:val="24"/>
          <w:szCs w:val="24"/>
          <w:lang w:eastAsia="es-MX"/>
        </w:rPr>
        <w:t>hij</w:t>
      </w:r>
      <w:proofErr w:type="spellEnd"/>
      <w:r>
        <w:rPr>
          <w:rFonts w:ascii="Arial" w:eastAsia="SimSun" w:hAnsi="Arial" w:cs="Arial"/>
          <w:b/>
          <w:bCs/>
          <w:sz w:val="24"/>
          <w:szCs w:val="24"/>
          <w:lang w:val="es-ES" w:eastAsia="es-MX"/>
        </w:rPr>
        <w:t>as e/o hijo</w:t>
      </w:r>
      <w:r>
        <w:rPr>
          <w:rFonts w:ascii="Arial" w:eastAsia="SimSun" w:hAnsi="Arial" w:cs="Arial"/>
          <w:b/>
          <w:bCs/>
          <w:sz w:val="24"/>
          <w:szCs w:val="24"/>
          <w:lang w:eastAsia="es-MX"/>
        </w:rPr>
        <w:t>s con la víctima</w:t>
      </w:r>
      <w:r>
        <w:rPr>
          <w:rFonts w:ascii="Arial" w:eastAsia="SimSun" w:hAnsi="Arial" w:cs="Arial"/>
          <w:b/>
          <w:bCs/>
          <w:sz w:val="24"/>
          <w:szCs w:val="24"/>
          <w:lang w:val="es-ES" w:eastAsia="es-MX"/>
        </w:rPr>
        <w:t xml:space="preserve">, </w:t>
      </w:r>
      <w:r>
        <w:rPr>
          <w:rFonts w:ascii="Arial" w:eastAsia="SimSun" w:hAnsi="Arial" w:cs="Arial"/>
          <w:b/>
          <w:bCs/>
          <w:sz w:val="24"/>
          <w:szCs w:val="24"/>
        </w:rPr>
        <w:t xml:space="preserve">perderá </w:t>
      </w:r>
      <w:r>
        <w:rPr>
          <w:rFonts w:ascii="Arial" w:eastAsia="SimSun" w:hAnsi="Arial" w:cs="Arial"/>
          <w:b/>
          <w:bCs/>
          <w:sz w:val="24"/>
          <w:szCs w:val="24"/>
          <w:lang w:val="es-ES"/>
        </w:rPr>
        <w:t xml:space="preserve">sobre ellas y/o ellos </w:t>
      </w:r>
      <w:r>
        <w:rPr>
          <w:rFonts w:ascii="Arial" w:eastAsia="SimSun" w:hAnsi="Arial" w:cs="Arial"/>
          <w:b/>
          <w:bCs/>
          <w:sz w:val="24"/>
          <w:szCs w:val="24"/>
        </w:rPr>
        <w:t>la patria potestad, tutela, guarda y custodia, régimen de visitas y convivencias,</w:t>
      </w:r>
      <w:r>
        <w:rPr>
          <w:rFonts w:ascii="Arial" w:eastAsia="SimSun" w:hAnsi="Arial" w:cs="Arial"/>
          <w:b/>
          <w:bCs/>
          <w:sz w:val="24"/>
          <w:szCs w:val="24"/>
          <w:lang w:val="es-ES"/>
        </w:rPr>
        <w:t xml:space="preserve"> y</w:t>
      </w:r>
      <w:r>
        <w:rPr>
          <w:rFonts w:ascii="Arial" w:eastAsia="SimSun" w:hAnsi="Arial" w:cs="Arial"/>
          <w:b/>
          <w:bCs/>
          <w:sz w:val="24"/>
          <w:szCs w:val="24"/>
        </w:rPr>
        <w:t xml:space="preserve"> el derecho de alimentos que le correspondiere</w:t>
      </w:r>
      <w:r>
        <w:rPr>
          <w:rFonts w:ascii="Arial" w:eastAsia="SimSun" w:hAnsi="Arial" w:cs="Arial"/>
          <w:b/>
          <w:bCs/>
          <w:sz w:val="24"/>
          <w:szCs w:val="24"/>
          <w:lang w:val="es-ES"/>
        </w:rPr>
        <w:t>. Sanción que se aplicará igualmente en caso de tentativa.</w:t>
      </w:r>
    </w:p>
    <w:p w14:paraId="4B1FB6D7" w14:textId="77777777" w:rsidR="00187DC3" w:rsidRPr="00B9158E" w:rsidRDefault="00187DC3" w:rsidP="00187DC3">
      <w:pPr>
        <w:spacing w:line="276" w:lineRule="auto"/>
        <w:jc w:val="both"/>
        <w:rPr>
          <w:rFonts w:ascii="Century Gothic" w:eastAsia="SimSun" w:hAnsi="Century Gothic" w:cs="Arial"/>
          <w:b/>
          <w:bCs/>
          <w:sz w:val="24"/>
          <w:szCs w:val="24"/>
          <w:lang w:val="es-ES"/>
        </w:rPr>
      </w:pPr>
    </w:p>
    <w:p w14:paraId="5322EA80" w14:textId="77777777" w:rsidR="009F5885" w:rsidRDefault="009F5885" w:rsidP="009F5885">
      <w:pPr>
        <w:spacing w:line="360" w:lineRule="auto"/>
        <w:jc w:val="center"/>
        <w:rPr>
          <w:rFonts w:ascii="Century Gothic" w:hAnsi="Century Gothic"/>
          <w:b/>
          <w:sz w:val="24"/>
          <w:szCs w:val="24"/>
        </w:rPr>
      </w:pPr>
      <w:r>
        <w:rPr>
          <w:rFonts w:ascii="Century Gothic" w:hAnsi="Century Gothic"/>
          <w:b/>
          <w:sz w:val="24"/>
          <w:szCs w:val="24"/>
        </w:rPr>
        <w:t>TRANSITORIOS</w:t>
      </w:r>
    </w:p>
    <w:p w14:paraId="7D8B0AB6" w14:textId="77777777" w:rsidR="009F5885" w:rsidRDefault="009F5885" w:rsidP="009F5885">
      <w:pPr>
        <w:spacing w:line="360" w:lineRule="auto"/>
        <w:jc w:val="both"/>
        <w:rPr>
          <w:rFonts w:ascii="Century Gothic" w:hAnsi="Century Gothic"/>
          <w:b/>
          <w:kern w:val="2"/>
          <w:sz w:val="24"/>
          <w:szCs w:val="24"/>
        </w:rPr>
      </w:pPr>
      <w:r>
        <w:rPr>
          <w:rFonts w:ascii="Century Gothic" w:hAnsi="Century Gothic"/>
          <w:b/>
          <w:sz w:val="24"/>
          <w:szCs w:val="24"/>
        </w:rPr>
        <w:t xml:space="preserve">ARTÍCULO ÚNICO. </w:t>
      </w:r>
      <w:r>
        <w:rPr>
          <w:rFonts w:ascii="Century Gothic" w:hAnsi="Century Gothic"/>
          <w:sz w:val="24"/>
          <w:szCs w:val="24"/>
        </w:rPr>
        <w:t xml:space="preserve">El presente Decreto entrará en vigor al día siguiente de su publicación en el Periódico Oficial del Estado. </w:t>
      </w:r>
    </w:p>
    <w:p w14:paraId="5A26DCA1" w14:textId="77777777" w:rsidR="009F5885" w:rsidRDefault="009F5885" w:rsidP="009F5885">
      <w:pPr>
        <w:spacing w:line="360" w:lineRule="auto"/>
        <w:rPr>
          <w:rFonts w:ascii="Century Gothic" w:hAnsi="Century Gothic"/>
          <w:sz w:val="24"/>
          <w:szCs w:val="24"/>
        </w:rPr>
      </w:pPr>
      <w:r>
        <w:rPr>
          <w:rFonts w:ascii="Century Gothic" w:hAnsi="Century Gothic"/>
          <w:b/>
          <w:sz w:val="24"/>
          <w:szCs w:val="24"/>
        </w:rPr>
        <w:t xml:space="preserve">ECONÓMICO. </w:t>
      </w:r>
      <w:r>
        <w:rPr>
          <w:rFonts w:ascii="Century Gothic" w:hAnsi="Century Gothic"/>
          <w:sz w:val="24"/>
          <w:szCs w:val="24"/>
        </w:rPr>
        <w:t>Aprobado que sea, túrnese a la Secretaría para que elabore las Minutas correspondientes.</w:t>
      </w:r>
    </w:p>
    <w:p w14:paraId="1FEAF7B7" w14:textId="77777777" w:rsidR="009F5885" w:rsidRDefault="009F5885" w:rsidP="009F5885">
      <w:pPr>
        <w:spacing w:line="360" w:lineRule="auto"/>
        <w:jc w:val="both"/>
        <w:rPr>
          <w:rFonts w:ascii="Century Gothic" w:hAnsi="Century Gothic"/>
          <w:sz w:val="24"/>
          <w:szCs w:val="24"/>
        </w:rPr>
      </w:pPr>
    </w:p>
    <w:p w14:paraId="142DD830" w14:textId="56AB97AF" w:rsidR="009F5885" w:rsidRDefault="009F5885" w:rsidP="009F5885">
      <w:pPr>
        <w:spacing w:line="360" w:lineRule="auto"/>
        <w:jc w:val="both"/>
        <w:rPr>
          <w:rFonts w:ascii="Century Gothic" w:hAnsi="Century Gothic"/>
          <w:sz w:val="24"/>
          <w:szCs w:val="24"/>
        </w:rPr>
      </w:pPr>
      <w:r>
        <w:rPr>
          <w:rFonts w:ascii="Century Gothic" w:hAnsi="Century Gothic"/>
          <w:sz w:val="24"/>
          <w:szCs w:val="24"/>
        </w:rPr>
        <w:lastRenderedPageBreak/>
        <w:t xml:space="preserve">Dado en el recinto oficial del Poder Legislativo, en la Ciudad de Chihuahua, Chihuahua, el </w:t>
      </w:r>
      <w:r w:rsidR="00B6552F">
        <w:rPr>
          <w:rFonts w:ascii="Century Gothic" w:hAnsi="Century Gothic"/>
          <w:sz w:val="24"/>
          <w:szCs w:val="24"/>
        </w:rPr>
        <w:t>7</w:t>
      </w:r>
      <w:r>
        <w:rPr>
          <w:rFonts w:ascii="Century Gothic" w:hAnsi="Century Gothic"/>
          <w:sz w:val="24"/>
          <w:szCs w:val="24"/>
        </w:rPr>
        <w:t xml:space="preserve"> día del mes de marzo del año 2023.</w:t>
      </w:r>
    </w:p>
    <w:p w14:paraId="3DCB5F76" w14:textId="77777777" w:rsidR="009F5885" w:rsidRDefault="009F5885" w:rsidP="009F5885">
      <w:pPr>
        <w:spacing w:line="360" w:lineRule="auto"/>
        <w:jc w:val="both"/>
        <w:rPr>
          <w:rFonts w:ascii="Century Gothic" w:hAnsi="Century Gothic"/>
          <w:sz w:val="24"/>
          <w:szCs w:val="24"/>
        </w:rPr>
      </w:pPr>
    </w:p>
    <w:p w14:paraId="3E1A0A48" w14:textId="77777777" w:rsidR="009F5885" w:rsidRDefault="009F5885" w:rsidP="009F5885">
      <w:pPr>
        <w:spacing w:after="120" w:line="48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 T E N T A M E N T E</w:t>
      </w:r>
    </w:p>
    <w:p w14:paraId="080952E3" w14:textId="77777777" w:rsidR="009F5885" w:rsidRDefault="009F5885" w:rsidP="009F5885">
      <w:pPr>
        <w:spacing w:after="120" w:line="480" w:lineRule="auto"/>
        <w:rPr>
          <w:rFonts w:ascii="Century Gothic" w:eastAsia="Century Gothic" w:hAnsi="Century Gothic" w:cs="Century Gothic"/>
          <w:b/>
          <w:color w:val="000000"/>
          <w:sz w:val="24"/>
          <w:szCs w:val="24"/>
          <w:highlight w:val="white"/>
        </w:rPr>
      </w:pPr>
    </w:p>
    <w:p w14:paraId="68BD8310" w14:textId="77777777" w:rsidR="009F5885" w:rsidRDefault="009F5885" w:rsidP="009F5885">
      <w:pPr>
        <w:spacing w:after="120" w:line="48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LETICIA ORTEGA MÁYNEZ</w:t>
      </w:r>
    </w:p>
    <w:tbl>
      <w:tblPr>
        <w:tblW w:w="8835" w:type="dxa"/>
        <w:tblLayout w:type="fixed"/>
        <w:tblLook w:val="0400" w:firstRow="0" w:lastRow="0" w:firstColumn="0" w:lastColumn="0" w:noHBand="0" w:noVBand="1"/>
      </w:tblPr>
      <w:tblGrid>
        <w:gridCol w:w="4109"/>
        <w:gridCol w:w="4726"/>
      </w:tblGrid>
      <w:tr w:rsidR="009F5885" w14:paraId="0680C05A" w14:textId="77777777" w:rsidTr="009F5885">
        <w:trPr>
          <w:trHeight w:val="1984"/>
        </w:trPr>
        <w:tc>
          <w:tcPr>
            <w:tcW w:w="4106" w:type="dxa"/>
            <w:vAlign w:val="bottom"/>
            <w:hideMark/>
          </w:tcPr>
          <w:p w14:paraId="4959EA48" w14:textId="77777777" w:rsidR="009F5885" w:rsidRDefault="009F5885">
            <w:pPr>
              <w:spacing w:after="120" w:line="48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DIP. EDIN CUAUTHÉMOC ESTRADA</w:t>
            </w:r>
          </w:p>
        </w:tc>
        <w:tc>
          <w:tcPr>
            <w:tcW w:w="4722" w:type="dxa"/>
            <w:vAlign w:val="bottom"/>
            <w:hideMark/>
          </w:tcPr>
          <w:p w14:paraId="197DB476" w14:textId="77777777" w:rsidR="009F5885" w:rsidRDefault="009F5885">
            <w:pPr>
              <w:spacing w:after="120" w:line="48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ÓSCAR DANIEL AVITIA ARELLANES</w:t>
            </w:r>
          </w:p>
        </w:tc>
      </w:tr>
      <w:tr w:rsidR="009F5885" w14:paraId="2454CB19" w14:textId="77777777" w:rsidTr="009F5885">
        <w:trPr>
          <w:trHeight w:val="1984"/>
        </w:trPr>
        <w:tc>
          <w:tcPr>
            <w:tcW w:w="4106" w:type="dxa"/>
            <w:vAlign w:val="bottom"/>
            <w:hideMark/>
          </w:tcPr>
          <w:p w14:paraId="145FF9FD" w14:textId="77777777" w:rsidR="009F5885" w:rsidRDefault="009F5885">
            <w:pPr>
              <w:spacing w:after="120" w:line="48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ROSANA DÍAZ REYES</w:t>
            </w:r>
          </w:p>
        </w:tc>
        <w:tc>
          <w:tcPr>
            <w:tcW w:w="4722" w:type="dxa"/>
            <w:vAlign w:val="bottom"/>
            <w:hideMark/>
          </w:tcPr>
          <w:p w14:paraId="410628B7" w14:textId="77777777" w:rsidR="009F5885" w:rsidRDefault="009F5885">
            <w:pPr>
              <w:spacing w:after="120" w:line="48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GUSTAVO DE LA ROSA HICKERSON</w:t>
            </w:r>
          </w:p>
        </w:tc>
      </w:tr>
      <w:tr w:rsidR="009F5885" w14:paraId="24C9DA7C" w14:textId="77777777" w:rsidTr="009F5885">
        <w:trPr>
          <w:trHeight w:val="1984"/>
        </w:trPr>
        <w:tc>
          <w:tcPr>
            <w:tcW w:w="4106" w:type="dxa"/>
            <w:vAlign w:val="bottom"/>
            <w:hideMark/>
          </w:tcPr>
          <w:p w14:paraId="64005705" w14:textId="77777777" w:rsidR="009F5885" w:rsidRDefault="009F5885">
            <w:pPr>
              <w:spacing w:after="120" w:line="48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MAGDALENA RENTERÍA PÉREZ</w:t>
            </w:r>
          </w:p>
        </w:tc>
        <w:tc>
          <w:tcPr>
            <w:tcW w:w="4722" w:type="dxa"/>
            <w:vAlign w:val="bottom"/>
            <w:hideMark/>
          </w:tcPr>
          <w:p w14:paraId="7C174BF4" w14:textId="77777777" w:rsidR="009F5885" w:rsidRDefault="009F5885">
            <w:pPr>
              <w:spacing w:after="120" w:line="48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MARÍA ANTONIETA PÉREZ REYES</w:t>
            </w:r>
          </w:p>
        </w:tc>
      </w:tr>
      <w:tr w:rsidR="009F5885" w14:paraId="6A21F180" w14:textId="77777777" w:rsidTr="009F5885">
        <w:trPr>
          <w:trHeight w:val="1984"/>
        </w:trPr>
        <w:tc>
          <w:tcPr>
            <w:tcW w:w="4106" w:type="dxa"/>
            <w:vAlign w:val="bottom"/>
            <w:hideMark/>
          </w:tcPr>
          <w:p w14:paraId="6ECF90D9" w14:textId="77777777" w:rsidR="009F5885" w:rsidRDefault="009F5885">
            <w:pPr>
              <w:spacing w:after="120" w:line="48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AMÉRICA GARCÍA SOTO</w:t>
            </w:r>
          </w:p>
        </w:tc>
        <w:tc>
          <w:tcPr>
            <w:tcW w:w="4722" w:type="dxa"/>
            <w:vAlign w:val="bottom"/>
            <w:hideMark/>
          </w:tcPr>
          <w:p w14:paraId="2BF4D1D0" w14:textId="77777777" w:rsidR="009F5885" w:rsidRDefault="009F5885">
            <w:pPr>
              <w:spacing w:after="120" w:line="48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BENJAMÍN CARRERA CHÁVEZ</w:t>
            </w:r>
          </w:p>
        </w:tc>
      </w:tr>
      <w:tr w:rsidR="009F5885" w14:paraId="364ABDC7" w14:textId="77777777" w:rsidTr="009F5885">
        <w:trPr>
          <w:trHeight w:val="1984"/>
        </w:trPr>
        <w:tc>
          <w:tcPr>
            <w:tcW w:w="4106" w:type="dxa"/>
            <w:vAlign w:val="bottom"/>
          </w:tcPr>
          <w:p w14:paraId="333AACA5" w14:textId="77777777" w:rsidR="009F5885" w:rsidRDefault="009F5885">
            <w:pPr>
              <w:spacing w:after="120" w:line="480" w:lineRule="auto"/>
              <w:rPr>
                <w:rFonts w:ascii="Century Gothic" w:eastAsia="Century Gothic" w:hAnsi="Century Gothic" w:cs="Century Gothic"/>
                <w:b/>
                <w:sz w:val="24"/>
                <w:szCs w:val="24"/>
              </w:rPr>
            </w:pPr>
          </w:p>
          <w:p w14:paraId="6CFDF40E" w14:textId="77777777" w:rsidR="009F5885" w:rsidRDefault="009F5885">
            <w:pPr>
              <w:spacing w:after="120" w:line="48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DAVID ÓSCAR CASTREJÓN RIVAS</w:t>
            </w:r>
          </w:p>
        </w:tc>
        <w:tc>
          <w:tcPr>
            <w:tcW w:w="4722" w:type="dxa"/>
          </w:tcPr>
          <w:p w14:paraId="6588AD2D" w14:textId="77777777" w:rsidR="009F5885" w:rsidRDefault="009F5885">
            <w:pPr>
              <w:spacing w:after="120" w:line="480" w:lineRule="auto"/>
              <w:jc w:val="center"/>
              <w:rPr>
                <w:rFonts w:ascii="Century Gothic" w:eastAsia="Century Gothic" w:hAnsi="Century Gothic" w:cs="Century Gothic"/>
                <w:sz w:val="24"/>
                <w:szCs w:val="24"/>
              </w:rPr>
            </w:pPr>
          </w:p>
          <w:p w14:paraId="47688D5C" w14:textId="77777777" w:rsidR="009F5885" w:rsidRDefault="009F5885">
            <w:pPr>
              <w:spacing w:after="120" w:line="480" w:lineRule="auto"/>
              <w:jc w:val="center"/>
              <w:rPr>
                <w:rFonts w:ascii="Century Gothic" w:eastAsia="Century Gothic" w:hAnsi="Century Gothic" w:cs="Century Gothic"/>
                <w:sz w:val="24"/>
                <w:szCs w:val="24"/>
              </w:rPr>
            </w:pPr>
          </w:p>
          <w:p w14:paraId="1103DF7C" w14:textId="77777777" w:rsidR="009F5885" w:rsidRDefault="009F5885">
            <w:pPr>
              <w:spacing w:after="120" w:line="480" w:lineRule="auto"/>
              <w:jc w:val="center"/>
              <w:rPr>
                <w:rFonts w:ascii="Century Gothic" w:eastAsia="Century Gothic" w:hAnsi="Century Gothic" w:cs="Century Gothic"/>
                <w:sz w:val="24"/>
                <w:szCs w:val="24"/>
              </w:rPr>
            </w:pPr>
          </w:p>
          <w:p w14:paraId="5CA16273" w14:textId="77777777" w:rsidR="009F5885" w:rsidRDefault="009F5885">
            <w:pPr>
              <w:spacing w:after="120" w:line="480" w:lineRule="auto"/>
              <w:jc w:val="center"/>
              <w:rPr>
                <w:rFonts w:ascii="Century Gothic" w:eastAsia="Century Gothic" w:hAnsi="Century Gothic" w:cs="Century Gothic"/>
                <w:b/>
                <w:bCs/>
                <w:sz w:val="24"/>
                <w:szCs w:val="24"/>
              </w:rPr>
            </w:pPr>
          </w:p>
        </w:tc>
      </w:tr>
    </w:tbl>
    <w:p w14:paraId="6C5F59A0" w14:textId="77777777" w:rsidR="009F5885" w:rsidRDefault="009F5885" w:rsidP="00B6552F">
      <w:pPr>
        <w:rPr>
          <w:rFonts w:ascii="Century Gothic" w:hAnsi="Century Gothic"/>
          <w:kern w:val="2"/>
          <w:sz w:val="24"/>
          <w:szCs w:val="24"/>
        </w:rPr>
      </w:pPr>
    </w:p>
    <w:sectPr w:rsidR="009F588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E15A" w14:textId="77777777" w:rsidR="00CE7CD0" w:rsidRDefault="00CE7CD0" w:rsidP="0048749A">
      <w:pPr>
        <w:spacing w:after="0" w:line="240" w:lineRule="auto"/>
      </w:pPr>
      <w:r>
        <w:separator/>
      </w:r>
    </w:p>
  </w:endnote>
  <w:endnote w:type="continuationSeparator" w:id="0">
    <w:p w14:paraId="099F6085" w14:textId="77777777" w:rsidR="00CE7CD0" w:rsidRDefault="00CE7CD0" w:rsidP="0048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4C1C" w14:textId="77777777" w:rsidR="00CE7CD0" w:rsidRDefault="00CE7CD0" w:rsidP="0048749A">
      <w:pPr>
        <w:spacing w:after="0" w:line="240" w:lineRule="auto"/>
      </w:pPr>
      <w:r>
        <w:separator/>
      </w:r>
    </w:p>
  </w:footnote>
  <w:footnote w:type="continuationSeparator" w:id="0">
    <w:p w14:paraId="713A9261" w14:textId="77777777" w:rsidR="00CE7CD0" w:rsidRDefault="00CE7CD0" w:rsidP="0048749A">
      <w:pPr>
        <w:spacing w:after="0" w:line="240" w:lineRule="auto"/>
      </w:pPr>
      <w:r>
        <w:continuationSeparator/>
      </w:r>
    </w:p>
  </w:footnote>
  <w:footnote w:id="1">
    <w:p w14:paraId="037A81A7" w14:textId="6E13270C" w:rsidR="0048749A" w:rsidRDefault="0048749A" w:rsidP="0048749A">
      <w:pPr>
        <w:jc w:val="both"/>
      </w:pPr>
      <w:r>
        <w:rPr>
          <w:rStyle w:val="Refdenotaalpie"/>
        </w:rPr>
        <w:footnoteRef/>
      </w:r>
      <w:r>
        <w:t xml:space="preserve"> </w:t>
      </w:r>
      <w:r w:rsidR="006B4C4C">
        <w:t xml:space="preserve">Por la pareja y en casa, 40% de los feminicidios. INEGI </w:t>
      </w:r>
      <w:hyperlink r:id="rId1" w:history="1">
        <w:r w:rsidR="006B4C4C" w:rsidRPr="00E149C2">
          <w:rPr>
            <w:rStyle w:val="Hipervnculo"/>
          </w:rPr>
          <w:t>https://www.milenio.com/policia/feminicidios-mexico-40-ciento-pareja-casa</w:t>
        </w:r>
      </w:hyperlink>
    </w:p>
    <w:p w14:paraId="0FE21566" w14:textId="77777777" w:rsidR="006B4C4C" w:rsidRDefault="006B4C4C" w:rsidP="0048749A">
      <w:pPr>
        <w:jc w:val="both"/>
      </w:pPr>
    </w:p>
    <w:p w14:paraId="7E6B2B6C" w14:textId="0DCC9533" w:rsidR="0048749A" w:rsidRDefault="0048749A">
      <w:pPr>
        <w:pStyle w:val="Textonotapie"/>
      </w:pPr>
    </w:p>
  </w:footnote>
  <w:footnote w:id="2">
    <w:p w14:paraId="02EC2745" w14:textId="617EE204" w:rsidR="005C7CB7" w:rsidRDefault="005C7CB7">
      <w:pPr>
        <w:pStyle w:val="Textonotapie"/>
      </w:pPr>
      <w:r>
        <w:rPr>
          <w:rStyle w:val="Refdenotaalpie"/>
        </w:rPr>
        <w:footnoteRef/>
      </w:r>
      <w:r>
        <w:t xml:space="preserve"> El interés superior de niñas, niños y adolescentes, una consideración primordial. Comisión Nacional de Derechos Humanos. </w:t>
      </w:r>
      <w:hyperlink r:id="rId2" w:history="1">
        <w:r w:rsidRPr="00E149C2">
          <w:rPr>
            <w:rStyle w:val="Hipervnculo"/>
          </w:rPr>
          <w:t>https://www.cndh.org.mx/sites/all/doc/Programas/Ninez_familia/Material/cuadri_interes_superior_NNA.pdf</w:t>
        </w:r>
      </w:hyperlink>
    </w:p>
    <w:p w14:paraId="0A4E39F5" w14:textId="77777777" w:rsidR="005C7CB7" w:rsidRDefault="005C7CB7">
      <w:pPr>
        <w:pStyle w:val="Textonotapie"/>
      </w:pPr>
    </w:p>
    <w:p w14:paraId="48C69AF7" w14:textId="77777777" w:rsidR="00B72FC3" w:rsidRDefault="00B72FC3">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DA"/>
    <w:rsid w:val="000E40EF"/>
    <w:rsid w:val="00187DC3"/>
    <w:rsid w:val="0019390D"/>
    <w:rsid w:val="00286F0C"/>
    <w:rsid w:val="002A6F24"/>
    <w:rsid w:val="002D5C48"/>
    <w:rsid w:val="00334B83"/>
    <w:rsid w:val="0035222A"/>
    <w:rsid w:val="00410F65"/>
    <w:rsid w:val="004806FB"/>
    <w:rsid w:val="0048749A"/>
    <w:rsid w:val="004F0C75"/>
    <w:rsid w:val="00533263"/>
    <w:rsid w:val="00546E09"/>
    <w:rsid w:val="00576BBB"/>
    <w:rsid w:val="005A3225"/>
    <w:rsid w:val="005C7CB7"/>
    <w:rsid w:val="00603935"/>
    <w:rsid w:val="006B4C4C"/>
    <w:rsid w:val="006B5940"/>
    <w:rsid w:val="007B2FEE"/>
    <w:rsid w:val="008267E7"/>
    <w:rsid w:val="0084473A"/>
    <w:rsid w:val="008C6D81"/>
    <w:rsid w:val="008D6C7B"/>
    <w:rsid w:val="00973186"/>
    <w:rsid w:val="009A31C9"/>
    <w:rsid w:val="009F5885"/>
    <w:rsid w:val="00A27A81"/>
    <w:rsid w:val="00A873BF"/>
    <w:rsid w:val="00AE41B1"/>
    <w:rsid w:val="00B3037F"/>
    <w:rsid w:val="00B6552F"/>
    <w:rsid w:val="00B72FC3"/>
    <w:rsid w:val="00B9158E"/>
    <w:rsid w:val="00C83744"/>
    <w:rsid w:val="00CB625A"/>
    <w:rsid w:val="00CE7CD0"/>
    <w:rsid w:val="00D64E54"/>
    <w:rsid w:val="00E03EE1"/>
    <w:rsid w:val="00E775C4"/>
    <w:rsid w:val="00EB2D6F"/>
    <w:rsid w:val="00EB3EC8"/>
    <w:rsid w:val="00EE27DA"/>
    <w:rsid w:val="00F076D3"/>
    <w:rsid w:val="00FE1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95B3"/>
  <w15:chartTrackingRefBased/>
  <w15:docId w15:val="{88BCCFCD-7A62-4BBC-9D1B-10E79E8F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E41B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E41B1"/>
    <w:rPr>
      <w:rFonts w:ascii="Times New Roman" w:eastAsia="Times New Roman" w:hAnsi="Times New Roman" w:cs="Times New Roman"/>
      <w:b/>
      <w:bCs/>
      <w:sz w:val="36"/>
      <w:szCs w:val="36"/>
      <w:lang w:eastAsia="es-MX"/>
    </w:rPr>
  </w:style>
  <w:style w:type="paragraph" w:styleId="Textonotapie">
    <w:name w:val="footnote text"/>
    <w:basedOn w:val="Normal"/>
    <w:link w:val="TextonotapieCar"/>
    <w:uiPriority w:val="99"/>
    <w:semiHidden/>
    <w:unhideWhenUsed/>
    <w:rsid w:val="004874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749A"/>
    <w:rPr>
      <w:sz w:val="20"/>
      <w:szCs w:val="20"/>
    </w:rPr>
  </w:style>
  <w:style w:type="character" w:styleId="Refdenotaalpie">
    <w:name w:val="footnote reference"/>
    <w:basedOn w:val="Fuentedeprrafopredeter"/>
    <w:uiPriority w:val="99"/>
    <w:semiHidden/>
    <w:unhideWhenUsed/>
    <w:rsid w:val="0048749A"/>
    <w:rPr>
      <w:vertAlign w:val="superscript"/>
    </w:rPr>
  </w:style>
  <w:style w:type="paragraph" w:styleId="NormalWeb">
    <w:name w:val="Normal (Web)"/>
    <w:basedOn w:val="Normal"/>
    <w:uiPriority w:val="99"/>
    <w:unhideWhenUsed/>
    <w:rsid w:val="000E40E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873BF"/>
    <w:rPr>
      <w:b/>
      <w:bCs/>
    </w:rPr>
  </w:style>
  <w:style w:type="character" w:styleId="Hipervnculo">
    <w:name w:val="Hyperlink"/>
    <w:basedOn w:val="Fuentedeprrafopredeter"/>
    <w:uiPriority w:val="99"/>
    <w:unhideWhenUsed/>
    <w:rsid w:val="005C7CB7"/>
    <w:rPr>
      <w:color w:val="0563C1" w:themeColor="hyperlink"/>
      <w:u w:val="single"/>
    </w:rPr>
  </w:style>
  <w:style w:type="character" w:styleId="Mencinsinresolver">
    <w:name w:val="Unresolved Mention"/>
    <w:basedOn w:val="Fuentedeprrafopredeter"/>
    <w:uiPriority w:val="99"/>
    <w:semiHidden/>
    <w:unhideWhenUsed/>
    <w:rsid w:val="005C7CB7"/>
    <w:rPr>
      <w:color w:val="605E5C"/>
      <w:shd w:val="clear" w:color="auto" w:fill="E1DFDD"/>
    </w:rPr>
  </w:style>
  <w:style w:type="paragraph" w:styleId="Revisin">
    <w:name w:val="Revision"/>
    <w:hidden/>
    <w:uiPriority w:val="99"/>
    <w:semiHidden/>
    <w:rsid w:val="006B5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3046">
      <w:bodyDiv w:val="1"/>
      <w:marLeft w:val="0"/>
      <w:marRight w:val="0"/>
      <w:marTop w:val="0"/>
      <w:marBottom w:val="0"/>
      <w:divBdr>
        <w:top w:val="none" w:sz="0" w:space="0" w:color="auto"/>
        <w:left w:val="none" w:sz="0" w:space="0" w:color="auto"/>
        <w:bottom w:val="none" w:sz="0" w:space="0" w:color="auto"/>
        <w:right w:val="none" w:sz="0" w:space="0" w:color="auto"/>
      </w:divBdr>
    </w:div>
    <w:div w:id="436564469">
      <w:bodyDiv w:val="1"/>
      <w:marLeft w:val="0"/>
      <w:marRight w:val="0"/>
      <w:marTop w:val="0"/>
      <w:marBottom w:val="0"/>
      <w:divBdr>
        <w:top w:val="none" w:sz="0" w:space="0" w:color="auto"/>
        <w:left w:val="none" w:sz="0" w:space="0" w:color="auto"/>
        <w:bottom w:val="none" w:sz="0" w:space="0" w:color="auto"/>
        <w:right w:val="none" w:sz="0" w:space="0" w:color="auto"/>
      </w:divBdr>
    </w:div>
    <w:div w:id="437602139">
      <w:bodyDiv w:val="1"/>
      <w:marLeft w:val="0"/>
      <w:marRight w:val="0"/>
      <w:marTop w:val="0"/>
      <w:marBottom w:val="0"/>
      <w:divBdr>
        <w:top w:val="none" w:sz="0" w:space="0" w:color="auto"/>
        <w:left w:val="none" w:sz="0" w:space="0" w:color="auto"/>
        <w:bottom w:val="none" w:sz="0" w:space="0" w:color="auto"/>
        <w:right w:val="none" w:sz="0" w:space="0" w:color="auto"/>
      </w:divBdr>
    </w:div>
    <w:div w:id="536895039">
      <w:bodyDiv w:val="1"/>
      <w:marLeft w:val="0"/>
      <w:marRight w:val="0"/>
      <w:marTop w:val="0"/>
      <w:marBottom w:val="0"/>
      <w:divBdr>
        <w:top w:val="none" w:sz="0" w:space="0" w:color="auto"/>
        <w:left w:val="none" w:sz="0" w:space="0" w:color="auto"/>
        <w:bottom w:val="none" w:sz="0" w:space="0" w:color="auto"/>
        <w:right w:val="none" w:sz="0" w:space="0" w:color="auto"/>
      </w:divBdr>
    </w:div>
    <w:div w:id="711197211">
      <w:bodyDiv w:val="1"/>
      <w:marLeft w:val="0"/>
      <w:marRight w:val="0"/>
      <w:marTop w:val="0"/>
      <w:marBottom w:val="0"/>
      <w:divBdr>
        <w:top w:val="none" w:sz="0" w:space="0" w:color="auto"/>
        <w:left w:val="none" w:sz="0" w:space="0" w:color="auto"/>
        <w:bottom w:val="none" w:sz="0" w:space="0" w:color="auto"/>
        <w:right w:val="none" w:sz="0" w:space="0" w:color="auto"/>
      </w:divBdr>
    </w:div>
    <w:div w:id="864631480">
      <w:bodyDiv w:val="1"/>
      <w:marLeft w:val="0"/>
      <w:marRight w:val="0"/>
      <w:marTop w:val="0"/>
      <w:marBottom w:val="0"/>
      <w:divBdr>
        <w:top w:val="none" w:sz="0" w:space="0" w:color="auto"/>
        <w:left w:val="none" w:sz="0" w:space="0" w:color="auto"/>
        <w:bottom w:val="none" w:sz="0" w:space="0" w:color="auto"/>
        <w:right w:val="none" w:sz="0" w:space="0" w:color="auto"/>
      </w:divBdr>
    </w:div>
    <w:div w:id="1763840447">
      <w:bodyDiv w:val="1"/>
      <w:marLeft w:val="0"/>
      <w:marRight w:val="0"/>
      <w:marTop w:val="0"/>
      <w:marBottom w:val="0"/>
      <w:divBdr>
        <w:top w:val="none" w:sz="0" w:space="0" w:color="auto"/>
        <w:left w:val="none" w:sz="0" w:space="0" w:color="auto"/>
        <w:bottom w:val="none" w:sz="0" w:space="0" w:color="auto"/>
        <w:right w:val="none" w:sz="0" w:space="0" w:color="auto"/>
      </w:divBdr>
    </w:div>
    <w:div w:id="1803692370">
      <w:bodyDiv w:val="1"/>
      <w:marLeft w:val="0"/>
      <w:marRight w:val="0"/>
      <w:marTop w:val="0"/>
      <w:marBottom w:val="0"/>
      <w:divBdr>
        <w:top w:val="none" w:sz="0" w:space="0" w:color="auto"/>
        <w:left w:val="none" w:sz="0" w:space="0" w:color="auto"/>
        <w:bottom w:val="none" w:sz="0" w:space="0" w:color="auto"/>
        <w:right w:val="none" w:sz="0" w:space="0" w:color="auto"/>
      </w:divBdr>
    </w:div>
    <w:div w:id="192560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ndh.org.mx/sites/all/doc/Programas/Ninez_familia/Material/cuadri_interes_superior_NNA.pdf" TargetMode="External"/><Relationship Id="rId1" Type="http://schemas.openxmlformats.org/officeDocument/2006/relationships/hyperlink" Target="https://www.milenio.com/policia/feminicidios-mexico-40-ciento-pareja-ca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 D M S ! 5 2 2 4 9 2 4 . 1 < / d o c u m e n t i d >  
     < s e n d e r i d > H M O N Z O N < / s e n d e r i d >  
     < s e n d e r e m a i l > H E L E N A . M O N Z O N @ C M S - A S L . C O M < / s e n d e r e m a i l >  
     < l a s t m o d i f i e d > 2 0 2 3 - 0 3 - 0 6 T 1 7 : 5 7 : 0 0 . 0 0 0 0 0 0 0 + 0 1 : 0 0 < / l a s t m o d i f i e d >  
     < d a t a b a s e > D M S < / d a t a b a s e >  
 < / p r o p e r t i e s > 
</file>

<file path=customXml/itemProps1.xml><?xml version="1.0" encoding="utf-8"?>
<ds:datastoreItem xmlns:ds="http://schemas.openxmlformats.org/officeDocument/2006/customXml" ds:itemID="{C804969A-A275-450E-9BCF-F37E62363777}">
  <ds:schemaRefs>
    <ds:schemaRef ds:uri="http://schemas.openxmlformats.org/officeDocument/2006/bibliography"/>
  </ds:schemaRefs>
</ds:datastoreItem>
</file>

<file path=customXml/itemProps2.xml><?xml version="1.0" encoding="utf-8"?>
<ds:datastoreItem xmlns:ds="http://schemas.openxmlformats.org/officeDocument/2006/customXml" ds:itemID="{5B2E407D-6D53-48CE-BF94-00DAF7C6AD7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1555</Words>
  <Characters>8556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Brenda Sarahi Gonzalez Dominguez</cp:lastModifiedBy>
  <cp:revision>2</cp:revision>
  <dcterms:created xsi:type="dcterms:W3CDTF">2023-03-06T20:51:00Z</dcterms:created>
  <dcterms:modified xsi:type="dcterms:W3CDTF">2023-03-06T20:51:00Z</dcterms:modified>
</cp:coreProperties>
</file>