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DA7E" w14:textId="5D7DC5DC" w:rsidR="00981D1D" w:rsidRDefault="00981D1D">
      <w:pPr>
        <w:pStyle w:val="Cuerpo"/>
        <w:jc w:val="both"/>
        <w:rPr>
          <w:rStyle w:val="Ninguno"/>
          <w:rFonts w:ascii="Century Gothic" w:eastAsia="Century Gothic" w:hAnsi="Century Gothic" w:cs="Century Gothic"/>
          <w:b/>
          <w:bCs/>
          <w:sz w:val="28"/>
          <w:szCs w:val="28"/>
        </w:rPr>
      </w:pPr>
    </w:p>
    <w:p w14:paraId="6D0FEB10" w14:textId="77777777" w:rsidR="00981D1D" w:rsidRDefault="00E628F4">
      <w:pPr>
        <w:pStyle w:val="Cuerpo"/>
        <w:jc w:val="both"/>
        <w:rPr>
          <w:rStyle w:val="Ninguno"/>
          <w:rFonts w:ascii="Century Gothic" w:eastAsia="Century Gothic" w:hAnsi="Century Gothic" w:cs="Century Gothic"/>
          <w:b/>
          <w:bCs/>
          <w:sz w:val="28"/>
          <w:szCs w:val="28"/>
        </w:rPr>
      </w:pPr>
      <w:r>
        <w:rPr>
          <w:rStyle w:val="Ninguno"/>
          <w:rFonts w:ascii="Century Gothic" w:hAnsi="Century Gothic"/>
          <w:b/>
          <w:bCs/>
          <w:sz w:val="28"/>
          <w:szCs w:val="28"/>
        </w:rPr>
        <w:t>H. CONGRESO DEL ESTADO DE CHIHUAHUA</w:t>
      </w:r>
    </w:p>
    <w:p w14:paraId="16B9B61B" w14:textId="77777777" w:rsidR="00981D1D" w:rsidRDefault="00E628F4">
      <w:pPr>
        <w:pStyle w:val="Cuerpo"/>
        <w:jc w:val="both"/>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it-IT"/>
        </w:rPr>
        <w:t xml:space="preserve">P R E S E N T E. </w:t>
      </w:r>
    </w:p>
    <w:p w14:paraId="6D8BF5DC" w14:textId="77777777" w:rsidR="00981D1D" w:rsidRDefault="00981D1D">
      <w:pPr>
        <w:pStyle w:val="Cuerpo"/>
        <w:jc w:val="both"/>
        <w:rPr>
          <w:rStyle w:val="Ninguno"/>
          <w:rFonts w:ascii="Century Gothic" w:eastAsia="Century Gothic" w:hAnsi="Century Gothic" w:cs="Century Gothic"/>
          <w:b/>
          <w:bCs/>
          <w:sz w:val="28"/>
          <w:szCs w:val="28"/>
        </w:rPr>
      </w:pPr>
    </w:p>
    <w:p w14:paraId="2D63E0C6" w14:textId="6B1F0F51" w:rsidR="00981D1D" w:rsidRDefault="00E628F4">
      <w:pPr>
        <w:pStyle w:val="Cuerpo"/>
        <w:jc w:val="both"/>
        <w:rPr>
          <w:rStyle w:val="Ninguno"/>
          <w:rFonts w:ascii="Century Gothic" w:eastAsia="Century Gothic" w:hAnsi="Century Gothic" w:cs="Century Gothic"/>
          <w:b/>
          <w:bCs/>
          <w:sz w:val="28"/>
          <w:szCs w:val="28"/>
        </w:rPr>
      </w:pPr>
      <w:r>
        <w:rPr>
          <w:rStyle w:val="Ninguno"/>
          <w:rFonts w:ascii="Century Gothic" w:hAnsi="Century Gothic"/>
          <w:sz w:val="28"/>
          <w:szCs w:val="28"/>
        </w:rPr>
        <w:t xml:space="preserve">Los que suscriben, </w:t>
      </w:r>
      <w:r>
        <w:rPr>
          <w:rStyle w:val="Ninguno"/>
          <w:rFonts w:ascii="Century Gothic" w:hAnsi="Century Gothic"/>
          <w:b/>
          <w:bCs/>
          <w:sz w:val="28"/>
          <w:szCs w:val="28"/>
        </w:rPr>
        <w:t>Marí</w:t>
      </w:r>
      <w:r>
        <w:rPr>
          <w:rStyle w:val="Ninguno"/>
          <w:rFonts w:ascii="Century Gothic" w:hAnsi="Century Gothic"/>
          <w:b/>
          <w:bCs/>
          <w:sz w:val="28"/>
          <w:szCs w:val="28"/>
          <w:lang w:val="nl-NL"/>
        </w:rPr>
        <w:t xml:space="preserve">a Antonieta </w:t>
      </w:r>
      <w:r>
        <w:rPr>
          <w:rStyle w:val="Ninguno"/>
          <w:rFonts w:ascii="Century Gothic" w:hAnsi="Century Gothic"/>
          <w:b/>
          <w:bCs/>
          <w:sz w:val="28"/>
          <w:szCs w:val="28"/>
        </w:rPr>
        <w:t>Pérez Reyes,</w:t>
      </w:r>
      <w:r>
        <w:rPr>
          <w:rStyle w:val="Ninguno"/>
          <w:rFonts w:ascii="Century Gothic" w:hAnsi="Century Gothic"/>
          <w:sz w:val="28"/>
          <w:szCs w:val="28"/>
        </w:rPr>
        <w:t xml:space="preserve"> </w:t>
      </w:r>
      <w:r>
        <w:rPr>
          <w:rStyle w:val="Ninguno"/>
          <w:rFonts w:ascii="Century Gothic" w:hAnsi="Century Gothic"/>
          <w:b/>
          <w:bCs/>
          <w:sz w:val="28"/>
          <w:szCs w:val="28"/>
        </w:rPr>
        <w:t>Leticia Ortega Máynez, O</w:t>
      </w:r>
      <w:r>
        <w:rPr>
          <w:rStyle w:val="Ninguno"/>
          <w:rFonts w:ascii="Century Gothic" w:hAnsi="Century Gothic"/>
          <w:b/>
          <w:bCs/>
          <w:sz w:val="28"/>
          <w:szCs w:val="28"/>
          <w:lang w:val="it-IT"/>
        </w:rPr>
        <w:t>scar Daniel Avitia Arellanes, Rosana D</w:t>
      </w:r>
      <w:proofErr w:type="spellStart"/>
      <w:r>
        <w:rPr>
          <w:rStyle w:val="Ninguno"/>
          <w:rFonts w:ascii="Century Gothic" w:hAnsi="Century Gothic"/>
          <w:b/>
          <w:bCs/>
          <w:sz w:val="28"/>
          <w:szCs w:val="28"/>
        </w:rPr>
        <w:t>íaz</w:t>
      </w:r>
      <w:proofErr w:type="spellEnd"/>
      <w:r>
        <w:rPr>
          <w:rStyle w:val="Ninguno"/>
          <w:rFonts w:ascii="Century Gothic" w:hAnsi="Century Gothic"/>
          <w:b/>
          <w:bCs/>
          <w:sz w:val="28"/>
          <w:szCs w:val="28"/>
        </w:rPr>
        <w:t xml:space="preserve"> Reyes, Gustavo De la Rosa </w:t>
      </w:r>
      <w:proofErr w:type="spellStart"/>
      <w:r>
        <w:rPr>
          <w:rStyle w:val="Ninguno"/>
          <w:rFonts w:ascii="Century Gothic" w:hAnsi="Century Gothic"/>
          <w:b/>
          <w:bCs/>
          <w:sz w:val="28"/>
          <w:szCs w:val="28"/>
        </w:rPr>
        <w:t>Hickerson</w:t>
      </w:r>
      <w:proofErr w:type="spellEnd"/>
      <w:r>
        <w:rPr>
          <w:rStyle w:val="Ninguno"/>
          <w:rFonts w:ascii="Century Gothic" w:hAnsi="Century Gothic"/>
          <w:b/>
          <w:bCs/>
          <w:sz w:val="28"/>
          <w:szCs w:val="28"/>
        </w:rPr>
        <w:t xml:space="preserve">, Edin Cuauhtémoc Estrada Sotelo, Magdalena Rentería </w:t>
      </w:r>
      <w:proofErr w:type="spellStart"/>
      <w:r>
        <w:rPr>
          <w:rStyle w:val="Ninguno"/>
          <w:rFonts w:ascii="Century Gothic" w:hAnsi="Century Gothic"/>
          <w:b/>
          <w:bCs/>
          <w:sz w:val="28"/>
          <w:szCs w:val="28"/>
        </w:rPr>
        <w:t>Pé</w:t>
      </w:r>
      <w:r>
        <w:rPr>
          <w:rStyle w:val="Ninguno"/>
          <w:rFonts w:ascii="Century Gothic" w:hAnsi="Century Gothic"/>
          <w:b/>
          <w:bCs/>
          <w:sz w:val="28"/>
          <w:szCs w:val="28"/>
          <w:lang w:val="fr-FR"/>
        </w:rPr>
        <w:t>rez</w:t>
      </w:r>
      <w:proofErr w:type="spellEnd"/>
      <w:r>
        <w:rPr>
          <w:rStyle w:val="Ninguno"/>
          <w:rFonts w:ascii="Century Gothic" w:hAnsi="Century Gothic"/>
          <w:b/>
          <w:bCs/>
          <w:sz w:val="28"/>
          <w:szCs w:val="28"/>
          <w:lang w:val="fr-FR"/>
        </w:rPr>
        <w:t>, Ilse Am</w:t>
      </w:r>
      <w:r>
        <w:rPr>
          <w:rStyle w:val="Ninguno"/>
          <w:rFonts w:ascii="Century Gothic" w:hAnsi="Century Gothic"/>
          <w:b/>
          <w:bCs/>
          <w:sz w:val="28"/>
          <w:szCs w:val="28"/>
        </w:rPr>
        <w:t>é</w:t>
      </w:r>
      <w:r>
        <w:rPr>
          <w:rStyle w:val="Ninguno"/>
          <w:rFonts w:ascii="Century Gothic" w:hAnsi="Century Gothic"/>
          <w:b/>
          <w:bCs/>
          <w:sz w:val="28"/>
          <w:szCs w:val="28"/>
          <w:lang w:val="it-IT"/>
        </w:rPr>
        <w:t>rica Garc</w:t>
      </w:r>
      <w:proofErr w:type="spellStart"/>
      <w:r>
        <w:rPr>
          <w:rStyle w:val="Ninguno"/>
          <w:rFonts w:ascii="Century Gothic" w:hAnsi="Century Gothic"/>
          <w:b/>
          <w:bCs/>
          <w:sz w:val="28"/>
          <w:szCs w:val="28"/>
        </w:rPr>
        <w:t>ía</w:t>
      </w:r>
      <w:proofErr w:type="spellEnd"/>
      <w:r>
        <w:rPr>
          <w:rStyle w:val="Ninguno"/>
          <w:rFonts w:ascii="Century Gothic" w:hAnsi="Century Gothic"/>
          <w:b/>
          <w:bCs/>
          <w:sz w:val="28"/>
          <w:szCs w:val="28"/>
        </w:rPr>
        <w:t xml:space="preserve"> Soto, Benjamín Carrera Chávez y David Oscar Castrejón</w:t>
      </w:r>
      <w:r>
        <w:rPr>
          <w:rStyle w:val="Ninguno"/>
          <w:rFonts w:ascii="Century Gothic" w:hAnsi="Century Gothic"/>
          <w:b/>
          <w:bCs/>
          <w:sz w:val="28"/>
          <w:szCs w:val="28"/>
          <w:lang w:val="pt-PT"/>
        </w:rPr>
        <w:t xml:space="preserve"> Rivas,</w:t>
      </w:r>
      <w:r>
        <w:rPr>
          <w:rStyle w:val="Ninguno"/>
          <w:rFonts w:ascii="Century Gothic" w:hAnsi="Century Gothic"/>
          <w:sz w:val="28"/>
          <w:szCs w:val="28"/>
        </w:rPr>
        <w:t xml:space="preserve"> en nuestro carácter de Diputados de la 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Pr>
          <w:rStyle w:val="Ninguno"/>
          <w:rFonts w:ascii="Century Gothic" w:hAnsi="Century Gothic"/>
          <w:b/>
          <w:bCs/>
          <w:sz w:val="28"/>
          <w:szCs w:val="28"/>
        </w:rPr>
        <w:t xml:space="preserve">proposición con el carácter de punto de Acuerdo, para exhortar atenta y respetuosamente a la Fiscalía General del Estado de Chihuahua, </w:t>
      </w:r>
      <w:r>
        <w:rPr>
          <w:rStyle w:val="Ninguno"/>
          <w:rFonts w:ascii="Century Gothic" w:hAnsi="Century Gothic"/>
          <w:sz w:val="28"/>
          <w:szCs w:val="28"/>
        </w:rPr>
        <w:t xml:space="preserve">lo anterior con sustento en la siguiente:  </w:t>
      </w:r>
    </w:p>
    <w:p w14:paraId="6BB2DC7A" w14:textId="77777777" w:rsidR="00981D1D" w:rsidRDefault="00981D1D">
      <w:pPr>
        <w:pStyle w:val="Cuerpo"/>
        <w:jc w:val="both"/>
        <w:rPr>
          <w:rStyle w:val="Ninguno"/>
          <w:rFonts w:ascii="Century Gothic" w:eastAsia="Century Gothic" w:hAnsi="Century Gothic" w:cs="Century Gothic"/>
          <w:sz w:val="28"/>
          <w:szCs w:val="28"/>
        </w:rPr>
      </w:pPr>
    </w:p>
    <w:p w14:paraId="47C11846" w14:textId="77777777" w:rsidR="00981D1D" w:rsidRDefault="00981D1D">
      <w:pPr>
        <w:pStyle w:val="Cuerpo"/>
        <w:jc w:val="both"/>
        <w:rPr>
          <w:rStyle w:val="Ninguno"/>
          <w:rFonts w:ascii="Century Gothic" w:eastAsia="Century Gothic" w:hAnsi="Century Gothic" w:cs="Century Gothic"/>
          <w:sz w:val="28"/>
          <w:szCs w:val="28"/>
        </w:rPr>
      </w:pPr>
    </w:p>
    <w:p w14:paraId="55CD1B42" w14:textId="77777777" w:rsidR="00981D1D" w:rsidRDefault="00E628F4">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pt-PT"/>
        </w:rPr>
        <w:t>EXPOSICI</w:t>
      </w:r>
      <w:r>
        <w:rPr>
          <w:rStyle w:val="Ninguno"/>
          <w:rFonts w:ascii="Century Gothic" w:hAnsi="Century Gothic"/>
          <w:b/>
          <w:bCs/>
          <w:sz w:val="28"/>
          <w:szCs w:val="28"/>
        </w:rPr>
        <w:t>ÓN DE MOTIVOS:</w:t>
      </w:r>
    </w:p>
    <w:p w14:paraId="389B870C" w14:textId="77777777"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t xml:space="preserve">El acceso a la justicia pronta y expedita es un principio y un derecho consagrados a nivel constitucional contemplado en el artículo 17 párrafo segundo, esto con el fin de garantizar al ciudadano la pronta respuesta de la autoridad competente ante una petición del justiciable. </w:t>
      </w:r>
    </w:p>
    <w:p w14:paraId="4198A98E" w14:textId="0B1766B7"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t xml:space="preserve">En este sentido, es del conocimiento de la existencia de </w:t>
      </w:r>
      <w:proofErr w:type="spellStart"/>
      <w:r>
        <w:rPr>
          <w:rStyle w:val="Ninguno"/>
          <w:rFonts w:ascii="Century Gothic" w:eastAsia="Calibri" w:hAnsi="Century Gothic" w:cs="Calibri"/>
          <w:sz w:val="28"/>
          <w:szCs w:val="28"/>
        </w:rPr>
        <w:t>pseudofinancieras</w:t>
      </w:r>
      <w:proofErr w:type="spellEnd"/>
      <w:r>
        <w:rPr>
          <w:rStyle w:val="Ninguno"/>
          <w:rFonts w:ascii="Century Gothic" w:eastAsia="Calibri" w:hAnsi="Century Gothic" w:cs="Calibri"/>
          <w:sz w:val="28"/>
          <w:szCs w:val="28"/>
        </w:rPr>
        <w:t xml:space="preserve"> las cuales han causado un gran problema social a lo largo de nuestro país especialmente en el estado de Chihuahua con el reciente caso de ARAS Business </w:t>
      </w:r>
      <w:proofErr w:type="spellStart"/>
      <w:r>
        <w:rPr>
          <w:rStyle w:val="Ninguno"/>
          <w:rFonts w:ascii="Century Gothic" w:eastAsia="Calibri" w:hAnsi="Century Gothic" w:cs="Calibri"/>
          <w:sz w:val="28"/>
          <w:szCs w:val="28"/>
        </w:rPr>
        <w:t>Group</w:t>
      </w:r>
      <w:proofErr w:type="spellEnd"/>
      <w:r>
        <w:rPr>
          <w:rStyle w:val="Ninguno"/>
          <w:rFonts w:ascii="Century Gothic" w:eastAsia="Calibri" w:hAnsi="Century Gothic" w:cs="Calibri"/>
          <w:sz w:val="28"/>
          <w:szCs w:val="28"/>
        </w:rPr>
        <w:t xml:space="preserve"> </w:t>
      </w:r>
      <w:r>
        <w:rPr>
          <w:rStyle w:val="Ninguno"/>
          <w:rFonts w:ascii="Century Gothic" w:eastAsia="Calibri" w:hAnsi="Century Gothic" w:cs="Calibri"/>
          <w:sz w:val="28"/>
          <w:szCs w:val="28"/>
        </w:rPr>
        <w:lastRenderedPageBreak/>
        <w:t xml:space="preserve">afectando fuertemente el patrimonio de un gran </w:t>
      </w:r>
      <w:proofErr w:type="spellStart"/>
      <w:r>
        <w:rPr>
          <w:rStyle w:val="Ninguno"/>
          <w:rFonts w:ascii="Century Gothic" w:eastAsia="Calibri" w:hAnsi="Century Gothic" w:cs="Calibri"/>
          <w:sz w:val="28"/>
          <w:szCs w:val="28"/>
        </w:rPr>
        <w:t>nú</w:t>
      </w:r>
      <w:proofErr w:type="spellEnd"/>
      <w:r>
        <w:rPr>
          <w:rStyle w:val="Ninguno"/>
          <w:rFonts w:ascii="Century Gothic" w:eastAsia="Calibri" w:hAnsi="Century Gothic" w:cs="Calibri"/>
          <w:sz w:val="28"/>
          <w:szCs w:val="28"/>
          <w:lang w:val="pt-PT"/>
        </w:rPr>
        <w:t xml:space="preserve">mero de familias chihuahuenses. </w:t>
      </w:r>
    </w:p>
    <w:p w14:paraId="18AD9065" w14:textId="717EC8E1"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t xml:space="preserve">Tal situación se ha convertido en un tema mediático y sobre todo en un problema social y por tal motivo no se puede dejar de lado, prueba de ello la cantidad de acusaciones hechas ante la Fiscalía General del Estado por parte de </w:t>
      </w:r>
      <w:proofErr w:type="gramStart"/>
      <w:r>
        <w:rPr>
          <w:rStyle w:val="Ninguno"/>
          <w:rFonts w:ascii="Century Gothic" w:eastAsia="Calibri" w:hAnsi="Century Gothic" w:cs="Calibri"/>
          <w:sz w:val="28"/>
          <w:szCs w:val="28"/>
        </w:rPr>
        <w:t>los  casi</w:t>
      </w:r>
      <w:proofErr w:type="gramEnd"/>
      <w:r>
        <w:rPr>
          <w:rStyle w:val="Ninguno"/>
          <w:rFonts w:ascii="Century Gothic" w:eastAsia="Calibri" w:hAnsi="Century Gothic" w:cs="Calibri"/>
          <w:sz w:val="28"/>
          <w:szCs w:val="28"/>
        </w:rPr>
        <w:t xml:space="preserve"> ya siete mil afectados, sin embargo aun cuando los casos  ya se encuentran en manos de las autoridades, se han presentado inconformidades por parte de los afectados en relación a que la Fiscalía</w:t>
      </w:r>
      <w:r>
        <w:rPr>
          <w:rStyle w:val="Ninguno"/>
          <w:rFonts w:ascii="Century Gothic" w:eastAsia="Calibri" w:hAnsi="Century Gothic" w:cs="Calibri"/>
          <w:sz w:val="28"/>
          <w:szCs w:val="28"/>
          <w:lang w:val="pt-PT"/>
        </w:rPr>
        <w:t>a no act</w:t>
      </w:r>
      <w:proofErr w:type="spellStart"/>
      <w:r>
        <w:rPr>
          <w:rStyle w:val="Ninguno"/>
          <w:rFonts w:ascii="Century Gothic" w:eastAsia="Calibri" w:hAnsi="Century Gothic" w:cs="Calibri"/>
          <w:sz w:val="28"/>
          <w:szCs w:val="28"/>
        </w:rPr>
        <w:t>úa</w:t>
      </w:r>
      <w:proofErr w:type="spellEnd"/>
      <w:r>
        <w:rPr>
          <w:rStyle w:val="Ninguno"/>
          <w:rFonts w:ascii="Century Gothic" w:eastAsia="Calibri" w:hAnsi="Century Gothic" w:cs="Calibri"/>
          <w:sz w:val="28"/>
          <w:szCs w:val="28"/>
        </w:rPr>
        <w:t xml:space="preserve"> de una manera oportuna y pronta ante tal situación.  </w:t>
      </w:r>
    </w:p>
    <w:p w14:paraId="55892411" w14:textId="565D14B2" w:rsidR="00981D1D" w:rsidRDefault="0EC15DE8">
      <w:pPr>
        <w:pStyle w:val="Cuerpo"/>
        <w:spacing w:after="160" w:line="276" w:lineRule="auto"/>
        <w:jc w:val="both"/>
        <w:rPr>
          <w:rStyle w:val="Ninguno"/>
          <w:rFonts w:ascii="Century Gothic" w:eastAsia="Century Gothic" w:hAnsi="Century Gothic" w:cs="Century Gothic"/>
          <w:sz w:val="28"/>
          <w:szCs w:val="28"/>
        </w:rPr>
      </w:pPr>
      <w:r w:rsidRPr="0EC15DE8">
        <w:rPr>
          <w:rStyle w:val="Ninguno"/>
          <w:rFonts w:ascii="Century Gothic" w:eastAsia="Calibri" w:hAnsi="Century Gothic" w:cs="Calibri"/>
          <w:sz w:val="28"/>
          <w:szCs w:val="28"/>
        </w:rPr>
        <w:t xml:space="preserve">Tal es el caso del fraude cometido también por la empresa VITAS </w:t>
      </w:r>
      <w:proofErr w:type="spellStart"/>
      <w:r w:rsidRPr="0EC15DE8">
        <w:rPr>
          <w:rStyle w:val="Ninguno"/>
          <w:rFonts w:ascii="Century Gothic" w:eastAsia="Calibri" w:hAnsi="Century Gothic" w:cs="Calibri"/>
          <w:sz w:val="28"/>
          <w:szCs w:val="28"/>
        </w:rPr>
        <w:t>Financial</w:t>
      </w:r>
      <w:proofErr w:type="spellEnd"/>
      <w:r w:rsidRPr="0EC15DE8">
        <w:rPr>
          <w:rStyle w:val="Ninguno"/>
          <w:rFonts w:ascii="Century Gothic" w:eastAsia="Calibri" w:hAnsi="Century Gothic" w:cs="Calibri"/>
          <w:sz w:val="28"/>
          <w:szCs w:val="28"/>
        </w:rPr>
        <w:t xml:space="preserve"> y VITAS </w:t>
      </w:r>
      <w:proofErr w:type="spellStart"/>
      <w:proofErr w:type="gramStart"/>
      <w:r w:rsidRPr="0EC15DE8">
        <w:rPr>
          <w:rStyle w:val="Ninguno"/>
          <w:rFonts w:ascii="Century Gothic" w:eastAsia="Calibri" w:hAnsi="Century Gothic" w:cs="Calibri"/>
          <w:sz w:val="28"/>
          <w:szCs w:val="28"/>
        </w:rPr>
        <w:t>Consulting</w:t>
      </w:r>
      <w:proofErr w:type="spellEnd"/>
      <w:r w:rsidRPr="0EC15DE8">
        <w:rPr>
          <w:rStyle w:val="Ninguno"/>
          <w:rFonts w:ascii="Century Gothic" w:eastAsia="Calibri" w:hAnsi="Century Gothic" w:cs="Calibri"/>
          <w:sz w:val="28"/>
          <w:szCs w:val="28"/>
        </w:rPr>
        <w:t xml:space="preserve">  SAPI</w:t>
      </w:r>
      <w:proofErr w:type="gramEnd"/>
      <w:r w:rsidRPr="0EC15DE8">
        <w:rPr>
          <w:rStyle w:val="Ninguno"/>
          <w:rFonts w:ascii="Century Gothic" w:eastAsia="Calibri" w:hAnsi="Century Gothic" w:cs="Calibri"/>
          <w:sz w:val="28"/>
          <w:szCs w:val="28"/>
        </w:rPr>
        <w:t xml:space="preserve"> SA de CV quienes bajo el mismo esquema fraudulento de ARAS logro también arrebatarles millones de pesos a las familias chihuahuenses. </w:t>
      </w:r>
    </w:p>
    <w:p w14:paraId="093994EB" w14:textId="1EDF8F74"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t xml:space="preserve">En esta </w:t>
      </w:r>
      <w:proofErr w:type="spellStart"/>
      <w:r>
        <w:rPr>
          <w:rStyle w:val="Ninguno"/>
          <w:rFonts w:ascii="Century Gothic" w:eastAsia="Calibri" w:hAnsi="Century Gothic" w:cs="Calibri"/>
          <w:sz w:val="28"/>
          <w:szCs w:val="28"/>
        </w:rPr>
        <w:t>pseudofinanciera</w:t>
      </w:r>
      <w:proofErr w:type="spellEnd"/>
      <w:r>
        <w:rPr>
          <w:rStyle w:val="Ninguno"/>
          <w:rFonts w:ascii="Century Gothic" w:eastAsia="Calibri" w:hAnsi="Century Gothic" w:cs="Calibri"/>
          <w:sz w:val="28"/>
          <w:szCs w:val="28"/>
        </w:rPr>
        <w:t xml:space="preserve"> los siguientes presuntos computados son los que los afectados han señalado ya en los expedientes de denuncias que obran en las fiscalías de distrito del estado:  </w:t>
      </w:r>
    </w:p>
    <w:p w14:paraId="0112AEB3" w14:textId="77777777" w:rsidR="00981D1D" w:rsidRDefault="00981D1D">
      <w:pPr>
        <w:pStyle w:val="Cuerpo"/>
        <w:spacing w:after="160" w:line="276" w:lineRule="auto"/>
        <w:jc w:val="both"/>
        <w:rPr>
          <w:rStyle w:val="Ninguno"/>
          <w:rFonts w:ascii="Century Gothic" w:eastAsia="Century Gothic" w:hAnsi="Century Gothic" w:cs="Century Gothic"/>
          <w:sz w:val="28"/>
          <w:szCs w:val="28"/>
        </w:rPr>
      </w:pPr>
    </w:p>
    <w:p w14:paraId="44C4CCC3" w14:textId="2ECC6A5B" w:rsidR="00981D1D" w:rsidRDefault="0EC15DE8">
      <w:pPr>
        <w:pStyle w:val="Cuerpo"/>
        <w:spacing w:after="160" w:line="276" w:lineRule="auto"/>
        <w:jc w:val="both"/>
        <w:rPr>
          <w:rStyle w:val="Ninguno"/>
          <w:rFonts w:ascii="Century Gothic" w:eastAsia="Century Gothic" w:hAnsi="Century Gothic" w:cs="Century Gothic"/>
          <w:sz w:val="28"/>
          <w:szCs w:val="28"/>
        </w:rPr>
      </w:pPr>
      <w:r w:rsidRPr="0EC15DE8">
        <w:rPr>
          <w:rStyle w:val="Ninguno"/>
          <w:rFonts w:ascii="Century Gothic" w:eastAsia="Calibri" w:hAnsi="Century Gothic" w:cs="Calibri"/>
          <w:sz w:val="28"/>
          <w:szCs w:val="28"/>
        </w:rPr>
        <w:t xml:space="preserve">Carlos Alberto Vidaña Carrasco socio y director general; Brandon David Flores Yáñez Gerente sucursal de Ciudad Juárez ; Giovanni Arturo Hinojos Hernández Director administrativo de México; Francisco Mata Anchondo Director de plaza Chihuahua; Joel Alfonso Salas Martínez director de operación en México; </w:t>
      </w:r>
      <w:proofErr w:type="spellStart"/>
      <w:r w:rsidRPr="0EC15DE8">
        <w:rPr>
          <w:rStyle w:val="Ninguno"/>
          <w:rFonts w:ascii="Century Gothic" w:eastAsia="Calibri" w:hAnsi="Century Gothic" w:cs="Calibri"/>
          <w:sz w:val="28"/>
          <w:szCs w:val="28"/>
        </w:rPr>
        <w:t>Suiry</w:t>
      </w:r>
      <w:proofErr w:type="spellEnd"/>
      <w:r w:rsidRPr="0EC15DE8">
        <w:rPr>
          <w:rStyle w:val="Ninguno"/>
          <w:rFonts w:ascii="Century Gothic" w:eastAsia="Calibri" w:hAnsi="Century Gothic" w:cs="Calibri"/>
          <w:sz w:val="28"/>
          <w:szCs w:val="28"/>
        </w:rPr>
        <w:t xml:space="preserve"> Chávez Barraza Directora de integración comercial y eventos; Alejandro Pérez Tarango Socio y subdirector comercial México; Roberto Ceja Hernández, Andrea Eunice machado Piña, Silvia Patricia Miramontes Avitia y Luis Ángel Alcázar, todos </w:t>
      </w:r>
      <w:r w:rsidRPr="0EC15DE8">
        <w:rPr>
          <w:rStyle w:val="Ninguno"/>
          <w:rFonts w:ascii="Century Gothic" w:eastAsia="Calibri" w:hAnsi="Century Gothic" w:cs="Calibri"/>
          <w:sz w:val="28"/>
          <w:szCs w:val="28"/>
        </w:rPr>
        <w:lastRenderedPageBreak/>
        <w:t xml:space="preserve">involucrados en la recepción de millones de pesos que las familias afectada pusieron en su manos engañados por la publicidad engañosa que VITAS desplegó en todo el estado. </w:t>
      </w:r>
    </w:p>
    <w:p w14:paraId="4CF03679" w14:textId="77777777" w:rsidR="00981D1D" w:rsidRDefault="00981D1D">
      <w:pPr>
        <w:pStyle w:val="Cuerpo"/>
        <w:spacing w:after="160" w:line="276" w:lineRule="auto"/>
        <w:jc w:val="both"/>
        <w:rPr>
          <w:rStyle w:val="Ninguno"/>
          <w:rFonts w:ascii="Century Gothic" w:eastAsia="Century Gothic" w:hAnsi="Century Gothic" w:cs="Century Gothic"/>
          <w:sz w:val="28"/>
          <w:szCs w:val="28"/>
        </w:rPr>
      </w:pPr>
    </w:p>
    <w:p w14:paraId="366698E6" w14:textId="4DD1712F"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t>Solamente en el 2022 en la fiscalía de distrito en Ciudad Juárez recibió 22 denuncias sumando la afectación patrimonial en estos expedientes la cantidad de $22,037,000. No obstante, estas denuncias que se presentaron en el año 2022 desafortunadamente el fiscal anterior Jesús Manuel Carrasco Chacón, por motivos que desconocemos no presento o no judicializó estas carpetas ante jueces competentes.</w:t>
      </w:r>
    </w:p>
    <w:p w14:paraId="19047A56" w14:textId="77777777" w:rsidR="00981D1D" w:rsidRDefault="00981D1D">
      <w:pPr>
        <w:pStyle w:val="Cuerpo"/>
        <w:spacing w:after="160" w:line="276" w:lineRule="auto"/>
        <w:jc w:val="both"/>
        <w:rPr>
          <w:rStyle w:val="Ninguno"/>
          <w:rFonts w:ascii="Century Gothic" w:eastAsia="Century Gothic" w:hAnsi="Century Gothic" w:cs="Century Gothic"/>
          <w:sz w:val="28"/>
          <w:szCs w:val="28"/>
        </w:rPr>
      </w:pPr>
    </w:p>
    <w:p w14:paraId="5BD5F35B" w14:textId="38AF28AA"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t xml:space="preserve">Ante la inacción del fiscal Jesús Manuel Carrasco Chacón los afectados presentaron escritos ante el ministerio público el 6 de enero del presente año solicitando fecha para la audiencia </w:t>
      </w:r>
      <w:proofErr w:type="gramStart"/>
      <w:r>
        <w:rPr>
          <w:rStyle w:val="Ninguno"/>
          <w:rFonts w:ascii="Century Gothic" w:eastAsia="Calibri" w:hAnsi="Century Gothic" w:cs="Calibri"/>
          <w:sz w:val="28"/>
          <w:szCs w:val="28"/>
        </w:rPr>
        <w:t>de  formulación</w:t>
      </w:r>
      <w:proofErr w:type="gramEnd"/>
      <w:r>
        <w:rPr>
          <w:rStyle w:val="Ninguno"/>
          <w:rFonts w:ascii="Century Gothic" w:eastAsia="Calibri" w:hAnsi="Century Gothic" w:cs="Calibri"/>
          <w:sz w:val="28"/>
          <w:szCs w:val="28"/>
        </w:rPr>
        <w:t xml:space="preserve"> ante el juez de control de las carpetas de investigación en virtud de ya estar debidamente integradas, sin embargo la Fiscalía respondió negativamente a esa petición de formulación a los afectados argumentando que aún faltaba información. No obstante, todos los expedientes antes mencionados están conformados por pruebas ofrecidas ante el ministerio publico tales como: contratos de acciones, estados de cuenta bancarios que comprobaba la transferencia electrónica de los defraudados a la empresa VITAS, testimoniales, fe de hechos ante notario </w:t>
      </w:r>
      <w:proofErr w:type="gramStart"/>
      <w:r>
        <w:rPr>
          <w:rStyle w:val="Ninguno"/>
          <w:rFonts w:ascii="Century Gothic" w:eastAsia="Calibri" w:hAnsi="Century Gothic" w:cs="Calibri"/>
          <w:sz w:val="28"/>
          <w:szCs w:val="28"/>
        </w:rPr>
        <w:t>público</w:t>
      </w:r>
      <w:proofErr w:type="gramEnd"/>
      <w:r>
        <w:rPr>
          <w:rStyle w:val="Ninguno"/>
          <w:rFonts w:ascii="Century Gothic" w:eastAsia="Calibri" w:hAnsi="Century Gothic" w:cs="Calibri"/>
          <w:sz w:val="28"/>
          <w:szCs w:val="28"/>
        </w:rPr>
        <w:t xml:space="preserve"> así como informe emitido por la Comisión Mexicana Bancaria y de Valores en donde confirmo que VITAS nunca estuvo autorizado para captar inversiones. </w:t>
      </w:r>
    </w:p>
    <w:p w14:paraId="39E5DA27" w14:textId="77777777" w:rsidR="00981D1D" w:rsidRDefault="00981D1D">
      <w:pPr>
        <w:pStyle w:val="Cuerpo"/>
        <w:spacing w:after="160" w:line="276" w:lineRule="auto"/>
        <w:jc w:val="both"/>
        <w:rPr>
          <w:rStyle w:val="Ninguno"/>
          <w:rFonts w:ascii="Century Gothic" w:eastAsia="Century Gothic" w:hAnsi="Century Gothic" w:cs="Century Gothic"/>
          <w:sz w:val="28"/>
          <w:szCs w:val="28"/>
        </w:rPr>
      </w:pPr>
    </w:p>
    <w:p w14:paraId="41EED9D1" w14:textId="79BE0DF0" w:rsidR="00981D1D" w:rsidRDefault="00E628F4">
      <w:pPr>
        <w:pStyle w:val="Cuerpo"/>
        <w:spacing w:after="160" w:line="276" w:lineRule="auto"/>
        <w:jc w:val="both"/>
        <w:rPr>
          <w:rStyle w:val="Ninguno"/>
          <w:rFonts w:ascii="Century Gothic" w:eastAsia="Century Gothic" w:hAnsi="Century Gothic" w:cs="Century Gothic"/>
          <w:sz w:val="28"/>
          <w:szCs w:val="28"/>
        </w:rPr>
      </w:pPr>
      <w:r>
        <w:rPr>
          <w:rStyle w:val="Ninguno"/>
          <w:rFonts w:ascii="Century Gothic" w:eastAsia="Calibri" w:hAnsi="Century Gothic" w:cs="Calibri"/>
          <w:sz w:val="28"/>
          <w:szCs w:val="28"/>
        </w:rPr>
        <w:lastRenderedPageBreak/>
        <w:t xml:space="preserve">La Fiscalía General del </w:t>
      </w:r>
      <w:proofErr w:type="gramStart"/>
      <w:r>
        <w:rPr>
          <w:rStyle w:val="Ninguno"/>
          <w:rFonts w:ascii="Century Gothic" w:eastAsia="Calibri" w:hAnsi="Century Gothic" w:cs="Calibri"/>
          <w:sz w:val="28"/>
          <w:szCs w:val="28"/>
        </w:rPr>
        <w:t>Estado</w:t>
      </w:r>
      <w:proofErr w:type="gramEnd"/>
      <w:r>
        <w:rPr>
          <w:rStyle w:val="Ninguno"/>
          <w:rFonts w:ascii="Century Gothic" w:eastAsia="Calibri" w:hAnsi="Century Gothic" w:cs="Calibri"/>
          <w:sz w:val="28"/>
          <w:szCs w:val="28"/>
        </w:rPr>
        <w:t xml:space="preserve"> así como la de distrito en Ciudad Juárez tienen nuevo fiscales recayendo las responsabilidades en los ciudadanos Cesar Jáuregui Moreno y Carlos Manuel Salas. </w:t>
      </w:r>
    </w:p>
    <w:p w14:paraId="032703FE" w14:textId="63534D22" w:rsidR="00981D1D" w:rsidRDefault="0EC15DE8">
      <w:pPr>
        <w:pStyle w:val="Cuerpo"/>
        <w:spacing w:after="160" w:line="276" w:lineRule="auto"/>
        <w:jc w:val="both"/>
        <w:rPr>
          <w:rStyle w:val="Ninguno"/>
          <w:rFonts w:ascii="Century Gothic" w:eastAsia="Century Gothic" w:hAnsi="Century Gothic" w:cs="Century Gothic"/>
          <w:sz w:val="28"/>
          <w:szCs w:val="28"/>
        </w:rPr>
      </w:pPr>
      <w:r w:rsidRPr="0EC15DE8">
        <w:rPr>
          <w:rStyle w:val="Ninguno"/>
          <w:rFonts w:ascii="Century Gothic" w:eastAsia="Calibri" w:hAnsi="Century Gothic" w:cs="Calibri"/>
          <w:sz w:val="28"/>
          <w:szCs w:val="28"/>
        </w:rPr>
        <w:t xml:space="preserve">Es por lo que como diputada local hago un atento llamado a los nuevos fiscales para que se le dé celeridad a las denuncias de las familias que ya denunciaron VITAS </w:t>
      </w:r>
      <w:proofErr w:type="spellStart"/>
      <w:r w:rsidRPr="0EC15DE8">
        <w:rPr>
          <w:rStyle w:val="Ninguno"/>
          <w:rFonts w:ascii="Century Gothic" w:eastAsia="Calibri" w:hAnsi="Century Gothic" w:cs="Calibri"/>
          <w:sz w:val="28"/>
          <w:szCs w:val="28"/>
        </w:rPr>
        <w:t>Financial</w:t>
      </w:r>
      <w:proofErr w:type="spellEnd"/>
      <w:r w:rsidRPr="0EC15DE8">
        <w:rPr>
          <w:rStyle w:val="Ninguno"/>
          <w:rFonts w:ascii="Century Gothic" w:eastAsia="Calibri" w:hAnsi="Century Gothic" w:cs="Calibri"/>
          <w:sz w:val="28"/>
          <w:szCs w:val="28"/>
        </w:rPr>
        <w:t xml:space="preserve"> y VITAS </w:t>
      </w:r>
      <w:proofErr w:type="spellStart"/>
      <w:r w:rsidRPr="0EC15DE8">
        <w:rPr>
          <w:rStyle w:val="Ninguno"/>
          <w:rFonts w:ascii="Century Gothic" w:eastAsia="Calibri" w:hAnsi="Century Gothic" w:cs="Calibri"/>
          <w:sz w:val="28"/>
          <w:szCs w:val="28"/>
        </w:rPr>
        <w:t>Consulting</w:t>
      </w:r>
      <w:proofErr w:type="spellEnd"/>
      <w:r w:rsidRPr="0EC15DE8">
        <w:rPr>
          <w:rStyle w:val="Ninguno"/>
          <w:rFonts w:ascii="Century Gothic" w:eastAsia="Calibri" w:hAnsi="Century Gothic" w:cs="Calibri"/>
          <w:sz w:val="28"/>
          <w:szCs w:val="28"/>
        </w:rPr>
        <w:t xml:space="preserve"> y puedan ser judicializadas a la brevedad posible y se busque con esto la presentación ante la justicia de todos los involucrados en el desfalco patrimonial de estas familias. </w:t>
      </w:r>
    </w:p>
    <w:p w14:paraId="0714A412" w14:textId="77777777" w:rsidR="00981D1D" w:rsidRDefault="00E628F4">
      <w:pPr>
        <w:pStyle w:val="NormalWeb"/>
        <w:shd w:val="clear" w:color="auto" w:fill="FDFDFD"/>
        <w:spacing w:before="0" w:after="0"/>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3DE6EF24" w14:textId="77777777" w:rsidR="00981D1D" w:rsidRDefault="00981D1D">
      <w:pPr>
        <w:pStyle w:val="NormalWeb"/>
        <w:shd w:val="clear" w:color="auto" w:fill="FDFDFD"/>
        <w:spacing w:before="0" w:after="0"/>
        <w:jc w:val="both"/>
        <w:rPr>
          <w:rStyle w:val="Ninguno"/>
          <w:rFonts w:ascii="Century Gothic" w:eastAsia="Century Gothic" w:hAnsi="Century Gothic" w:cs="Century Gothic"/>
          <w:sz w:val="28"/>
          <w:szCs w:val="28"/>
        </w:rPr>
      </w:pPr>
    </w:p>
    <w:p w14:paraId="5F7113E4" w14:textId="77777777" w:rsidR="00981D1D" w:rsidRDefault="00E628F4">
      <w:pPr>
        <w:pStyle w:val="NormalWeb"/>
        <w:shd w:val="clear" w:color="auto" w:fill="FDFDFD"/>
        <w:spacing w:before="0" w:after="0"/>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ACUERDO</w:t>
      </w:r>
    </w:p>
    <w:p w14:paraId="101506A5" w14:textId="77777777" w:rsidR="00981D1D" w:rsidRDefault="00981D1D">
      <w:pPr>
        <w:pStyle w:val="NormalWeb"/>
        <w:shd w:val="clear" w:color="auto" w:fill="FDFDFD"/>
        <w:spacing w:before="0" w:after="0"/>
        <w:rPr>
          <w:rStyle w:val="Ninguno"/>
          <w:rFonts w:ascii="Century Gothic" w:eastAsia="Century Gothic" w:hAnsi="Century Gothic" w:cs="Century Gothic"/>
          <w:sz w:val="28"/>
          <w:szCs w:val="28"/>
        </w:rPr>
      </w:pPr>
    </w:p>
    <w:p w14:paraId="11ACA23D" w14:textId="14F31368" w:rsidR="00981D1D" w:rsidRDefault="0EC15DE8">
      <w:pPr>
        <w:pStyle w:val="Cuerpo"/>
        <w:jc w:val="both"/>
        <w:rPr>
          <w:rStyle w:val="Ninguno"/>
          <w:rFonts w:ascii="Century Gothic" w:eastAsia="Century Gothic" w:hAnsi="Century Gothic" w:cs="Century Gothic"/>
          <w:sz w:val="28"/>
          <w:szCs w:val="28"/>
        </w:rPr>
      </w:pPr>
      <w:r w:rsidRPr="0EC15DE8">
        <w:rPr>
          <w:rStyle w:val="Ninguno"/>
          <w:rFonts w:ascii="Century Gothic" w:hAnsi="Century Gothic"/>
          <w:b/>
          <w:bCs/>
          <w:sz w:val="28"/>
          <w:szCs w:val="28"/>
        </w:rPr>
        <w:t xml:space="preserve">UNICO. - Se le exhorta atenta y respetuosamente a la Fiscalía General del Estado para que solicite la audiencia de formulación de imputación ante el Juez de control correspondiente a este fraude cometido por VITAS FINANCIAL Y VITAS CONSULTING SAPI SA DE CV y pueda dar inicio el proceso de </w:t>
      </w:r>
      <w:proofErr w:type="spellStart"/>
      <w:r w:rsidRPr="0EC15DE8">
        <w:rPr>
          <w:rStyle w:val="Ninguno"/>
          <w:rFonts w:ascii="Century Gothic" w:hAnsi="Century Gothic"/>
          <w:b/>
          <w:bCs/>
          <w:sz w:val="28"/>
          <w:szCs w:val="28"/>
        </w:rPr>
        <w:t>imparticion</w:t>
      </w:r>
      <w:proofErr w:type="spellEnd"/>
      <w:r w:rsidRPr="0EC15DE8">
        <w:rPr>
          <w:rStyle w:val="Ninguno"/>
          <w:rFonts w:ascii="Century Gothic" w:hAnsi="Century Gothic"/>
          <w:b/>
          <w:bCs/>
          <w:sz w:val="28"/>
          <w:szCs w:val="28"/>
        </w:rPr>
        <w:t xml:space="preserve"> de justicia a estas familias afectadas. </w:t>
      </w:r>
    </w:p>
    <w:p w14:paraId="26D8BDC7" w14:textId="77777777" w:rsidR="00981D1D" w:rsidRDefault="00981D1D">
      <w:pPr>
        <w:pStyle w:val="Cuerpo"/>
        <w:jc w:val="both"/>
        <w:rPr>
          <w:rStyle w:val="Ninguno"/>
          <w:rFonts w:ascii="Century Gothic" w:eastAsia="Century Gothic" w:hAnsi="Century Gothic" w:cs="Century Gothic"/>
          <w:sz w:val="28"/>
          <w:szCs w:val="28"/>
        </w:rPr>
      </w:pPr>
    </w:p>
    <w:p w14:paraId="63F536EF" w14:textId="77777777" w:rsidR="00981D1D" w:rsidRDefault="00981D1D">
      <w:pPr>
        <w:pStyle w:val="Cuerpo"/>
        <w:jc w:val="both"/>
        <w:rPr>
          <w:rStyle w:val="Ninguno"/>
          <w:rFonts w:ascii="Century Gothic" w:eastAsia="Century Gothic" w:hAnsi="Century Gothic" w:cs="Century Gothic"/>
          <w:b/>
          <w:bCs/>
          <w:sz w:val="28"/>
          <w:szCs w:val="28"/>
          <w:shd w:val="clear" w:color="auto" w:fill="FFFFFF"/>
        </w:rPr>
      </w:pPr>
    </w:p>
    <w:p w14:paraId="51495F24" w14:textId="77777777" w:rsidR="00981D1D" w:rsidRDefault="00E628F4">
      <w:pPr>
        <w:pStyle w:val="Cuerpo"/>
        <w:jc w:val="both"/>
        <w:rPr>
          <w:rStyle w:val="Ninguno"/>
          <w:rFonts w:ascii="Century Gothic" w:eastAsia="Century Gothic" w:hAnsi="Century Gothic" w:cs="Century Gothic"/>
          <w:sz w:val="28"/>
          <w:szCs w:val="28"/>
        </w:rPr>
      </w:pPr>
      <w:r>
        <w:rPr>
          <w:rStyle w:val="Ninguno"/>
          <w:rFonts w:ascii="Century Gothic" w:hAnsi="Century Gothic"/>
          <w:b/>
          <w:bCs/>
          <w:sz w:val="28"/>
          <w:szCs w:val="28"/>
          <w:shd w:val="clear" w:color="auto" w:fill="FFFFFF"/>
          <w:lang w:val="de-DE"/>
        </w:rPr>
        <w:t>ECON</w:t>
      </w:r>
      <w:r>
        <w:rPr>
          <w:rStyle w:val="Ninguno"/>
          <w:rFonts w:ascii="Century Gothic" w:hAnsi="Century Gothic"/>
          <w:b/>
          <w:bCs/>
          <w:sz w:val="28"/>
          <w:szCs w:val="28"/>
          <w:shd w:val="clear" w:color="auto" w:fill="FFFFFF"/>
        </w:rPr>
        <w:t xml:space="preserve">ÓMICO.- </w:t>
      </w:r>
      <w:r>
        <w:rPr>
          <w:rStyle w:val="Ninguno"/>
          <w:rFonts w:ascii="Century Gothic" w:hAnsi="Century Gothic"/>
          <w:sz w:val="28"/>
          <w:szCs w:val="28"/>
          <w:shd w:val="clear" w:color="auto" w:fill="FFFFFF"/>
          <w:lang w:val="da-DK"/>
        </w:rPr>
        <w:t>Rem</w:t>
      </w:r>
      <w:proofErr w:type="spellStart"/>
      <w:r>
        <w:rPr>
          <w:rStyle w:val="Ninguno"/>
          <w:rFonts w:ascii="Century Gothic" w:hAnsi="Century Gothic"/>
          <w:sz w:val="28"/>
          <w:szCs w:val="28"/>
          <w:shd w:val="clear" w:color="auto" w:fill="FFFFFF"/>
        </w:rPr>
        <w:t>ítase</w:t>
      </w:r>
      <w:proofErr w:type="spellEnd"/>
      <w:r>
        <w:rPr>
          <w:rStyle w:val="Ninguno"/>
          <w:rFonts w:ascii="Century Gothic" w:hAnsi="Century Gothic"/>
          <w:sz w:val="28"/>
          <w:szCs w:val="28"/>
          <w:shd w:val="clear" w:color="auto" w:fill="FFFFFF"/>
        </w:rPr>
        <w:t xml:space="preserve"> copia del presente Acuerdo, a las autoridades antes mencionadas, para su conocimiento y los efectos conducentes.</w:t>
      </w:r>
    </w:p>
    <w:p w14:paraId="06D3CCA3" w14:textId="77777777" w:rsidR="00981D1D" w:rsidRDefault="00981D1D">
      <w:pPr>
        <w:pStyle w:val="Cuerpo"/>
        <w:jc w:val="both"/>
        <w:rPr>
          <w:rStyle w:val="Ninguno"/>
          <w:rFonts w:ascii="Century Gothic" w:eastAsia="Century Gothic" w:hAnsi="Century Gothic" w:cs="Century Gothic"/>
          <w:b/>
          <w:bCs/>
          <w:sz w:val="28"/>
          <w:szCs w:val="28"/>
        </w:rPr>
      </w:pPr>
    </w:p>
    <w:p w14:paraId="065E338E" w14:textId="49B00217" w:rsidR="00981D1D" w:rsidRDefault="00E628F4">
      <w:pPr>
        <w:pStyle w:val="Prrafodelista"/>
        <w:spacing w:after="0" w:line="240" w:lineRule="auto"/>
        <w:ind w:left="0"/>
        <w:jc w:val="both"/>
        <w:rPr>
          <w:rStyle w:val="Ninguno"/>
          <w:rFonts w:ascii="Century Gothic" w:eastAsia="Century Gothic" w:hAnsi="Century Gothic" w:cs="Century Gothic"/>
          <w:sz w:val="28"/>
          <w:szCs w:val="28"/>
        </w:rPr>
      </w:pPr>
      <w:r>
        <w:rPr>
          <w:rStyle w:val="Ninguno"/>
          <w:rFonts w:ascii="Century Gothic" w:hAnsi="Century Gothic"/>
          <w:b/>
          <w:bCs/>
          <w:sz w:val="28"/>
          <w:szCs w:val="28"/>
        </w:rPr>
        <w:lastRenderedPageBreak/>
        <w:t>D A D O</w:t>
      </w:r>
      <w:r>
        <w:rPr>
          <w:rStyle w:val="Ninguno"/>
          <w:rFonts w:ascii="Century Gothic" w:hAnsi="Century Gothic"/>
          <w:sz w:val="28"/>
          <w:szCs w:val="28"/>
        </w:rPr>
        <w:t xml:space="preserve"> en el salón Morelos del Poder Legislativo en la Ciudad de Chihuahua, Chih., a los siete días del mes de Febrero del año dos mil veintitrés.</w:t>
      </w:r>
    </w:p>
    <w:p w14:paraId="66EC73C0" w14:textId="77777777" w:rsidR="00981D1D" w:rsidRDefault="00E628F4">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it-IT"/>
        </w:rPr>
        <w:t>A T E N T A M E N T E</w:t>
      </w:r>
    </w:p>
    <w:p w14:paraId="18216A30" w14:textId="77777777" w:rsidR="00981D1D" w:rsidRDefault="00981D1D">
      <w:pPr>
        <w:pStyle w:val="Prrafodelista"/>
        <w:spacing w:line="240" w:lineRule="auto"/>
        <w:ind w:left="0"/>
        <w:rPr>
          <w:rStyle w:val="Ninguno"/>
          <w:rFonts w:ascii="Century Gothic" w:eastAsia="Century Gothic" w:hAnsi="Century Gothic" w:cs="Century Gothic"/>
          <w:b/>
          <w:bCs/>
          <w:sz w:val="28"/>
          <w:szCs w:val="28"/>
          <w:shd w:val="clear" w:color="auto" w:fill="FFFFFF"/>
        </w:rPr>
      </w:pPr>
    </w:p>
    <w:p w14:paraId="54F37A52" w14:textId="77777777" w:rsidR="00981D1D" w:rsidRDefault="00981D1D">
      <w:pPr>
        <w:pStyle w:val="Cuerpo"/>
        <w:spacing w:after="160"/>
        <w:jc w:val="center"/>
        <w:rPr>
          <w:rStyle w:val="Ninguno"/>
          <w:rFonts w:ascii="Century Gothic" w:eastAsia="Century Gothic" w:hAnsi="Century Gothic" w:cs="Century Gothic"/>
          <w:b/>
          <w:bCs/>
          <w:sz w:val="28"/>
          <w:szCs w:val="28"/>
        </w:rPr>
      </w:pPr>
    </w:p>
    <w:p w14:paraId="1BA86F30" w14:textId="77777777" w:rsidR="00981D1D" w:rsidRDefault="00981D1D">
      <w:pPr>
        <w:pStyle w:val="Cuerpo"/>
        <w:spacing w:after="160"/>
        <w:jc w:val="center"/>
        <w:rPr>
          <w:rStyle w:val="Ninguno"/>
          <w:rFonts w:ascii="Century Gothic" w:eastAsia="Century Gothic" w:hAnsi="Century Gothic" w:cs="Century Gothic"/>
          <w:b/>
          <w:bCs/>
          <w:sz w:val="28"/>
          <w:szCs w:val="28"/>
        </w:rPr>
      </w:pPr>
    </w:p>
    <w:p w14:paraId="27BE3E49" w14:textId="77777777" w:rsidR="00981D1D" w:rsidRDefault="00E628F4">
      <w:pPr>
        <w:pStyle w:val="Cuerpo"/>
        <w:spacing w:after="160"/>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DIP. MARIA ANTONIETA PÉREZ REYES</w:t>
      </w:r>
    </w:p>
    <w:p w14:paraId="486832B0" w14:textId="77777777" w:rsidR="00981D1D" w:rsidRDefault="00981D1D">
      <w:pPr>
        <w:pStyle w:val="Cuerpo"/>
        <w:spacing w:after="160"/>
        <w:jc w:val="center"/>
        <w:rPr>
          <w:rStyle w:val="Ninguno"/>
          <w:rFonts w:ascii="Century Gothic" w:eastAsia="Century Gothic" w:hAnsi="Century Gothic" w:cs="Century Gothic"/>
          <w:b/>
          <w:bCs/>
          <w:sz w:val="28"/>
          <w:szCs w:val="28"/>
        </w:rPr>
      </w:pPr>
    </w:p>
    <w:p w14:paraId="606D5E4E" w14:textId="77777777" w:rsidR="00981D1D" w:rsidRDefault="00981D1D">
      <w:pPr>
        <w:pStyle w:val="Cuerpo"/>
        <w:spacing w:after="160"/>
        <w:jc w:val="center"/>
        <w:rPr>
          <w:rStyle w:val="Ninguno"/>
          <w:rFonts w:ascii="Century Gothic" w:eastAsia="Century Gothic" w:hAnsi="Century Gothic" w:cs="Century Gothic"/>
          <w:b/>
          <w:bCs/>
          <w:sz w:val="28"/>
          <w:szCs w:val="28"/>
        </w:rPr>
      </w:pPr>
    </w:p>
    <w:p w14:paraId="5EC7C467" w14:textId="77777777" w:rsidR="00981D1D" w:rsidRDefault="00981D1D">
      <w:pPr>
        <w:pStyle w:val="Cuerpo"/>
        <w:spacing w:after="160"/>
        <w:jc w:val="center"/>
        <w:rPr>
          <w:rStyle w:val="Ninguno"/>
          <w:rFonts w:ascii="Century Gothic" w:eastAsia="Century Gothic" w:hAnsi="Century Gothic" w:cs="Century Gothic"/>
          <w:b/>
          <w:bCs/>
          <w:sz w:val="28"/>
          <w:szCs w:val="28"/>
          <w:shd w:val="clear" w:color="auto" w:fill="FFFFFF"/>
        </w:rPr>
      </w:pPr>
    </w:p>
    <w:tbl>
      <w:tblPr>
        <w:tblStyle w:val="TableNormal"/>
        <w:tblW w:w="88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43"/>
        <w:gridCol w:w="4443"/>
      </w:tblGrid>
      <w:tr w:rsidR="00981D1D" w14:paraId="2B006411" w14:textId="77777777">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30C69D1A" w14:textId="77777777" w:rsidR="00981D1D" w:rsidRDefault="00E628F4">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 xml:space="preserve">DIP. LETICIA ORTEGA </w:t>
            </w:r>
          </w:p>
          <w:p w14:paraId="4E85C7AF" w14:textId="77777777" w:rsidR="00981D1D" w:rsidRDefault="00E628F4">
            <w:pPr>
              <w:pStyle w:val="Cuerpo"/>
              <w:jc w:val="center"/>
            </w:pPr>
            <w:r>
              <w:rPr>
                <w:rStyle w:val="Ninguno"/>
                <w:rFonts w:ascii="Century Gothic" w:hAnsi="Century Gothic"/>
                <w:b/>
                <w:bCs/>
                <w:sz w:val="28"/>
                <w:szCs w:val="28"/>
              </w:rPr>
              <w:t>MÁYNEZ</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7D4A6B39" w14:textId="77777777" w:rsidR="00981D1D" w:rsidRDefault="00E628F4">
            <w:pPr>
              <w:pStyle w:val="Cuerpo"/>
              <w:jc w:val="center"/>
            </w:pPr>
            <w:r>
              <w:rPr>
                <w:rStyle w:val="Ninguno"/>
                <w:rFonts w:ascii="Century Gothic" w:hAnsi="Century Gothic"/>
                <w:b/>
                <w:bCs/>
                <w:sz w:val="28"/>
                <w:szCs w:val="28"/>
              </w:rPr>
              <w:t>DIP. ÓSCAR DANIEL AVITIA ARELLANES</w:t>
            </w:r>
          </w:p>
        </w:tc>
      </w:tr>
      <w:tr w:rsidR="00981D1D" w14:paraId="6E323657" w14:textId="77777777">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490BAB7A" w14:textId="77777777" w:rsidR="00981D1D" w:rsidRDefault="00E628F4">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 xml:space="preserve">DIP. ROSANA DÍAZ </w:t>
            </w:r>
          </w:p>
          <w:p w14:paraId="5FBE5636" w14:textId="77777777" w:rsidR="00981D1D" w:rsidRDefault="00E628F4">
            <w:pPr>
              <w:pStyle w:val="Cuerpo"/>
              <w:jc w:val="center"/>
            </w:pPr>
            <w:r>
              <w:rPr>
                <w:rStyle w:val="Ninguno"/>
                <w:rFonts w:ascii="Century Gothic" w:hAnsi="Century Gothic"/>
                <w:b/>
                <w:bCs/>
                <w:sz w:val="28"/>
                <w:szCs w:val="28"/>
              </w:rPr>
              <w:t>REYES</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23FE4F3A" w14:textId="77777777" w:rsidR="00981D1D" w:rsidRDefault="00E628F4">
            <w:pPr>
              <w:pStyle w:val="Cuerpo"/>
              <w:jc w:val="center"/>
            </w:pPr>
            <w:r>
              <w:rPr>
                <w:rStyle w:val="Ninguno"/>
                <w:rFonts w:ascii="Century Gothic" w:hAnsi="Century Gothic"/>
                <w:b/>
                <w:bCs/>
                <w:sz w:val="28"/>
                <w:szCs w:val="28"/>
              </w:rPr>
              <w:t>DIP. GUSTAVO DE LA ROSA HICKERSON</w:t>
            </w:r>
          </w:p>
        </w:tc>
      </w:tr>
      <w:tr w:rsidR="00981D1D" w14:paraId="6378B48A" w14:textId="77777777">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175B9262" w14:textId="77777777" w:rsidR="00981D1D" w:rsidRDefault="00E628F4">
            <w:pPr>
              <w:pStyle w:val="Cuerpo"/>
              <w:jc w:val="center"/>
            </w:pPr>
            <w:r>
              <w:rPr>
                <w:rStyle w:val="Ninguno"/>
                <w:rFonts w:ascii="Century Gothic" w:hAnsi="Century Gothic"/>
                <w:b/>
                <w:bCs/>
                <w:sz w:val="28"/>
                <w:szCs w:val="28"/>
              </w:rPr>
              <w:t>DIP. EDIN CUAUHTÉMOC ESTRADA SOTELO</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2F0B66EF" w14:textId="77777777" w:rsidR="00981D1D" w:rsidRDefault="00E628F4">
            <w:pPr>
              <w:pStyle w:val="Cuerpo"/>
              <w:jc w:val="center"/>
            </w:pPr>
            <w:r>
              <w:rPr>
                <w:rStyle w:val="Ninguno"/>
                <w:rFonts w:ascii="Century Gothic" w:hAnsi="Century Gothic"/>
                <w:b/>
                <w:bCs/>
                <w:sz w:val="28"/>
                <w:szCs w:val="28"/>
              </w:rPr>
              <w:t>DIP. MAGDALENA RENTERÍA PÉREZ</w:t>
            </w:r>
          </w:p>
        </w:tc>
      </w:tr>
      <w:tr w:rsidR="00981D1D" w14:paraId="0E866BC6" w14:textId="77777777">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28B30A8B" w14:textId="77777777" w:rsidR="00981D1D" w:rsidRDefault="00E628F4">
            <w:pPr>
              <w:pStyle w:val="Cuerpo"/>
              <w:jc w:val="center"/>
            </w:pPr>
            <w:r>
              <w:rPr>
                <w:rStyle w:val="Ninguno"/>
                <w:rFonts w:ascii="Century Gothic" w:hAnsi="Century Gothic"/>
                <w:b/>
                <w:bCs/>
                <w:sz w:val="28"/>
                <w:szCs w:val="28"/>
              </w:rPr>
              <w:t xml:space="preserve">DIP. ILSE AMÉRICA GARCÍA SOTO </w:t>
            </w:r>
          </w:p>
        </w:tc>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77A84C5C" w14:textId="77777777" w:rsidR="00981D1D" w:rsidRDefault="00E628F4">
            <w:pPr>
              <w:pStyle w:val="Cuerpo"/>
              <w:jc w:val="center"/>
            </w:pPr>
            <w:r>
              <w:rPr>
                <w:rStyle w:val="Ninguno"/>
                <w:rFonts w:ascii="Century Gothic" w:hAnsi="Century Gothic"/>
                <w:b/>
                <w:bCs/>
                <w:sz w:val="28"/>
                <w:szCs w:val="28"/>
              </w:rPr>
              <w:t>DIP. BENJAMÍN CARRERA CHÁVEZ</w:t>
            </w:r>
          </w:p>
        </w:tc>
      </w:tr>
      <w:tr w:rsidR="00981D1D" w14:paraId="5DCA523E" w14:textId="77777777">
        <w:trPr>
          <w:trHeight w:val="1480"/>
          <w:jc w:val="center"/>
        </w:trPr>
        <w:tc>
          <w:tcPr>
            <w:tcW w:w="4443" w:type="dxa"/>
            <w:tcBorders>
              <w:top w:val="nil"/>
              <w:left w:val="nil"/>
              <w:bottom w:val="nil"/>
              <w:right w:val="nil"/>
            </w:tcBorders>
            <w:shd w:val="clear" w:color="auto" w:fill="auto"/>
            <w:tcMar>
              <w:top w:w="80" w:type="dxa"/>
              <w:left w:w="80" w:type="dxa"/>
              <w:bottom w:w="80" w:type="dxa"/>
              <w:right w:w="80" w:type="dxa"/>
            </w:tcMar>
            <w:vAlign w:val="bottom"/>
          </w:tcPr>
          <w:p w14:paraId="55E13244" w14:textId="77777777" w:rsidR="00981D1D" w:rsidRDefault="00E628F4">
            <w:pPr>
              <w:pStyle w:val="Cuerpo"/>
              <w:jc w:val="center"/>
            </w:pPr>
            <w:r>
              <w:rPr>
                <w:rStyle w:val="Ninguno"/>
                <w:rFonts w:ascii="Century Gothic" w:hAnsi="Century Gothic"/>
                <w:b/>
                <w:bCs/>
                <w:sz w:val="28"/>
                <w:szCs w:val="28"/>
              </w:rPr>
              <w:lastRenderedPageBreak/>
              <w:t>DIP. DAVID OSCAR CASTREJÓN RIVAS</w:t>
            </w:r>
          </w:p>
        </w:tc>
        <w:tc>
          <w:tcPr>
            <w:tcW w:w="4443" w:type="dxa"/>
            <w:tcBorders>
              <w:top w:val="nil"/>
              <w:left w:val="nil"/>
              <w:bottom w:val="nil"/>
              <w:right w:val="nil"/>
            </w:tcBorders>
            <w:shd w:val="clear" w:color="auto" w:fill="auto"/>
            <w:tcMar>
              <w:top w:w="80" w:type="dxa"/>
              <w:left w:w="80" w:type="dxa"/>
              <w:bottom w:w="80" w:type="dxa"/>
              <w:right w:w="80" w:type="dxa"/>
            </w:tcMar>
          </w:tcPr>
          <w:p w14:paraId="3B524268" w14:textId="77777777" w:rsidR="00981D1D" w:rsidRDefault="00981D1D"/>
        </w:tc>
      </w:tr>
    </w:tbl>
    <w:p w14:paraId="35C1F2C9" w14:textId="77777777" w:rsidR="00981D1D" w:rsidRDefault="00981D1D">
      <w:pPr>
        <w:pStyle w:val="Cuerpo"/>
        <w:widowControl w:val="0"/>
        <w:spacing w:after="160"/>
        <w:jc w:val="center"/>
        <w:rPr>
          <w:rStyle w:val="Ninguno"/>
          <w:rFonts w:ascii="Century Gothic" w:eastAsia="Century Gothic" w:hAnsi="Century Gothic" w:cs="Century Gothic"/>
          <w:b/>
          <w:bCs/>
          <w:sz w:val="28"/>
          <w:szCs w:val="28"/>
          <w:shd w:val="clear" w:color="auto" w:fill="FFFFFF"/>
        </w:rPr>
      </w:pPr>
    </w:p>
    <w:p w14:paraId="6C8BCFD3" w14:textId="77777777" w:rsidR="00981D1D" w:rsidRDefault="00981D1D">
      <w:pPr>
        <w:pStyle w:val="Cuerpo"/>
        <w:jc w:val="both"/>
        <w:rPr>
          <w:rStyle w:val="Ninguno"/>
          <w:rFonts w:ascii="Century Gothic" w:eastAsia="Century Gothic" w:hAnsi="Century Gothic" w:cs="Century Gothic"/>
          <w:sz w:val="16"/>
          <w:szCs w:val="16"/>
        </w:rPr>
      </w:pPr>
    </w:p>
    <w:p w14:paraId="4AB0C471" w14:textId="77777777" w:rsidR="00981D1D" w:rsidRDefault="00981D1D">
      <w:pPr>
        <w:pStyle w:val="Cuerpo"/>
        <w:jc w:val="both"/>
        <w:rPr>
          <w:rStyle w:val="Ninguno"/>
          <w:rFonts w:ascii="Century Gothic" w:eastAsia="Century Gothic" w:hAnsi="Century Gothic" w:cs="Century Gothic"/>
          <w:sz w:val="16"/>
          <w:szCs w:val="16"/>
        </w:rPr>
      </w:pPr>
    </w:p>
    <w:p w14:paraId="7A6D0760" w14:textId="77777777" w:rsidR="00981D1D" w:rsidRDefault="00981D1D">
      <w:pPr>
        <w:pStyle w:val="Cuerpo"/>
        <w:jc w:val="both"/>
        <w:rPr>
          <w:rStyle w:val="Ninguno"/>
          <w:rFonts w:ascii="Century Gothic" w:eastAsia="Century Gothic" w:hAnsi="Century Gothic" w:cs="Century Gothic"/>
          <w:sz w:val="16"/>
          <w:szCs w:val="16"/>
        </w:rPr>
      </w:pPr>
    </w:p>
    <w:p w14:paraId="43C0F665" w14:textId="77777777" w:rsidR="00981D1D" w:rsidRDefault="00981D1D">
      <w:pPr>
        <w:pStyle w:val="Cuerpo"/>
      </w:pPr>
    </w:p>
    <w:sectPr w:rsidR="00981D1D">
      <w:headerReference w:type="default" r:id="rId6"/>
      <w:footerReference w:type="default" r:id="rId7"/>
      <w:pgSz w:w="12240" w:h="15840"/>
      <w:pgMar w:top="2552" w:right="1701" w:bottom="1418" w:left="1701" w:header="426"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03CA" w14:textId="77777777" w:rsidR="00E362B8" w:rsidRDefault="00E362B8">
      <w:r>
        <w:separator/>
      </w:r>
    </w:p>
  </w:endnote>
  <w:endnote w:type="continuationSeparator" w:id="0">
    <w:p w14:paraId="175A4F72" w14:textId="77777777" w:rsidR="00E362B8" w:rsidRDefault="00E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166" w14:textId="77777777" w:rsidR="00981D1D" w:rsidRDefault="00E628F4">
    <w:pPr>
      <w:pStyle w:val="Piedepgina"/>
      <w:tabs>
        <w:tab w:val="clear" w:pos="8838"/>
        <w:tab w:val="left" w:pos="270"/>
        <w:tab w:val="right" w:pos="8818"/>
      </w:tabs>
    </w:pPr>
    <w:r>
      <w:rPr>
        <w:rStyle w:val="Ninguno"/>
        <w:color w:val="525252"/>
        <w:u w:color="525252"/>
      </w:rPr>
      <w:tab/>
    </w:r>
    <w:r>
      <w:rPr>
        <w:rStyle w:val="Ninguno"/>
        <w:color w:val="525252"/>
        <w:u w:color="525252"/>
      </w:rPr>
      <w:tab/>
    </w:r>
    <w:r>
      <w:rPr>
        <w:rStyle w:val="Ninguno"/>
        <w:color w:val="525252"/>
        <w:u w:color="525252"/>
      </w:rPr>
      <w:tab/>
    </w:r>
    <w:r>
      <w:rPr>
        <w:rStyle w:val="Ninguno"/>
        <w:rFonts w:ascii="Century Gothic" w:hAnsi="Century Gothic"/>
        <w:color w:val="525252"/>
        <w:sz w:val="16"/>
        <w:szCs w:val="16"/>
        <w:u w:color="525252"/>
      </w:rPr>
      <w:t xml:space="preserve">Página </w:t>
    </w:r>
    <w:r>
      <w:rPr>
        <w:rStyle w:val="Ninguno"/>
        <w:rFonts w:ascii="Century Gothic" w:eastAsia="Century Gothic" w:hAnsi="Century Gothic" w:cs="Century Gothic"/>
        <w:b/>
        <w:bCs/>
        <w:color w:val="525252"/>
        <w:sz w:val="16"/>
        <w:szCs w:val="16"/>
        <w:u w:color="525252"/>
      </w:rPr>
      <w:fldChar w:fldCharType="begin"/>
    </w:r>
    <w:r>
      <w:rPr>
        <w:rStyle w:val="Ninguno"/>
        <w:rFonts w:ascii="Century Gothic" w:eastAsia="Century Gothic" w:hAnsi="Century Gothic" w:cs="Century Gothic"/>
        <w:b/>
        <w:bCs/>
        <w:color w:val="525252"/>
        <w:sz w:val="16"/>
        <w:szCs w:val="16"/>
        <w:u w:color="525252"/>
      </w:rPr>
      <w:instrText xml:space="preserve"> PAGE </w:instrText>
    </w:r>
    <w:r>
      <w:rPr>
        <w:rStyle w:val="Ninguno"/>
        <w:rFonts w:ascii="Century Gothic" w:eastAsia="Century Gothic" w:hAnsi="Century Gothic" w:cs="Century Gothic"/>
        <w:b/>
        <w:bCs/>
        <w:color w:val="525252"/>
        <w:sz w:val="16"/>
        <w:szCs w:val="16"/>
        <w:u w:color="525252"/>
      </w:rPr>
      <w:fldChar w:fldCharType="separate"/>
    </w:r>
    <w:r>
      <w:rPr>
        <w:rStyle w:val="Ninguno"/>
        <w:rFonts w:ascii="Century Gothic" w:eastAsia="Century Gothic" w:hAnsi="Century Gothic" w:cs="Century Gothic"/>
        <w:b/>
        <w:bCs/>
        <w:color w:val="525252"/>
        <w:sz w:val="16"/>
        <w:szCs w:val="16"/>
        <w:u w:color="525252"/>
      </w:rPr>
      <w:t>6</w:t>
    </w:r>
    <w:r>
      <w:rPr>
        <w:rStyle w:val="Ninguno"/>
        <w:rFonts w:ascii="Century Gothic" w:eastAsia="Century Gothic" w:hAnsi="Century Gothic" w:cs="Century Gothic"/>
        <w:b/>
        <w:bCs/>
        <w:color w:val="525252"/>
        <w:sz w:val="16"/>
        <w:szCs w:val="16"/>
        <w:u w:color="525252"/>
      </w:rPr>
      <w:fldChar w:fldCharType="end"/>
    </w:r>
    <w:r>
      <w:rPr>
        <w:rStyle w:val="Ninguno"/>
        <w:rFonts w:ascii="Century Gothic" w:hAnsi="Century Gothic"/>
        <w:color w:val="525252"/>
        <w:sz w:val="16"/>
        <w:szCs w:val="16"/>
        <w:u w:color="525252"/>
      </w:rPr>
      <w:t xml:space="preserve"> de </w:t>
    </w:r>
    <w:r>
      <w:rPr>
        <w:rStyle w:val="Ninguno"/>
        <w:rFonts w:ascii="Century Gothic" w:eastAsia="Century Gothic" w:hAnsi="Century Gothic" w:cs="Century Gothic"/>
        <w:b/>
        <w:bCs/>
        <w:color w:val="525252"/>
        <w:sz w:val="16"/>
        <w:szCs w:val="16"/>
        <w:u w:color="525252"/>
      </w:rPr>
      <w:fldChar w:fldCharType="begin"/>
    </w:r>
    <w:r>
      <w:rPr>
        <w:rStyle w:val="Ninguno"/>
        <w:rFonts w:ascii="Century Gothic" w:eastAsia="Century Gothic" w:hAnsi="Century Gothic" w:cs="Century Gothic"/>
        <w:b/>
        <w:bCs/>
        <w:color w:val="525252"/>
        <w:sz w:val="16"/>
        <w:szCs w:val="16"/>
        <w:u w:color="525252"/>
      </w:rPr>
      <w:instrText xml:space="preserve"> NUMPAGES </w:instrText>
    </w:r>
    <w:r>
      <w:rPr>
        <w:rStyle w:val="Ninguno"/>
        <w:rFonts w:ascii="Century Gothic" w:eastAsia="Century Gothic" w:hAnsi="Century Gothic" w:cs="Century Gothic"/>
        <w:b/>
        <w:bCs/>
        <w:color w:val="525252"/>
        <w:sz w:val="16"/>
        <w:szCs w:val="16"/>
        <w:u w:color="525252"/>
      </w:rPr>
      <w:fldChar w:fldCharType="separate"/>
    </w:r>
    <w:r>
      <w:rPr>
        <w:rStyle w:val="Ninguno"/>
        <w:rFonts w:ascii="Century Gothic" w:eastAsia="Century Gothic" w:hAnsi="Century Gothic" w:cs="Century Gothic"/>
        <w:b/>
        <w:bCs/>
        <w:color w:val="525252"/>
        <w:sz w:val="16"/>
        <w:szCs w:val="16"/>
        <w:u w:color="525252"/>
      </w:rPr>
      <w:t>6</w:t>
    </w:r>
    <w:r>
      <w:rPr>
        <w:rStyle w:val="Ninguno"/>
        <w:rFonts w:ascii="Century Gothic" w:eastAsia="Century Gothic" w:hAnsi="Century Gothic" w:cs="Century Gothic"/>
        <w:b/>
        <w:bCs/>
        <w:color w:val="525252"/>
        <w:sz w:val="16"/>
        <w:szCs w:val="16"/>
        <w:u w:color="52525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4B7D" w14:textId="77777777" w:rsidR="00E362B8" w:rsidRDefault="00E362B8">
      <w:r>
        <w:separator/>
      </w:r>
    </w:p>
  </w:footnote>
  <w:footnote w:type="continuationSeparator" w:id="0">
    <w:p w14:paraId="32CE0887" w14:textId="77777777" w:rsidR="00E362B8" w:rsidRDefault="00E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E8CF" w14:textId="0DF60AAC" w:rsidR="00981D1D" w:rsidRDefault="00E628F4">
    <w:pPr>
      <w:pStyle w:val="Encabezado"/>
      <w:tabs>
        <w:tab w:val="clear" w:pos="8838"/>
        <w:tab w:val="right" w:pos="8818"/>
      </w:tabs>
      <w:jc w:val="right"/>
      <w:rPr>
        <w:rStyle w:val="Ninguno"/>
        <w:rFonts w:ascii="Century Gothic" w:eastAsia="Century Gothic" w:hAnsi="Century Gothic" w:cs="Century Gothic"/>
        <w:b/>
        <w:bCs/>
        <w:i/>
        <w:iCs/>
        <w:sz w:val="22"/>
        <w:szCs w:val="22"/>
      </w:rPr>
    </w:pPr>
    <w:r>
      <w:rPr>
        <w:rStyle w:val="Ninguno"/>
        <w:rFonts w:ascii="Century Gothic" w:hAnsi="Century Gothic"/>
        <w:b/>
        <w:bCs/>
        <w:i/>
        <w:iCs/>
        <w:sz w:val="22"/>
        <w:szCs w:val="22"/>
      </w:rPr>
      <w:t>"2023, Centenario de la muerte del General Francisco Villa” “2023, Cien años del Rotarismo en Chihuahua”</w:t>
    </w:r>
  </w:p>
  <w:p w14:paraId="379D1DAC" w14:textId="77777777" w:rsidR="00981D1D" w:rsidRDefault="00E628F4">
    <w:pPr>
      <w:pStyle w:val="Encabezado"/>
      <w:tabs>
        <w:tab w:val="clear" w:pos="8838"/>
        <w:tab w:val="right" w:pos="8818"/>
      </w:tabs>
      <w:jc w:val="right"/>
    </w:pPr>
    <w:r>
      <w:rPr>
        <w:rStyle w:val="Ninguno"/>
        <w:rFonts w:ascii="Century Gothic" w:hAnsi="Century Gothic"/>
        <w:b/>
        <w:bCs/>
        <w:i/>
        <w:iCs/>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1D"/>
    <w:rsid w:val="002B3C1D"/>
    <w:rsid w:val="0037297E"/>
    <w:rsid w:val="00981D1D"/>
    <w:rsid w:val="00E362B8"/>
    <w:rsid w:val="00E628F4"/>
    <w:rsid w:val="0EC15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C0C15"/>
  <w15:docId w15:val="{F523DF9B-8D42-47F5-9E70-033EA1EC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eastAsia="Times New Roman"/>
      <w:color w:val="000000"/>
      <w:u w:color="000000"/>
      <w:lang w:val="es-ES_tradnl"/>
    </w:rPr>
  </w:style>
  <w:style w:type="paragraph" w:customStyle="1" w:styleId="Cuerpo">
    <w:name w:val="Cuerpo"/>
    <w:rPr>
      <w:rFonts w:eastAsia="Times New Roman"/>
      <w:color w:val="000000"/>
      <w:u w:color="000000"/>
    </w:rPr>
  </w:style>
  <w:style w:type="paragraph" w:styleId="NormalWeb">
    <w:name w:val="Normal (Web)"/>
    <w:pPr>
      <w:spacing w:before="100" w:after="100"/>
    </w:pPr>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Aryol</dc:creator>
  <cp:lastModifiedBy>Priscila Soto Jimenez</cp:lastModifiedBy>
  <cp:revision>2</cp:revision>
  <dcterms:created xsi:type="dcterms:W3CDTF">2023-02-03T15:36:00Z</dcterms:created>
  <dcterms:modified xsi:type="dcterms:W3CDTF">2023-02-03T15:36:00Z</dcterms:modified>
</cp:coreProperties>
</file>