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428B" w14:textId="77777777" w:rsidR="0015360A" w:rsidRDefault="0015360A" w:rsidP="0015360A">
      <w:pPr>
        <w:pStyle w:val="Cuerpo"/>
        <w:spacing w:before="0" w:after="0"/>
        <w:rPr>
          <w:rStyle w:val="Ninguno"/>
          <w:rFonts w:ascii="Century Gothic" w:eastAsia="Century Gothic" w:hAnsi="Century Gothic" w:cs="Century Gothic"/>
          <w:b/>
          <w:bCs/>
        </w:rPr>
      </w:pPr>
      <w:r>
        <w:rPr>
          <w:rStyle w:val="Ninguno"/>
          <w:rFonts w:ascii="Century Gothic" w:hAnsi="Century Gothic"/>
          <w:b/>
          <w:bCs/>
        </w:rPr>
        <w:t>H</w:t>
      </w:r>
      <w:r>
        <w:rPr>
          <w:rStyle w:val="Ninguno"/>
          <w:rFonts w:ascii="Century Gothic" w:hAnsi="Century Gothic"/>
          <w:b/>
          <w:bCs/>
          <w:lang w:val="es-ES_tradnl"/>
        </w:rPr>
        <w:t>ONORABLE CONGRESO DEL ESTADO DE CHIHUAHUA</w:t>
      </w:r>
    </w:p>
    <w:p w14:paraId="7F798FE8" w14:textId="77777777" w:rsidR="0015360A" w:rsidRDefault="0015360A" w:rsidP="0015360A">
      <w:pPr>
        <w:pStyle w:val="Cuerpo"/>
        <w:spacing w:before="0" w:after="0"/>
        <w:rPr>
          <w:rStyle w:val="Ninguno"/>
          <w:rFonts w:ascii="Century Gothic" w:eastAsia="Century Gothic" w:hAnsi="Century Gothic" w:cs="Century Gothic"/>
          <w:b/>
          <w:bCs/>
        </w:rPr>
      </w:pPr>
      <w:r>
        <w:rPr>
          <w:rStyle w:val="Ninguno"/>
          <w:rFonts w:ascii="Century Gothic" w:hAnsi="Century Gothic"/>
          <w:b/>
          <w:bCs/>
          <w:lang w:val="it-IT"/>
        </w:rPr>
        <w:t xml:space="preserve">P R E S E N T E. </w:t>
      </w:r>
    </w:p>
    <w:p w14:paraId="7592BE13" w14:textId="77777777" w:rsidR="0015360A" w:rsidRDefault="0015360A" w:rsidP="0015360A">
      <w:pPr>
        <w:pStyle w:val="Cuerpo"/>
        <w:spacing w:before="0" w:after="0"/>
        <w:rPr>
          <w:rFonts w:ascii="Century Gothic" w:eastAsia="Century Gothic" w:hAnsi="Century Gothic" w:cs="Century Gothic"/>
          <w:b/>
          <w:bCs/>
          <w:lang w:val="es-ES_tradnl"/>
        </w:rPr>
      </w:pPr>
    </w:p>
    <w:p w14:paraId="1992D66A" w14:textId="77777777" w:rsidR="0015360A" w:rsidRDefault="0015360A" w:rsidP="0015360A">
      <w:pPr>
        <w:pStyle w:val="Cuerpo"/>
        <w:spacing w:before="0" w:after="0"/>
        <w:rPr>
          <w:rFonts w:ascii="Century Gothic" w:hAnsi="Century Gothic"/>
          <w:lang w:val="es-ES_tradnl"/>
        </w:rPr>
      </w:pPr>
      <w:r>
        <w:rPr>
          <w:rFonts w:ascii="Century Gothic" w:hAnsi="Century Gothic"/>
          <w:lang w:val="es-ES_tradnl"/>
        </w:rPr>
        <w:t xml:space="preserve">El que suscribe, </w:t>
      </w:r>
      <w:r>
        <w:rPr>
          <w:rFonts w:ascii="Century Gothic" w:hAnsi="Century Gothic"/>
        </w:rPr>
        <w:t xml:space="preserve"> </w:t>
      </w:r>
      <w:r>
        <w:rPr>
          <w:rStyle w:val="Ninguno"/>
          <w:rFonts w:ascii="Century Gothic" w:hAnsi="Century Gothic"/>
          <w:b/>
          <w:bCs/>
          <w:lang w:val="it-IT"/>
        </w:rPr>
        <w:t>Gustavo De la Rosa Hickerson,</w:t>
      </w:r>
      <w:r>
        <w:rPr>
          <w:rFonts w:ascii="Century Gothic" w:hAnsi="Century Gothic"/>
        </w:rPr>
        <w:t xml:space="preserve"> </w:t>
      </w:r>
      <w:r>
        <w:rPr>
          <w:rFonts w:ascii="Century Gothic" w:hAnsi="Century Gothic"/>
          <w:lang w:val="es-ES_tradnl"/>
        </w:rPr>
        <w:t xml:space="preserve">con </w:t>
      </w:r>
      <w:r>
        <w:rPr>
          <w:rFonts w:ascii="Century Gothic" w:hAnsi="Century Gothic"/>
        </w:rPr>
        <w:t xml:space="preserve"> </w:t>
      </w:r>
      <w:r>
        <w:rPr>
          <w:rFonts w:ascii="Century Gothic" w:hAnsi="Century Gothic"/>
          <w:lang w:val="es-ES_tradnl"/>
        </w:rPr>
        <w:t>el</w:t>
      </w:r>
      <w:r>
        <w:rPr>
          <w:rFonts w:ascii="Century Gothic" w:hAnsi="Century Gothic"/>
        </w:rPr>
        <w:t xml:space="preserve"> car</w:t>
      </w:r>
      <w:r>
        <w:rPr>
          <w:rStyle w:val="Ninguno"/>
          <w:rFonts w:ascii="Century Gothic" w:hAnsi="Century Gothic"/>
          <w:lang w:val="es-ES_tradnl"/>
        </w:rPr>
        <w:t>á</w:t>
      </w:r>
      <w:r>
        <w:rPr>
          <w:rFonts w:ascii="Century Gothic" w:hAnsi="Century Gothic"/>
          <w:lang w:val="es-ES_tradnl"/>
        </w:rPr>
        <w:t>cter de Diputado de la Sexag</w:t>
      </w:r>
      <w:r>
        <w:rPr>
          <w:rStyle w:val="Ninguno"/>
          <w:rFonts w:ascii="Century Gothic" w:hAnsi="Century Gothic"/>
          <w:lang w:val="es-ES_tradnl"/>
        </w:rPr>
        <w:t>é</w:t>
      </w:r>
      <w:r>
        <w:rPr>
          <w:rFonts w:ascii="Century Gothic" w:hAnsi="Century Gothic"/>
        </w:rPr>
        <w:t>sima S</w:t>
      </w:r>
      <w:r>
        <w:rPr>
          <w:rStyle w:val="Ninguno"/>
          <w:rFonts w:ascii="Century Gothic" w:hAnsi="Century Gothic"/>
          <w:lang w:val="es-ES_tradnl"/>
        </w:rPr>
        <w:t>é</w:t>
      </w:r>
      <w:r>
        <w:rPr>
          <w:rFonts w:ascii="Century Gothic" w:hAnsi="Century Gothic"/>
          <w:lang w:val="es-ES_tradnl"/>
        </w:rPr>
        <w:t>ptima Legislatura del Honorable Congreso del Estado de Chihuahua e integrante del Grupo Parlamentario de Morena, y</w:t>
      </w:r>
      <w:r>
        <w:rPr>
          <w:rStyle w:val="Ninguno"/>
          <w:rFonts w:ascii="Century Gothic" w:hAnsi="Century Gothic"/>
          <w:lang w:val="es-ES_tradnl"/>
        </w:rPr>
        <w:t xml:space="preserve"> presidente de la </w:t>
      </w:r>
      <w:r>
        <w:rPr>
          <w:rStyle w:val="Ninguno"/>
          <w:rFonts w:ascii="Century Gothic" w:hAnsi="Century Gothic"/>
          <w:b/>
          <w:bCs/>
          <w:lang w:val="nl-NL"/>
        </w:rPr>
        <w:t>COMISI</w:t>
      </w:r>
      <w:r>
        <w:rPr>
          <w:rStyle w:val="Ninguno"/>
          <w:rFonts w:ascii="Century Gothic" w:hAnsi="Century Gothic"/>
          <w:b/>
          <w:bCs/>
          <w:lang w:val="es-ES_tradnl"/>
        </w:rPr>
        <w:t>ÓN DE DERECHOS HUMANOS Y ATENCIÓ</w:t>
      </w:r>
      <w:r>
        <w:rPr>
          <w:rStyle w:val="Ninguno"/>
          <w:rFonts w:ascii="Century Gothic" w:hAnsi="Century Gothic"/>
          <w:b/>
          <w:bCs/>
          <w:lang w:val="de-DE"/>
        </w:rPr>
        <w:t>N A GRUPOS VULNERABLES</w:t>
      </w:r>
      <w:r>
        <w:rPr>
          <w:rStyle w:val="Ninguno"/>
          <w:rFonts w:ascii="Century Gothic" w:hAnsi="Century Gothic"/>
          <w:lang w:val="es-ES_tradnl"/>
        </w:rPr>
        <w:t>,</w:t>
      </w:r>
      <w:r>
        <w:rPr>
          <w:rStyle w:val="Ninguno"/>
          <w:rFonts w:ascii="Century Gothic" w:hAnsi="Century Gothic"/>
          <w:b/>
          <w:bCs/>
          <w:lang w:val="es-ES_tradnl"/>
        </w:rPr>
        <w:t xml:space="preserve"> </w:t>
      </w:r>
      <w:r>
        <w:rPr>
          <w:rStyle w:val="Ninguno"/>
          <w:rFonts w:ascii="Century Gothic" w:hAnsi="Century Gothic"/>
          <w:lang w:val="es-ES_tradnl"/>
        </w:rPr>
        <w:t xml:space="preserve">e integrante de la </w:t>
      </w:r>
      <w:r>
        <w:rPr>
          <w:rStyle w:val="Ninguno"/>
          <w:rFonts w:ascii="Century Gothic" w:hAnsi="Century Gothic"/>
          <w:b/>
          <w:bCs/>
          <w:caps/>
          <w:lang w:val="es-ES_tradnl"/>
        </w:rPr>
        <w:t>Comisión Anticorrupción</w:t>
      </w:r>
      <w:r>
        <w:rPr>
          <w:rStyle w:val="Ninguno"/>
          <w:rFonts w:ascii="Century Gothic" w:hAnsi="Century Gothic"/>
          <w:lang w:val="es-ES_tradnl"/>
        </w:rPr>
        <w:t xml:space="preserve">, de la </w:t>
      </w:r>
      <w:r>
        <w:rPr>
          <w:rStyle w:val="Ninguno"/>
          <w:rFonts w:ascii="Century Gothic" w:hAnsi="Century Gothic"/>
          <w:b/>
          <w:bCs/>
          <w:caps/>
          <w:lang w:val="es-ES_tradnl"/>
        </w:rPr>
        <w:t>Comisión de Justicia</w:t>
      </w:r>
      <w:r>
        <w:rPr>
          <w:rStyle w:val="Ninguno"/>
          <w:rFonts w:ascii="Century Gothic" w:hAnsi="Century Gothic"/>
          <w:lang w:val="es-ES_tradnl"/>
        </w:rPr>
        <w:t xml:space="preserve"> y de la </w:t>
      </w:r>
      <w:r>
        <w:rPr>
          <w:rStyle w:val="Ninguno"/>
          <w:rFonts w:ascii="Century Gothic" w:hAnsi="Century Gothic"/>
          <w:b/>
          <w:bCs/>
          <w:caps/>
          <w:lang w:val="es-ES_tradnl"/>
        </w:rPr>
        <w:t>Comisión Especial para la Reforma Integral de la Constitució</w:t>
      </w:r>
      <w:r>
        <w:rPr>
          <w:rStyle w:val="Ninguno"/>
          <w:rFonts w:ascii="Century Gothic" w:hAnsi="Century Gothic"/>
          <w:b/>
          <w:bCs/>
          <w:caps/>
          <w:lang w:val="de-DE"/>
        </w:rPr>
        <w:t>n Pol</w:t>
      </w:r>
      <w:r>
        <w:rPr>
          <w:rStyle w:val="Ninguno"/>
          <w:rFonts w:ascii="Century Gothic" w:hAnsi="Century Gothic"/>
          <w:b/>
          <w:bCs/>
          <w:caps/>
          <w:lang w:val="es-ES_tradnl"/>
        </w:rPr>
        <w:t>ítica del Estado de Chihuahua</w:t>
      </w:r>
      <w:r>
        <w:rPr>
          <w:rStyle w:val="Ninguno"/>
          <w:rFonts w:ascii="Century Gothic" w:hAnsi="Century Gothic"/>
          <w:lang w:val="es-ES_tradnl"/>
        </w:rPr>
        <w:t xml:space="preserve">, </w:t>
      </w:r>
      <w:r>
        <w:rPr>
          <w:rFonts w:ascii="Century Gothic" w:hAnsi="Century Gothic"/>
          <w:lang w:val="es-ES_tradnl"/>
        </w:rPr>
        <w:t>con fundamento en lo dispuesto por los art</w:t>
      </w:r>
      <w:r>
        <w:rPr>
          <w:rStyle w:val="Ninguno"/>
          <w:rFonts w:ascii="Century Gothic" w:hAnsi="Century Gothic"/>
          <w:lang w:val="es-ES_tradnl"/>
        </w:rPr>
        <w:t>í</w:t>
      </w:r>
      <w:r>
        <w:rPr>
          <w:rFonts w:ascii="Century Gothic" w:hAnsi="Century Gothic"/>
          <w:lang w:val="es-ES_tradnl"/>
        </w:rPr>
        <w:t>culos 68 fracci</w:t>
      </w:r>
      <w:r>
        <w:rPr>
          <w:rStyle w:val="Ninguno"/>
          <w:rFonts w:ascii="Century Gothic" w:hAnsi="Century Gothic"/>
          <w:lang w:val="es-ES_tradnl"/>
        </w:rPr>
        <w:t>ó</w:t>
      </w:r>
      <w:r>
        <w:rPr>
          <w:rFonts w:ascii="Century Gothic" w:hAnsi="Century Gothic"/>
          <w:lang w:val="es-ES_tradnl"/>
        </w:rPr>
        <w:t>n I, de la Constituci</w:t>
      </w:r>
      <w:r>
        <w:rPr>
          <w:rStyle w:val="Ninguno"/>
          <w:rFonts w:ascii="Century Gothic" w:hAnsi="Century Gothic"/>
          <w:lang w:val="es-ES_tradnl"/>
        </w:rPr>
        <w:t>ó</w:t>
      </w:r>
      <w:r>
        <w:rPr>
          <w:rFonts w:ascii="Century Gothic" w:hAnsi="Century Gothic"/>
          <w:lang w:val="de-DE"/>
        </w:rPr>
        <w:t>n Pol</w:t>
      </w:r>
      <w:r>
        <w:rPr>
          <w:rStyle w:val="Ninguno"/>
          <w:rFonts w:ascii="Century Gothic" w:hAnsi="Century Gothic"/>
          <w:lang w:val="es-ES_tradnl"/>
        </w:rPr>
        <w:t>í</w:t>
      </w:r>
      <w:r>
        <w:rPr>
          <w:rFonts w:ascii="Century Gothic" w:hAnsi="Century Gothic"/>
          <w:lang w:val="es-ES_tradnl"/>
        </w:rPr>
        <w:t>tica del Estado de Chihuahua;167 fracci</w:t>
      </w:r>
      <w:r>
        <w:rPr>
          <w:rStyle w:val="Ninguno"/>
          <w:rFonts w:ascii="Century Gothic" w:hAnsi="Century Gothic"/>
          <w:lang w:val="es-ES_tradnl"/>
        </w:rPr>
        <w:t>ó</w:t>
      </w:r>
      <w:r>
        <w:rPr>
          <w:rFonts w:ascii="Century Gothic" w:hAnsi="Century Gothic"/>
          <w:lang w:val="es-ES_tradnl"/>
        </w:rPr>
        <w:t>n I, de la Ley Org</w:t>
      </w:r>
      <w:r>
        <w:rPr>
          <w:rStyle w:val="Ninguno"/>
          <w:rFonts w:ascii="Century Gothic" w:hAnsi="Century Gothic"/>
          <w:lang w:val="es-ES_tradnl"/>
        </w:rPr>
        <w:t>á</w:t>
      </w:r>
      <w:r>
        <w:rPr>
          <w:rFonts w:ascii="Century Gothic" w:hAnsi="Century Gothic"/>
          <w:lang w:val="es-ES_tradnl"/>
        </w:rPr>
        <w:t>nica del Poder Legislativo; as</w:t>
      </w:r>
      <w:r>
        <w:rPr>
          <w:rStyle w:val="Ninguno"/>
          <w:rFonts w:ascii="Century Gothic" w:hAnsi="Century Gothic"/>
          <w:lang w:val="es-ES_tradnl"/>
        </w:rPr>
        <w:t xml:space="preserve">í </w:t>
      </w:r>
      <w:r>
        <w:rPr>
          <w:rFonts w:ascii="Century Gothic" w:hAnsi="Century Gothic"/>
          <w:lang w:val="es-ES_tradnl"/>
        </w:rPr>
        <w:t>como los numerales 75 y 77 del Reglamento Interior de Pr</w:t>
      </w:r>
      <w:r>
        <w:rPr>
          <w:rStyle w:val="Ninguno"/>
          <w:rFonts w:ascii="Century Gothic" w:hAnsi="Century Gothic"/>
          <w:lang w:val="es-ES_tradnl"/>
        </w:rPr>
        <w:t>á</w:t>
      </w:r>
      <w:r>
        <w:rPr>
          <w:rFonts w:ascii="Century Gothic" w:hAnsi="Century Gothic"/>
          <w:lang w:val="es-ES_tradnl"/>
        </w:rPr>
        <w:t xml:space="preserve">cticas Parlamentarias del Poder Legislativo; todos ordenamientos del Estado de Chihuahua, acudimos ante esta Honorable Asamblea Legislativa, a fin de presentar una </w:t>
      </w:r>
      <w:r>
        <w:rPr>
          <w:rStyle w:val="Ninguno"/>
          <w:rFonts w:ascii="Century Gothic" w:hAnsi="Century Gothic"/>
          <w:b/>
          <w:bCs/>
          <w:lang w:val="es-ES_tradnl"/>
        </w:rPr>
        <w:t>iniciativa con el carácter de DECRETO, a efecto de adicionar y reformar diversos numerales de la Constitució</w:t>
      </w:r>
      <w:r>
        <w:rPr>
          <w:rStyle w:val="Ninguno"/>
          <w:rFonts w:ascii="Century Gothic" w:hAnsi="Century Gothic"/>
          <w:b/>
          <w:bCs/>
          <w:lang w:val="de-DE"/>
        </w:rPr>
        <w:t>n Pol</w:t>
      </w:r>
      <w:r>
        <w:rPr>
          <w:rStyle w:val="Ninguno"/>
          <w:rFonts w:ascii="Century Gothic" w:hAnsi="Century Gothic"/>
          <w:b/>
          <w:bCs/>
          <w:lang w:val="es-ES_tradnl"/>
        </w:rPr>
        <w:t>ítica del Estado de Chihuahua, con la finalidad de proteger diversos derechos humanos que consideramos vulnerables, por un lado, en torno a los derechos humanos a la presunción de inocencia, a una defensa técnica y de acceso a la impartición de Justicia por tribunales independientes, en que se privilegie la carrera judicial y el profesionalismo en la impartición de Justicia</w:t>
      </w:r>
      <w:r>
        <w:rPr>
          <w:rStyle w:val="Ninguno"/>
          <w:rFonts w:ascii="Century Gothic" w:hAnsi="Century Gothic"/>
          <w:b/>
          <w:bCs/>
        </w:rPr>
        <w:t>,</w:t>
      </w:r>
      <w:r>
        <w:rPr>
          <w:rFonts w:ascii="Century Gothic" w:hAnsi="Century Gothic"/>
          <w:lang w:val="es-ES_tradnl"/>
        </w:rPr>
        <w:t xml:space="preserve"> lo anterior con sustento en la siguiente:</w:t>
      </w:r>
    </w:p>
    <w:p w14:paraId="5A81E07D" w14:textId="77777777" w:rsidR="0015360A" w:rsidRDefault="0015360A" w:rsidP="0015360A">
      <w:pPr>
        <w:pStyle w:val="Cuerpo"/>
        <w:spacing w:before="0" w:after="0"/>
        <w:rPr>
          <w:rFonts w:ascii="Century Gothic" w:eastAsia="Century Gothic" w:hAnsi="Century Gothic" w:cs="Century Gothic"/>
        </w:rPr>
      </w:pPr>
    </w:p>
    <w:p w14:paraId="5D1C8CA0" w14:textId="7013DBF3" w:rsidR="0015360A" w:rsidRDefault="00C92928" w:rsidP="0015360A">
      <w:pPr>
        <w:pStyle w:val="Cuerpo"/>
        <w:spacing w:before="0" w:after="0"/>
        <w:jc w:val="center"/>
        <w:rPr>
          <w:rStyle w:val="Ninguno"/>
          <w:rFonts w:ascii="Century Gothic" w:eastAsia="Century Gothic" w:hAnsi="Century Gothic" w:cs="Century Gothic"/>
          <w:b/>
          <w:bCs/>
        </w:rPr>
      </w:pPr>
      <w:r>
        <w:rPr>
          <w:rStyle w:val="Ninguno"/>
          <w:rFonts w:ascii="Century Gothic" w:hAnsi="Century Gothic"/>
          <w:b/>
          <w:bCs/>
          <w:lang w:val="es-ES_tradnl"/>
        </w:rPr>
        <w:t>EXPOSICION DE MOTIVOS:</w:t>
      </w:r>
    </w:p>
    <w:p w14:paraId="2B4BC180"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b/>
          <w:bCs/>
        </w:rPr>
        <w:lastRenderedPageBreak/>
        <w:t>1.</w:t>
      </w:r>
      <w:r>
        <w:rPr>
          <w:rFonts w:ascii="Century Gothic" w:hAnsi="Century Gothic"/>
          <w:lang w:val="es-ES_tradnl"/>
        </w:rPr>
        <w:t xml:space="preserve"> El 1o. de junio de 2022, se public</w:t>
      </w:r>
      <w:r>
        <w:rPr>
          <w:rFonts w:ascii="Century Gothic" w:hAnsi="Century Gothic"/>
        </w:rPr>
        <w:t xml:space="preserve">ó </w:t>
      </w:r>
      <w:r>
        <w:rPr>
          <w:rFonts w:ascii="Century Gothic" w:hAnsi="Century Gothic"/>
          <w:lang w:val="es-ES_tradnl"/>
        </w:rPr>
        <w:t>en el Periódico Oficial del Gobierno del Estado de Chihuahua, el Decreto No. LXVII/RFCNT/0249/2022 II P.O., mediante el cual se reforman, adicionan y derogan diversas disposiciones previstas en la Constitució</w:t>
      </w:r>
      <w:r>
        <w:rPr>
          <w:rFonts w:ascii="Century Gothic" w:hAnsi="Century Gothic"/>
          <w:lang w:val="de-DE"/>
        </w:rPr>
        <w:t>n Pol</w:t>
      </w:r>
      <w:r>
        <w:rPr>
          <w:rFonts w:ascii="Century Gothic" w:hAnsi="Century Gothic"/>
        </w:rPr>
        <w:t>í</w:t>
      </w:r>
      <w:r>
        <w:rPr>
          <w:rFonts w:ascii="Century Gothic" w:hAnsi="Century Gothic"/>
          <w:lang w:val="es-ES_tradnl"/>
        </w:rPr>
        <w:t>tica del Estado de Chihuahua, lo relativo a la reforma de los art</w:t>
      </w:r>
      <w:r>
        <w:rPr>
          <w:rFonts w:ascii="Century Gothic" w:hAnsi="Century Gothic"/>
        </w:rPr>
        <w:t>í</w:t>
      </w:r>
      <w:r>
        <w:rPr>
          <w:rFonts w:ascii="Century Gothic" w:hAnsi="Century Gothic"/>
          <w:lang w:val="es-ES_tradnl"/>
        </w:rPr>
        <w:t>culos 101, fracciones I, II, III, IV y V; 105, fracció</w:t>
      </w:r>
      <w:r>
        <w:rPr>
          <w:rFonts w:ascii="Century Gothic" w:hAnsi="Century Gothic"/>
        </w:rPr>
        <w:t>n IV, pá</w:t>
      </w:r>
      <w:r>
        <w:rPr>
          <w:rFonts w:ascii="Century Gothic" w:hAnsi="Century Gothic"/>
          <w:lang w:val="pt-PT"/>
        </w:rPr>
        <w:t>rrafo segundo; 108, p</w:t>
      </w:r>
      <w:r>
        <w:rPr>
          <w:rFonts w:ascii="Century Gothic" w:hAnsi="Century Gothic"/>
        </w:rPr>
        <w:t>á</w:t>
      </w:r>
      <w:r>
        <w:rPr>
          <w:rFonts w:ascii="Century Gothic" w:hAnsi="Century Gothic"/>
          <w:lang w:val="es-ES_tradnl"/>
        </w:rPr>
        <w:t>rrafo primero; 109, p</w:t>
      </w:r>
      <w:r>
        <w:rPr>
          <w:rFonts w:ascii="Century Gothic" w:hAnsi="Century Gothic"/>
        </w:rPr>
        <w:t>á</w:t>
      </w:r>
      <w:r>
        <w:rPr>
          <w:rFonts w:ascii="Century Gothic" w:hAnsi="Century Gothic"/>
          <w:lang w:val="es-ES_tradnl"/>
        </w:rPr>
        <w:t>rrafo primero; 110, fracciones IV y V; la adhesión a los art</w:t>
      </w:r>
      <w:r>
        <w:rPr>
          <w:rFonts w:ascii="Century Gothic" w:hAnsi="Century Gothic"/>
        </w:rPr>
        <w:t>ículos 101, fracci</w:t>
      </w:r>
      <w:r>
        <w:rPr>
          <w:rFonts w:ascii="Century Gothic" w:hAnsi="Century Gothic"/>
          <w:lang w:val="es-ES_tradnl"/>
        </w:rPr>
        <w:t>ón I, el p</w:t>
      </w:r>
      <w:r>
        <w:rPr>
          <w:rFonts w:ascii="Century Gothic" w:hAnsi="Century Gothic"/>
        </w:rPr>
        <w:t>á</w:t>
      </w:r>
      <w:r>
        <w:rPr>
          <w:rFonts w:ascii="Century Gothic" w:hAnsi="Century Gothic"/>
          <w:lang w:val="es-ES_tradnl"/>
        </w:rPr>
        <w:t>rrafo segundo, y a la fracción V, el p</w:t>
      </w:r>
      <w:r>
        <w:rPr>
          <w:rFonts w:ascii="Century Gothic" w:hAnsi="Century Gothic"/>
        </w:rPr>
        <w:t>á</w:t>
      </w:r>
      <w:r>
        <w:rPr>
          <w:rFonts w:ascii="Century Gothic" w:hAnsi="Century Gothic"/>
          <w:lang w:val="es-ES_tradnl"/>
        </w:rPr>
        <w:t>rrafo tercero; 104, la fracción VIII; y 110, la fracción XIX; y se derogan de los art</w:t>
      </w:r>
      <w:r>
        <w:rPr>
          <w:rFonts w:ascii="Century Gothic" w:hAnsi="Century Gothic"/>
        </w:rPr>
        <w:t>ículos 101, fracci</w:t>
      </w:r>
      <w:r>
        <w:rPr>
          <w:rFonts w:ascii="Century Gothic" w:hAnsi="Century Gothic"/>
          <w:lang w:val="es-ES_tradnl"/>
        </w:rPr>
        <w:t>ón II, el p</w:t>
      </w:r>
      <w:r>
        <w:rPr>
          <w:rFonts w:ascii="Century Gothic" w:hAnsi="Century Gothic"/>
        </w:rPr>
        <w:t>á</w:t>
      </w:r>
      <w:r>
        <w:rPr>
          <w:rFonts w:ascii="Century Gothic" w:hAnsi="Century Gothic"/>
          <w:lang w:val="es-ES_tradnl"/>
        </w:rPr>
        <w:t>rrafo segundo; 109, los p</w:t>
      </w:r>
      <w:r>
        <w:rPr>
          <w:rFonts w:ascii="Century Gothic" w:hAnsi="Century Gothic"/>
        </w:rPr>
        <w:t>á</w:t>
      </w:r>
      <w:r>
        <w:rPr>
          <w:rFonts w:ascii="Century Gothic" w:hAnsi="Century Gothic"/>
          <w:lang w:val="es-ES_tradnl"/>
        </w:rPr>
        <w:t>rrafos segundo y tercero; y 110, la fracción I, todos de la Constitució</w:t>
      </w:r>
      <w:r>
        <w:rPr>
          <w:rFonts w:ascii="Century Gothic" w:hAnsi="Century Gothic"/>
          <w:lang w:val="de-DE"/>
        </w:rPr>
        <w:t>n Pol</w:t>
      </w:r>
      <w:r>
        <w:rPr>
          <w:rFonts w:ascii="Century Gothic" w:hAnsi="Century Gothic"/>
        </w:rPr>
        <w:t>í</w:t>
      </w:r>
      <w:r>
        <w:rPr>
          <w:rFonts w:ascii="Century Gothic" w:hAnsi="Century Gothic"/>
          <w:lang w:val="es-ES_tradnl"/>
        </w:rPr>
        <w:t>tica del Estado de Chihuahua.  Mediante escritos de demanda y ampliación a la misma, diversas Diputadas y Diputados de la Sexag</w:t>
      </w:r>
      <w:r>
        <w:rPr>
          <w:rFonts w:ascii="Century Gothic" w:hAnsi="Century Gothic"/>
          <w:lang w:val="fr-FR"/>
        </w:rPr>
        <w:t>é</w:t>
      </w:r>
      <w:r>
        <w:rPr>
          <w:rFonts w:ascii="Century Gothic" w:hAnsi="Century Gothic"/>
        </w:rPr>
        <w:t>sima S</w:t>
      </w:r>
      <w:r>
        <w:rPr>
          <w:rFonts w:ascii="Century Gothic" w:hAnsi="Century Gothic"/>
          <w:lang w:val="fr-FR"/>
        </w:rPr>
        <w:t>é</w:t>
      </w:r>
      <w:r>
        <w:rPr>
          <w:rFonts w:ascii="Century Gothic" w:hAnsi="Century Gothic"/>
          <w:lang w:val="es-ES_tradnl"/>
        </w:rPr>
        <w:t>ptima Legislatura del Congreso de Chihuahua presentaron acción de inconstitucionalidad en contra del referido decreto, demanda que fue admitida mediante acuerdo de 07 de julio de 2022 por la Suprema Corte de Justicia de la Nación.</w:t>
      </w:r>
    </w:p>
    <w:p w14:paraId="144B0A25"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b/>
          <w:bCs/>
        </w:rPr>
        <w:t>2.</w:t>
      </w:r>
      <w:r>
        <w:rPr>
          <w:rFonts w:ascii="Century Gothic" w:hAnsi="Century Gothic"/>
          <w:lang w:val="es-ES_tradnl"/>
        </w:rPr>
        <w:t xml:space="preserve"> Esencialmente, la aludida reforma </w:t>
      </w:r>
      <w:r>
        <w:rPr>
          <w:rStyle w:val="Ninguno"/>
          <w:rFonts w:ascii="Century Gothic" w:hAnsi="Century Gothic"/>
          <w:lang w:val="es-ES_tradnl"/>
        </w:rPr>
        <w:t>sustituye los concursos de oposición, así como la atribución del Consejo de la Judicatura para constituirse en Jurado Calificador, y en su lugar establece la creación de una Comisión Especial integrada de manera tripartita: un representante del Ejecutivo, otro del Legislativo y uno más del Poder Judicial. A dicha Comisión Especial se le atribuye la facultad de conformar una terna de aspitantes que somete a consideración del Congreso Local.</w:t>
      </w:r>
    </w:p>
    <w:p w14:paraId="1DD0DB3A" w14:textId="77777777" w:rsidR="0015360A" w:rsidRDefault="0015360A" w:rsidP="0015360A">
      <w:pPr>
        <w:pStyle w:val="Cuerpo"/>
        <w:rPr>
          <w:rStyle w:val="Ninguno"/>
          <w:rFonts w:ascii="Century Gothic" w:eastAsia="Century Gothic" w:hAnsi="Century Gothic" w:cs="Century Gothic"/>
          <w:b/>
          <w:bCs/>
        </w:rPr>
      </w:pPr>
      <w:r>
        <w:rPr>
          <w:rStyle w:val="Ninguno"/>
          <w:rFonts w:ascii="Century Gothic" w:hAnsi="Century Gothic"/>
          <w:lang w:val="es-ES_tradnl"/>
        </w:rPr>
        <w:t>Al respecto, es oportuno tener presente las siguientes consideraciones:</w:t>
      </w:r>
    </w:p>
    <w:p w14:paraId="7076F2DE" w14:textId="77777777" w:rsidR="0015360A" w:rsidRDefault="0015360A" w:rsidP="0015360A">
      <w:pPr>
        <w:pStyle w:val="Cuerpo"/>
        <w:rPr>
          <w:rStyle w:val="Ninguno"/>
          <w:rFonts w:ascii="Century Gothic" w:eastAsia="Century Gothic" w:hAnsi="Century Gothic" w:cs="Century Gothic"/>
          <w:b/>
          <w:bCs/>
          <w:u w:val="single"/>
        </w:rPr>
      </w:pPr>
      <w:r>
        <w:rPr>
          <w:rStyle w:val="Ninguno"/>
          <w:rFonts w:ascii="Century Gothic" w:hAnsi="Century Gothic"/>
          <w:b/>
          <w:bCs/>
          <w:u w:val="single"/>
          <w:lang w:val="es-ES_tradnl"/>
        </w:rPr>
        <w:t>A. La independencia judicial</w:t>
      </w:r>
    </w:p>
    <w:p w14:paraId="1E5034B3"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lastRenderedPageBreak/>
        <w:t xml:space="preserve">La Suprema Corte ha fijado el papel de los Consejos de la Judicatura en cumplimiento a los principios de independencia judicial, al resolver la controversia constitucional 81/2017, el Pleno del Alto Tribunal recuerda que en la exposición de motivos de la reforma al artículo 100 de la Ley Fundamental, publicada el 11 de junio de 1999, se estableció que el Consejo de la Judicatura Federal es un órgano del Poder Judicial de la Federación que no tiene dependencia de la Suprema Corte ni de los jueces y magistrados que cumplen con la función propiamente jurisdiccional. Así, advierte </w:t>
      </w:r>
      <w:proofErr w:type="gramStart"/>
      <w:r>
        <w:rPr>
          <w:rStyle w:val="Ninguno"/>
          <w:rFonts w:ascii="Century Gothic" w:hAnsi="Century Gothic"/>
          <w:lang w:val="es-ES_tradnl"/>
        </w:rPr>
        <w:t>que</w:t>
      </w:r>
      <w:proofErr w:type="gramEnd"/>
      <w:r>
        <w:rPr>
          <w:rStyle w:val="Ninguno"/>
          <w:rFonts w:ascii="Century Gothic" w:hAnsi="Century Gothic"/>
          <w:lang w:val="es-ES_tradnl"/>
        </w:rPr>
        <w:t xml:space="preserve"> de la lectura de los párrafos de esa reforma, en relación con la interpretación que de ellos hace al resolver la controversia constitucional 32/2007, se tiene que, entre los Consejos de la Judicatura y los Tribunales Superiores de Justicia debe existir un equilibrio que salvaguarde su respectiva independencia e impida cualquier relación de subordinación entre ambas instancias. Al mismo tiempo, hace notar, </w:t>
      </w:r>
      <w:r>
        <w:rPr>
          <w:rStyle w:val="Ninguno"/>
          <w:rFonts w:ascii="Century Gothic" w:hAnsi="Century Gothic"/>
          <w:b/>
          <w:bCs/>
          <w:lang w:val="es-ES_tradnl"/>
        </w:rPr>
        <w:t>los Consejos de la Judicatura no pueden vulnerar la independencia judicial, ni en su diseño institucional en el que operan ni en cada uno de sus actos al prestar su labor auxiliar.</w:t>
      </w:r>
    </w:p>
    <w:p w14:paraId="060268DC"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El Pleno recuerda el contenido de aquella exposición de motivos en los términos siguientes:</w:t>
      </w:r>
    </w:p>
    <w:p w14:paraId="257D6B62"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 xml:space="preserve">[…] la ubicación del Consejo de la Judicatura en la estructura estatal ha dado lugar a muy diversas interpretaciones, como la que sugiere que se trataría de un órgano desconcentrado de la Suprema Corte de Justicia. </w:t>
      </w:r>
      <w:r>
        <w:rPr>
          <w:rStyle w:val="Ninguno"/>
          <w:rFonts w:ascii="Century Gothic" w:hAnsi="Century Gothic"/>
          <w:sz w:val="24"/>
          <w:szCs w:val="24"/>
          <w:u w:val="single"/>
        </w:rPr>
        <w:t xml:space="preserve">Sin embargo, tal interpretación supondría la existencia de una relación de </w:t>
      </w:r>
      <w:r>
        <w:rPr>
          <w:rStyle w:val="Ninguno"/>
          <w:rFonts w:ascii="Century Gothic" w:hAnsi="Century Gothic"/>
          <w:sz w:val="24"/>
          <w:szCs w:val="24"/>
          <w:u w:val="single"/>
        </w:rPr>
        <w:lastRenderedPageBreak/>
        <w:t>subordinación jerárquica, lo que no corresponda al sistema de gobierno del Poder Judicial previsto en la Constitución</w:t>
      </w:r>
      <w:r>
        <w:rPr>
          <w:rFonts w:ascii="Century Gothic" w:hAnsi="Century Gothic"/>
          <w:sz w:val="24"/>
          <w:szCs w:val="24"/>
        </w:rPr>
        <w:t>.</w:t>
      </w:r>
    </w:p>
    <w:p w14:paraId="578D4F90"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El Poder Judicial de la Federación se compone, por un lado, de los órganos judiciales propiamente dichos, en los cuales descansa de manera exclusiva la función jurisdiccional y, por otro lado, de un órgano constitucional de carácter administrativo, encargado de la administración, vigilancia y disciplina de dicho Poder, con exclusión de la Suprema Corte.</w:t>
      </w:r>
    </w:p>
    <w:p w14:paraId="633233A8"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 xml:space="preserve">La anterior propuesta tiene la ventaja, por una parte, de recuperar el sentido original del texto constitucional, pero simultáneamente, permitir que el Consejo de la Judicatura Federal </w:t>
      </w:r>
      <w:r>
        <w:rPr>
          <w:rStyle w:val="Ninguno"/>
          <w:rFonts w:ascii="Century Gothic" w:hAnsi="Century Gothic"/>
          <w:sz w:val="24"/>
          <w:szCs w:val="24"/>
          <w:u w:val="single"/>
        </w:rPr>
        <w:t>mantenga de modo estricto</w:t>
      </w:r>
      <w:r>
        <w:rPr>
          <w:rFonts w:ascii="Century Gothic" w:hAnsi="Century Gothic"/>
          <w:sz w:val="24"/>
          <w:szCs w:val="24"/>
        </w:rPr>
        <w:t xml:space="preserve"> sus funciones de administración, vigilancia, disciplina y carrera judicial, con plena autonomía, tal como hasta ahora lo ha venido haciendo.</w:t>
      </w:r>
    </w:p>
    <w:p w14:paraId="17F4A6E6" w14:textId="77777777" w:rsidR="0015360A" w:rsidRDefault="0015360A" w:rsidP="0015360A">
      <w:pPr>
        <w:pStyle w:val="Cita"/>
        <w:jc w:val="right"/>
        <w:rPr>
          <w:rFonts w:ascii="Century Gothic" w:eastAsia="Century Gothic" w:hAnsi="Century Gothic" w:cs="Century Gothic"/>
          <w:sz w:val="24"/>
          <w:szCs w:val="24"/>
        </w:rPr>
      </w:pPr>
      <w:r>
        <w:rPr>
          <w:rFonts w:ascii="Century Gothic" w:hAnsi="Century Gothic"/>
          <w:sz w:val="24"/>
          <w:szCs w:val="24"/>
        </w:rPr>
        <w:t>[Énfasis añadido]</w:t>
      </w:r>
    </w:p>
    <w:p w14:paraId="1FB38A7E"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Constituye un criterio reiterado por la Suprema Corte, que los Consejos de la Judicatura pueden ejercitar sus atribuciones administrativas, pero siempre respetando todas y cada una de las garantías constitucionales de la función jurisdiccional. Al respecto, es valioso hacer notar que, a foja 15 de la controversia constitucional 81/2017, la Suprema Corte advierte: “la Constitución capitalina está obligada a estructurar su </w:t>
      </w:r>
      <w:r>
        <w:rPr>
          <w:rStyle w:val="Ninguno"/>
          <w:rFonts w:ascii="Century Gothic" w:hAnsi="Century Gothic"/>
          <w:b/>
          <w:bCs/>
          <w:lang w:val="es-ES_tradnl"/>
        </w:rPr>
        <w:t>Consejo de la Judicatura</w:t>
      </w:r>
      <w:r>
        <w:rPr>
          <w:rStyle w:val="Ninguno"/>
          <w:rFonts w:ascii="Century Gothic" w:hAnsi="Century Gothic"/>
          <w:lang w:val="es-ES_tradnl"/>
        </w:rPr>
        <w:t xml:space="preserve"> tutelando en todo momento la independencia y autonomía judiciales, pues, como veremos a continuación, </w:t>
      </w:r>
      <w:r>
        <w:rPr>
          <w:rStyle w:val="Ninguno"/>
          <w:rFonts w:ascii="Century Gothic" w:hAnsi="Century Gothic"/>
          <w:b/>
          <w:bCs/>
          <w:lang w:val="es-ES_tradnl"/>
        </w:rPr>
        <w:t xml:space="preserve">ese órgano tiene facultades </w:t>
      </w:r>
      <w:r>
        <w:rPr>
          <w:rStyle w:val="Ninguno"/>
          <w:rFonts w:ascii="Century Gothic" w:hAnsi="Century Gothic"/>
          <w:b/>
          <w:bCs/>
          <w:lang w:val="es-ES_tradnl"/>
        </w:rPr>
        <w:lastRenderedPageBreak/>
        <w:t>para incidir en estas garantías judiciales que el Estado mexicano está obligado a respetar.</w:t>
      </w:r>
      <w:r>
        <w:rPr>
          <w:rStyle w:val="Ninguno"/>
          <w:rFonts w:ascii="Century Gothic" w:hAnsi="Century Gothic"/>
          <w:lang w:val="es-ES_tradnl"/>
        </w:rPr>
        <w:t>”</w:t>
      </w:r>
    </w:p>
    <w:p w14:paraId="45D4BB72"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En ese sentido, precisamente en el mismo precedente, en relación a los mecanismos para la conformación del Consejo de la Judicatura de alguna entidad federativa, advierte que algunos de esos mecanismos pueden vulnerar el principio de separación de poderes así como la independencia del Poder Judicial al generar </w:t>
      </w:r>
      <w:r>
        <w:rPr>
          <w:rStyle w:val="Ninguno"/>
          <w:rFonts w:ascii="Century Gothic" w:hAnsi="Century Gothic"/>
          <w:b/>
          <w:bCs/>
          <w:lang w:val="es-ES_tradnl"/>
        </w:rPr>
        <w:t>suspicacias nocivas</w:t>
      </w:r>
      <w:r>
        <w:rPr>
          <w:rStyle w:val="Ninguno"/>
          <w:rFonts w:ascii="Century Gothic" w:hAnsi="Century Gothic"/>
          <w:lang w:val="es-ES_tradnl"/>
        </w:rPr>
        <w:t xml:space="preserve"> sobre los nombramientos de los consejeros de la judicatura al advertir una posible intervención en las decisiones administrativas del Poder Judicial por parte de personas designadas por otros poderes. En dicha resolución el Pleno sostiene:</w:t>
      </w:r>
    </w:p>
    <w:p w14:paraId="0D27DCAF"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 xml:space="preserve">[…] este Pleno considera que no basta con establecer una mayoría de consejeros de la judicatura internos del Poder Judicial para garantizar la no intervención del Poder Legislativo en el Consejo de la Judicatura local y, a través de éste, en el mismo Poder Judicial al que el Consejo Pertenece. También es necesario declarar la invalidez del mecanismo de nombramiento que se impugna pues la </w:t>
      </w:r>
      <w:r>
        <w:rPr>
          <w:rStyle w:val="Ninguno"/>
          <w:rFonts w:ascii="Century Gothic" w:hAnsi="Century Gothic"/>
          <w:b/>
          <w:bCs/>
          <w:sz w:val="24"/>
          <w:szCs w:val="24"/>
        </w:rPr>
        <w:t>intervención indirecta del Congreso local en la designación de todos los consejeros de la judicatura implica un riesgo de manipulación de las decisiones del Consejo por parte de una mayoría parlamentaria.</w:t>
      </w:r>
      <w:r>
        <w:rPr>
          <w:rFonts w:ascii="Century Gothic" w:hAnsi="Century Gothic"/>
          <w:sz w:val="24"/>
          <w:szCs w:val="24"/>
        </w:rPr>
        <w:t xml:space="preserve"> </w:t>
      </w:r>
      <w:r>
        <w:rPr>
          <w:rStyle w:val="Ninguno"/>
          <w:rFonts w:ascii="Century Gothic" w:hAnsi="Century Gothic"/>
          <w:b/>
          <w:bCs/>
          <w:sz w:val="24"/>
          <w:szCs w:val="24"/>
        </w:rPr>
        <w:t xml:space="preserve">Este riesgo genera suspicacias nocivas que vulneran la autonomía judicial </w:t>
      </w:r>
      <w:r>
        <w:rPr>
          <w:rFonts w:ascii="Century Gothic" w:hAnsi="Century Gothic"/>
          <w:sz w:val="24"/>
          <w:szCs w:val="24"/>
        </w:rPr>
        <w:t xml:space="preserve">y, por ello, constituye precisamente una injerencia indebida del Legislativo en el funcionamiento del Poder Judicial mediante la designación de la totalidad de los consejeros de la judicatura. </w:t>
      </w:r>
      <w:r>
        <w:rPr>
          <w:rFonts w:ascii="Century Gothic" w:hAnsi="Century Gothic"/>
          <w:sz w:val="24"/>
          <w:szCs w:val="24"/>
        </w:rPr>
        <w:lastRenderedPageBreak/>
        <w:t>Adicionalmente, el hecho de que sólo siete de los once consejeros del Consejo Judicial Ciudadano deban ser profesionales del derecho genera también suspicacias nocivas pues dicho requisito no garantiza que tengan el conocimiento necesario de las cuestiones técnicas de política judicial para nombrar debidamente a los consejeros de la judicatura que ejercen una función primordial y central para el Estado mexicano.</w:t>
      </w:r>
    </w:p>
    <w:p w14:paraId="4D49D800" w14:textId="77777777" w:rsidR="0015360A" w:rsidRDefault="0015360A" w:rsidP="0015360A">
      <w:pPr>
        <w:pStyle w:val="Cita"/>
        <w:jc w:val="right"/>
        <w:rPr>
          <w:rFonts w:ascii="Century Gothic" w:eastAsia="Century Gothic" w:hAnsi="Century Gothic" w:cs="Century Gothic"/>
          <w:sz w:val="24"/>
          <w:szCs w:val="24"/>
        </w:rPr>
      </w:pPr>
      <w:r>
        <w:rPr>
          <w:rFonts w:ascii="Century Gothic" w:hAnsi="Century Gothic"/>
          <w:sz w:val="24"/>
          <w:szCs w:val="24"/>
        </w:rPr>
        <w:t>[Énfasis añadido]</w:t>
      </w:r>
    </w:p>
    <w:p w14:paraId="24F05B35"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Al pronunciarse en torno a la conformación de los Consejos de la Judicatura de las entidades federativas, en la referida controversia constitucional 32/2007, el Pleno del Alto Tribunal advirtió que: (i) en la suma de consejeros de la judicatura en las entidades federativas debe haber más integrantes directamente extraídos del Poder Judicial al que el Consejo respectivo administrará, y (ii) la conformación del Consejo es de servicio administrativo a la función jurisdiccional, por lo que sus decisiones deben respetar la autonomía e independencia judiciales y deben evitar controlar o invadir la esfera jurisdiccional del Poder Judicial que administra.</w:t>
      </w:r>
    </w:p>
    <w:p w14:paraId="33E7C69D" w14:textId="77777777" w:rsidR="0015360A" w:rsidRDefault="0015360A" w:rsidP="0015360A">
      <w:pPr>
        <w:pStyle w:val="Cuerpo"/>
        <w:rPr>
          <w:rStyle w:val="Ninguno"/>
          <w:rFonts w:ascii="Century Gothic" w:eastAsia="Century Gothic" w:hAnsi="Century Gothic" w:cs="Century Gothic"/>
          <w:lang w:val="es-ES_tradnl"/>
        </w:rPr>
      </w:pPr>
      <w:r>
        <w:rPr>
          <w:rStyle w:val="Ninguno"/>
          <w:rFonts w:ascii="Century Gothic" w:hAnsi="Century Gothic"/>
          <w:lang w:val="es-ES_tradnl"/>
        </w:rPr>
        <w:t xml:space="preserve">En ese sentido, las facultades creadas por ley deben tender al pleno respeto a la división de poderes como expresión de una correcta distribución de funciones, pues se garantiza que la función jurisdiccional se vea reflejada en las decisiones administrativas. </w:t>
      </w:r>
    </w:p>
    <w:p w14:paraId="5DBB3E04"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Es ilustrativo el siguiente criterio jurisprudencial:</w:t>
      </w:r>
    </w:p>
    <w:p w14:paraId="7346F624" w14:textId="77777777" w:rsidR="0015360A" w:rsidRDefault="0015360A" w:rsidP="0015360A">
      <w:pPr>
        <w:pStyle w:val="Cita"/>
        <w:rPr>
          <w:rStyle w:val="Ninguno"/>
          <w:rFonts w:ascii="Century Gothic" w:eastAsia="Century Gothic" w:hAnsi="Century Gothic" w:cs="Century Gothic"/>
          <w:b/>
          <w:bCs/>
          <w:sz w:val="24"/>
          <w:szCs w:val="24"/>
        </w:rPr>
      </w:pPr>
      <w:r>
        <w:rPr>
          <w:rStyle w:val="Ninguno"/>
          <w:rFonts w:ascii="Century Gothic" w:hAnsi="Century Gothic"/>
          <w:b/>
          <w:bCs/>
          <w:sz w:val="24"/>
          <w:szCs w:val="24"/>
        </w:rPr>
        <w:lastRenderedPageBreak/>
        <w:t>CONSEJOS DE LA JUDICATURA LOCALES. PRINCIPIOS ESTABLECIDOS POR EL CONSTITUYENTE PERMANENTE EN RELACIÓN CON SU CREACIÓN.</w:t>
      </w:r>
      <w:r>
        <w:rPr>
          <w:rFonts w:ascii="Century Gothic" w:hAnsi="Century Gothic"/>
          <w:sz w:val="24"/>
          <w:szCs w:val="24"/>
        </w:rPr>
        <w:t xml:space="preserve"> Los Consejos de la Judicatura, como órganos de administración del Poder Judicial, sólo son obligatorios en el régimen Federal y en el ámbito del Distrito Federal, conforme a los artículos 100 y 122, apartado C, base cuarta, de la Constitución Política de los Estados Unidos Mexicanos; por tanto, su existencia en el ámbito estatal no es imperativa. Sin embargo, en caso de que las Legislaturas Locales decidan establecerlos en sus regímenes internos, por cuestión de coherencia con el sistema federal, de acuerdo con los artículos 40, 41, 49 y 116 de la Ley Suprema, ello no debe contravenir los principios establecidos por el Constituyente; antes bien, en acatamiento a los artículos 17 y 116, fracción III, constitucionales, debe seguirse garantizando la independencia y la autonomía del Poder Judicial Local, en función del principio general de división de poderes, sin perjuicio de que esta modalidad se oriente por los principios que para el nivel federal establece la propia Ley Fundamental de acuerdo con su artículo 40, lo que no significa mezclar diferentes regímenes del Estado mexicano, sino sólo extraer los principios generales que el Constituyente Permanente ha establecido para los Consejos de la Judicatura en pleno acatamiento al sistema federal imperante en el país, en el que los Estados de la República son libres y soberanos en todo lo concerniente a su régimen </w:t>
      </w:r>
      <w:r>
        <w:rPr>
          <w:rFonts w:ascii="Century Gothic" w:hAnsi="Century Gothic"/>
          <w:sz w:val="24"/>
          <w:szCs w:val="24"/>
        </w:rPr>
        <w:lastRenderedPageBreak/>
        <w:t xml:space="preserve">interior, pero unidos en una Federación establecida según los principios de la Norma Suprema. En este tenor, de acuerdo con los procesos legislativos que han originado la creación de los Consejos de la Judicatura, </w:t>
      </w:r>
      <w:r>
        <w:rPr>
          <w:rStyle w:val="Ninguno"/>
          <w:rFonts w:ascii="Century Gothic" w:hAnsi="Century Gothic"/>
          <w:b/>
          <w:bCs/>
          <w:sz w:val="24"/>
          <w:szCs w:val="24"/>
        </w:rPr>
        <w:t xml:space="preserve">el Constituyente Permanente ha establecido, por lo menos, dos principios fundamentales: 1. En la suma total de componentes de un Consejo, debe haber más sujetos directamente extraídos del Poder Judicial al que administrará, al cual previsiblemente regresarán una vez que terminen sus funciones; y, 2. La conformación del Consejo es de servicio administrativo a la función jurisdiccional, por tanto, sus decisiones deben respetar los principios de autonomía e independencia judiciales, así como no controlar o invadir la esfera jurisdiccional del órgano al que administrará. Estos principios tienden al pleno respeto a la división de poderes como expresión de una correcta distribución de funciones, pues se garantiza que la función jurisdiccional se vea reflejada en las decisiones administrativas; se acotan funciones de otros Poderes para no permitir que, en ningún caso, formen mayoría que incida en las decisiones administrativas del Poder Judicial; se evitan suspicacias nocivas relativas a una posible intervención en la administración del Poder Judicial por parte de personas designadas por Poderes ajenos al mismo y, finalmente, se garantiza que exista una mayor representatividad de los integrantes del Poder Judicial en la toma de decisiones administrativas y organizacionales del </w:t>
      </w:r>
      <w:r>
        <w:rPr>
          <w:rStyle w:val="Ninguno"/>
          <w:rFonts w:ascii="Century Gothic" w:hAnsi="Century Gothic"/>
          <w:b/>
          <w:bCs/>
          <w:sz w:val="24"/>
          <w:szCs w:val="24"/>
        </w:rPr>
        <w:lastRenderedPageBreak/>
        <w:t>indicado Poder, todo lo cual conduce a desempeñar correctamente la función encomendada relativa a otorgar una adecuada impartición de justicia hacia los gobernados.</w:t>
      </w:r>
    </w:p>
    <w:p w14:paraId="045DC95B" w14:textId="77777777" w:rsidR="0015360A" w:rsidRDefault="0015360A" w:rsidP="0015360A">
      <w:pPr>
        <w:pStyle w:val="Cita"/>
        <w:jc w:val="right"/>
        <w:rPr>
          <w:rFonts w:ascii="Century Gothic" w:eastAsia="Century Gothic" w:hAnsi="Century Gothic" w:cs="Century Gothic"/>
          <w:sz w:val="24"/>
          <w:szCs w:val="24"/>
        </w:rPr>
      </w:pPr>
      <w:r>
        <w:rPr>
          <w:rFonts w:ascii="Century Gothic" w:hAnsi="Century Gothic"/>
          <w:sz w:val="24"/>
          <w:szCs w:val="24"/>
        </w:rPr>
        <w:t>[Énfasis añadido]</w:t>
      </w:r>
    </w:p>
    <w:p w14:paraId="1D02485B"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Justamente, en torno a esta intima relación que se presenta entre la labor jurisdiccional del Poder Judicial y las labores auxiliares que presta todo órgano con las funciones de consejo de la judicatura, la Suprema Corte analiza con detenimiento que dicha comunicación debe ajustarse también a los principios de autonomía e independencia judicial, a saber:</w:t>
      </w:r>
    </w:p>
    <w:p w14:paraId="7B9E898C"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84. […] el papel del Tribunal Superior de Justicia de la Ciudad no se limita a ser una instancia enfocada sólo en las labores jurisdiccionales, sino que también juega un rol de contrapeso político que debe velar por que se cumplan, entre otros, los principios que tutelan la autonomía e independencia judicial.</w:t>
      </w:r>
    </w:p>
    <w:p w14:paraId="0C0FAC6F"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 xml:space="preserve">85. </w:t>
      </w:r>
      <w:r>
        <w:rPr>
          <w:rStyle w:val="Ninguno"/>
          <w:rFonts w:ascii="Century Gothic" w:hAnsi="Century Gothic"/>
          <w:b/>
          <w:bCs/>
          <w:sz w:val="24"/>
          <w:szCs w:val="24"/>
        </w:rPr>
        <w:t>Esta autonomía no sólo se vulnera cuando el Consejo invade la labor jurisdiccional o cuando el Tribunal irrumpe en las labores auxiliares del Consejo de la Judicatura, sino también cuando se imposibilita o dificulta la interlocución entre ambas instancias.</w:t>
      </w:r>
      <w:r>
        <w:rPr>
          <w:rFonts w:ascii="Century Gothic" w:hAnsi="Century Gothic"/>
          <w:sz w:val="24"/>
          <w:szCs w:val="24"/>
        </w:rPr>
        <w:t xml:space="preserve"> Así pues, si bien el diseño institucional del Tribunal Superior de Justicia en la Constitución capitalina habilita a aquél para enfocarse y concentrarse en su labor propiamente jurisdiccional, su </w:t>
      </w:r>
      <w:proofErr w:type="gramStart"/>
      <w:r>
        <w:rPr>
          <w:rFonts w:ascii="Century Gothic" w:hAnsi="Century Gothic"/>
          <w:sz w:val="24"/>
          <w:szCs w:val="24"/>
        </w:rPr>
        <w:t>Presidente</w:t>
      </w:r>
      <w:proofErr w:type="gramEnd"/>
      <w:r>
        <w:rPr>
          <w:rFonts w:ascii="Century Gothic" w:hAnsi="Century Gothic"/>
          <w:sz w:val="24"/>
          <w:szCs w:val="24"/>
        </w:rPr>
        <w:t xml:space="preserve"> tiene una función </w:t>
      </w:r>
      <w:r>
        <w:rPr>
          <w:rFonts w:ascii="Century Gothic" w:hAnsi="Century Gothic"/>
          <w:sz w:val="24"/>
          <w:szCs w:val="24"/>
        </w:rPr>
        <w:lastRenderedPageBreak/>
        <w:t>de interlocución con el Consejo y representa un órgano –el Tribunal– en el que también reside un poder soberano.</w:t>
      </w:r>
      <w:r>
        <w:rPr>
          <w:rFonts w:ascii="Century Gothic" w:eastAsia="Century Gothic" w:hAnsi="Century Gothic" w:cs="Century Gothic"/>
          <w:sz w:val="24"/>
          <w:szCs w:val="24"/>
        </w:rPr>
        <w:footnoteReference w:id="1"/>
      </w:r>
    </w:p>
    <w:p w14:paraId="5056D971" w14:textId="77777777" w:rsidR="0015360A" w:rsidRDefault="0015360A" w:rsidP="0015360A">
      <w:pPr>
        <w:pStyle w:val="Cita"/>
        <w:jc w:val="right"/>
        <w:rPr>
          <w:rFonts w:ascii="Century Gothic" w:eastAsia="Century Gothic" w:hAnsi="Century Gothic" w:cs="Century Gothic"/>
          <w:sz w:val="24"/>
          <w:szCs w:val="24"/>
        </w:rPr>
      </w:pPr>
      <w:r>
        <w:rPr>
          <w:rFonts w:ascii="Century Gothic" w:hAnsi="Century Gothic"/>
          <w:sz w:val="24"/>
          <w:szCs w:val="24"/>
        </w:rPr>
        <w:t>[Énfasis añadido]</w:t>
      </w:r>
    </w:p>
    <w:p w14:paraId="2EE0A9F4"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Más recientemente, al resolver la acción de inconstitucionalidad 15/2017 y sus acumuladas 16/2017, 18/2017 y 19/2017, la Suprema Corte advierte que los diseños y mecanismos que estructuran la decisión judicial desde del Consejo de la Judicatura –en ese caso de la Ciudad de México– son dables de analizarse a fin de encontrar si tutelan o vulneran la independencia judicial, ya del Poder Judicial en su conjunto, o bien, de la independencia y autonomía de cada uno de los jueces y magistrados.</w:t>
      </w:r>
    </w:p>
    <w:p w14:paraId="7BE4D0AD"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En dicho precedente, al analizar la composición del Consejo de la Judicatura de la Ciudad de México, el Alto Tribunal sostiene que, incluso, las atribuciones orgánicas, funcionales, sistemáticas y estructurales de dicho órgano inciden sobre las garantías de autonomía e independencia del Poder Judicial en sí mismo, en general y de los juzgados y tribunales de la Ciudad, en particular. Como del funcionamiento del Consejo de la Judicatura se determina, para bien o para mal, la independencia y autonomía que gozarán los jueces y magistrados –en la Ciudad de México– evidencia para la Suprema Corte que su tutela exige una conformación mayoritaria de jueces y magistrados que pertenecen al mismo Poder Judicial.</w:t>
      </w:r>
    </w:p>
    <w:p w14:paraId="1426714A"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lastRenderedPageBreak/>
        <w:t>Y por ello, advierte, el Consejo de la Judicatura también goza de la protección de la garantía de independencia y autonomía judiciales, pues es parte del Poder Judicial. Además, sostiene, debe ser independiente al cumplir sus funciones, tanto de agentes ajenos al Poder Judicial como de los jueces y magistrados, para facilitarles que centren su atención en sus labores propiamente jurisdiccionales.</w:t>
      </w:r>
    </w:p>
    <w:p w14:paraId="21D4E1DA"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Dicha conclusión es retomada por el Pleno del Alto Tribunal al resolver la controversia constitucional 112/2018, alude a las obligaciones internacionales de México, en cuanto que las entidades federativas deben tutelar ciertas garantías esenciales para el ejercicio de la función judicial, entre las que se encuentran las denominadas </w:t>
      </w:r>
      <w:r>
        <w:rPr>
          <w:rStyle w:val="Ninguno"/>
          <w:rFonts w:ascii="Century Gothic" w:hAnsi="Century Gothic"/>
          <w:b/>
          <w:bCs/>
          <w:lang w:val="es-ES_tradnl"/>
        </w:rPr>
        <w:t>“garantías reforzadas de estabilidad”</w:t>
      </w:r>
      <w:r>
        <w:rPr>
          <w:rStyle w:val="Ninguno"/>
          <w:rFonts w:ascii="Century Gothic" w:hAnsi="Century Gothic"/>
          <w:lang w:val="es-ES_tradnl"/>
        </w:rPr>
        <w:t>, así como, el énfasis que ha puesto la Corte IDH acerca de que no basta que haya preceptos legales que consagren la independencia judicial, sino que, es necesario que tenga verificativo en la práctica.</w:t>
      </w:r>
    </w:p>
    <w:p w14:paraId="7EE923FC" w14:textId="77777777" w:rsidR="0015360A" w:rsidRDefault="0015360A" w:rsidP="0015360A">
      <w:pPr>
        <w:pStyle w:val="Cuerpo"/>
        <w:rPr>
          <w:rFonts w:ascii="Century Gothic" w:eastAsia="Century Gothic" w:hAnsi="Century Gothic" w:cs="Century Gothic"/>
        </w:rPr>
      </w:pPr>
      <w:r>
        <w:rPr>
          <w:rFonts w:ascii="Century Gothic" w:hAnsi="Century Gothic"/>
          <w:lang w:val="es-ES_tradnl"/>
        </w:rPr>
        <w:t>(i) Inamovilidad en el cargo</w:t>
      </w:r>
    </w:p>
    <w:p w14:paraId="511678CD"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Como una de las denominadas garantías de independencia judicial encontramos inserta la inamovilidad de los juzgadores en su cargo. Al respecto, al resolver la controversia constitucional 33/2000 el Pleno de la Suprema Corte, analizando el procedimiento tendente a sancionar administrativamente a los jueces y demás servidores públicos del Poder Judicial del Estado de Morelos, determinó que, de los preceptos de la Ley Fundamental y de la legislación del Estado de Morelos, se puede apreciar que los procedimientos relativos, tanto a nivel Federal como local, se sustentan en un principio de transparencia en el ejercicio de la función del </w:t>
      </w:r>
      <w:r>
        <w:rPr>
          <w:rStyle w:val="Ninguno"/>
          <w:rFonts w:ascii="Century Gothic" w:hAnsi="Century Gothic"/>
          <w:lang w:val="es-ES_tradnl"/>
        </w:rPr>
        <w:lastRenderedPageBreak/>
        <w:t>servicio público; además, los procedimientos encaminados a determinar la responsabilidad, revisten características que los diferencian entre sí, lo que les brinda autonomía propia.</w:t>
      </w:r>
    </w:p>
    <w:p w14:paraId="66252CDB"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Para alcanzar tal conclusión, el Pleno advierte y verifica que los procedimientos tendentes a tener por acreditada la responsabilidad política y administrativa de los servidores públicos, guardan diferencias sustanciales entre sí, atendiendo al objeto, al sujeto y a las autoridades que intervienen en los mismos:</w:t>
      </w:r>
    </w:p>
    <w:p w14:paraId="3B36CC56"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Mientras que la responsabilidad política tiende a sancionar las conductas que atenten contra el ejercicio de la función pública, tratándose de actos u omisiones que redundan en perjuicio de los intereses públicos fundamentales o de su buen despacho; la administrativa es la que sanciona los actos u omisiones de los servidores públicos que afectan la legalidad, honradez, lealtad, imparcialidad y eficiencia que deben observar en el desempeño de sus empleos, cargos o comisiones.</w:t>
      </w:r>
    </w:p>
    <w:p w14:paraId="4049E5F8"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El primer aspecto, corresponde competencialmente al Congreso del Estado, por disposición de la Constitución local, como órgano de instrucción (acusador) y al Tribunal Superior de Justicia, como sancionador. Mientras que el segundo, corresponde al superior jerárquico del servidor público de que se trate.</w:t>
      </w:r>
    </w:p>
    <w:p w14:paraId="6E08360E"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lastRenderedPageBreak/>
        <w:t>Por otra parte, en el caso de los Jueces, toca al Consejo de la Judicatura local, conocer de su responsabilidad administrativa, quien en uso de las facultades que le concede la Constitución local y la Ley Orgánica del Poder Judicial, podrá instruir el procedimiento administrativo, para en su caso, aplicar la sanción procedente.</w:t>
      </w:r>
    </w:p>
    <w:p w14:paraId="4C0EA48E" w14:textId="77777777" w:rsidR="0015360A" w:rsidRDefault="0015360A" w:rsidP="0015360A">
      <w:pPr>
        <w:pStyle w:val="Cita"/>
        <w:jc w:val="right"/>
        <w:rPr>
          <w:rFonts w:ascii="Century Gothic" w:eastAsia="Century Gothic" w:hAnsi="Century Gothic" w:cs="Century Gothic"/>
          <w:sz w:val="24"/>
          <w:szCs w:val="24"/>
        </w:rPr>
      </w:pPr>
      <w:r>
        <w:rPr>
          <w:rFonts w:ascii="Century Gothic" w:hAnsi="Century Gothic"/>
          <w:sz w:val="24"/>
          <w:szCs w:val="24"/>
        </w:rPr>
        <w:t>[Énfasis añadido]</w:t>
      </w:r>
    </w:p>
    <w:p w14:paraId="68CBC3F5"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De esa forma, si bien existen facultades para controlar y vigilar administrativamente a los jueces, </w:t>
      </w:r>
      <w:proofErr w:type="gramStart"/>
      <w:r>
        <w:rPr>
          <w:rStyle w:val="Ninguno"/>
          <w:rFonts w:ascii="Century Gothic" w:hAnsi="Century Gothic"/>
          <w:lang w:val="es-ES_tradnl"/>
        </w:rPr>
        <w:t>esta no pueden</w:t>
      </w:r>
      <w:proofErr w:type="gramEnd"/>
      <w:r>
        <w:rPr>
          <w:rStyle w:val="Ninguno"/>
          <w:rFonts w:ascii="Century Gothic" w:hAnsi="Century Gothic"/>
          <w:lang w:val="es-ES_tradnl"/>
        </w:rPr>
        <w:t xml:space="preserve"> exceder los principios de independencia judicial, por lo que las garantías que los Estados deben otorgar para reforzar la independencia judicial se pueden agrupar en dos facetas: la institucional o de sistema y la funcional o del ejercicio individual de los operadores de justicia. Sobre el particular, la CoIDH ha distinguido entre la independencia </w:t>
      </w:r>
      <w:r>
        <w:rPr>
          <w:rStyle w:val="Ninguno"/>
          <w:rFonts w:ascii="Century Gothic" w:hAnsi="Century Gothic"/>
          <w:i/>
          <w:iCs/>
          <w:lang w:val="es-ES_tradnl"/>
        </w:rPr>
        <w:t>de jure</w:t>
      </w:r>
      <w:r>
        <w:rPr>
          <w:rStyle w:val="Ninguno"/>
          <w:rFonts w:ascii="Century Gothic" w:hAnsi="Century Gothic"/>
          <w:lang w:val="es-ES_tradnl"/>
        </w:rPr>
        <w:t xml:space="preserve"> y </w:t>
      </w:r>
      <w:r>
        <w:rPr>
          <w:rStyle w:val="Ninguno"/>
          <w:rFonts w:ascii="Century Gothic" w:hAnsi="Century Gothic"/>
          <w:i/>
          <w:iCs/>
          <w:lang w:val="es-ES_tradnl"/>
        </w:rPr>
        <w:t>de facto</w:t>
      </w:r>
      <w:r>
        <w:rPr>
          <w:rStyle w:val="Ninguno"/>
          <w:rFonts w:ascii="Century Gothic" w:hAnsi="Century Gothic"/>
          <w:lang w:val="es-ES_tradnl"/>
        </w:rPr>
        <w:t>, al precisar que “se requiere no sólo independencia jerárquica o institucional, sino también independencia real”.</w:t>
      </w:r>
      <w:r>
        <w:rPr>
          <w:rStyle w:val="Ninguno"/>
          <w:rFonts w:ascii="Century Gothic" w:eastAsia="Century Gothic" w:hAnsi="Century Gothic" w:cs="Century Gothic"/>
          <w:vertAlign w:val="superscript"/>
          <w:lang w:val="es-ES_tradnl"/>
        </w:rPr>
        <w:footnoteReference w:id="2"/>
      </w:r>
    </w:p>
    <w:p w14:paraId="6C298F2E"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Sobre los límites de la independencia real, conforme a su jurisprudencia reiterada, la CoIDH, al resolver el </w:t>
      </w:r>
      <w:r>
        <w:rPr>
          <w:rStyle w:val="Ninguno"/>
          <w:rFonts w:ascii="Century Gothic" w:hAnsi="Century Gothic"/>
          <w:i/>
          <w:iCs/>
          <w:lang w:val="es-ES_tradnl"/>
        </w:rPr>
        <w:t>caso De la Corte Suprema de Justicia (Quintana Coello y otros) vs. Ecuador</w:t>
      </w:r>
      <w:r>
        <w:rPr>
          <w:rStyle w:val="Ninguno"/>
          <w:rFonts w:ascii="Century Gothic" w:hAnsi="Century Gothic"/>
          <w:lang w:val="es-ES_tradnl"/>
        </w:rPr>
        <w:t xml:space="preserve"> consideró que “los jueces sólo pueden ser removidos por faltas de disciplina graves o incompetencia y acorde a procedimientos justos que aseguren la objetividad e imparcialidad según la Constitución o la ley. Sin embargo, </w:t>
      </w:r>
      <w:r>
        <w:rPr>
          <w:rStyle w:val="Ninguno"/>
          <w:rFonts w:ascii="Century Gothic" w:hAnsi="Century Gothic"/>
          <w:b/>
          <w:bCs/>
          <w:lang w:val="es-ES_tradnl"/>
        </w:rPr>
        <w:t xml:space="preserve">la Corte consideró que la garantía de </w:t>
      </w:r>
      <w:r>
        <w:rPr>
          <w:rStyle w:val="Ninguno"/>
          <w:rFonts w:ascii="Century Gothic" w:hAnsi="Century Gothic"/>
          <w:b/>
          <w:bCs/>
          <w:lang w:val="es-ES_tradnl"/>
        </w:rPr>
        <w:lastRenderedPageBreak/>
        <w:t>estabilidad de los jueces en el cargo no es absoluta. El derecho internacional de los derechos humanos admite que los jueces sean destituidos por conductas claramente reprochables</w:t>
      </w:r>
      <w:r>
        <w:rPr>
          <w:rStyle w:val="Ninguno"/>
          <w:rFonts w:ascii="Century Gothic" w:hAnsi="Century Gothic"/>
          <w:lang w:val="es-ES_tradnl"/>
        </w:rPr>
        <w:t>.”</w:t>
      </w:r>
    </w:p>
    <w:p w14:paraId="1166B73F"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Por cuanto hace a la faceta institucional, la Comisión IDH la ha comprendido en el sentido de que existan garantías suficientes que permitan que la institución o entidad de justicia no sea sometida a abusos o restricciones indebidas por parte de los otros poderes del Estado. Por lo tanto, toda situación en que las competencias del Poder Judicial y Ejecutivo no fueran claramente distinguibles o en donde este último estuviera en posibilidad de controlar al primero no resulta compatible con la acepción de tribunal independiente.</w:t>
      </w:r>
    </w:p>
    <w:p w14:paraId="2C90B624"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En lo que concierne a la faceta personal o al ejercicio individual de la judicatura, se refiere además a los procedimientos y las cualificaciones para la designación de los jueces, a las garantías relacionadas con la seguridad de su encargo hasta la edad de la jubilación obligatoria o terminación de su periodo, y a las condiciones que norman los ascensos, los traslados, la suspensión, la cesación de funciones y la independencia real del Poder Judicial respecto a los poderes Ejecutivo y Legislativo.</w:t>
      </w:r>
      <w:r>
        <w:rPr>
          <w:rStyle w:val="Ninguno"/>
          <w:rFonts w:ascii="Century Gothic" w:eastAsia="Century Gothic" w:hAnsi="Century Gothic" w:cs="Century Gothic"/>
          <w:vertAlign w:val="superscript"/>
          <w:lang w:val="es-ES_tradnl"/>
        </w:rPr>
        <w:footnoteReference w:id="3"/>
      </w:r>
    </w:p>
    <w:p w14:paraId="46A85D24"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lastRenderedPageBreak/>
        <w:t xml:space="preserve">En lo que se refiere a las autoridades encargadas de instaurar y resolver los procedimientos sobre la suspensión, remoción o destitución de un juez, la CoIDH, citando los </w:t>
      </w:r>
      <w:r>
        <w:rPr>
          <w:rStyle w:val="Ninguno"/>
          <w:rFonts w:ascii="Century Gothic" w:hAnsi="Century Gothic"/>
          <w:i/>
          <w:iCs/>
          <w:lang w:val="es-ES_tradnl"/>
        </w:rPr>
        <w:t>Principios básicos relativos a la independencia de la judicatura de las Naciones Unidas</w:t>
      </w:r>
      <w:r>
        <w:rPr>
          <w:rStyle w:val="Ninguno"/>
          <w:rFonts w:ascii="Century Gothic" w:hAnsi="Century Gothic"/>
          <w:lang w:val="es-ES_tradnl"/>
        </w:rPr>
        <w:t xml:space="preserve">, </w:t>
      </w:r>
      <w:r>
        <w:rPr>
          <w:rStyle w:val="Ninguno"/>
          <w:rFonts w:ascii="Century Gothic" w:hAnsi="Century Gothic"/>
          <w:u w:val="single"/>
          <w:lang w:val="es-ES_tradnl"/>
        </w:rPr>
        <w:t>enfatizó que el órgano encargado de ello siempre debe conducirse imparcialmente y permitir el ejercicio del derecho de defensa del sujeto a proceso, pues la libre remoción de jueces genera dudas en la opinión pública respecto de su posibilidad de resolver de manera efectiva las controversias concretas</w:t>
      </w:r>
      <w:r>
        <w:rPr>
          <w:rStyle w:val="Ninguno"/>
          <w:rFonts w:ascii="Century Gothic" w:hAnsi="Century Gothic"/>
          <w:lang w:val="es-ES_tradnl"/>
        </w:rPr>
        <w:t xml:space="preserve"> sin temor a represalias.</w:t>
      </w:r>
      <w:r>
        <w:rPr>
          <w:rStyle w:val="Ninguno"/>
          <w:rFonts w:ascii="Century Gothic" w:eastAsia="Century Gothic" w:hAnsi="Century Gothic" w:cs="Century Gothic"/>
          <w:vertAlign w:val="superscript"/>
          <w:lang w:val="es-ES_tradnl"/>
        </w:rPr>
        <w:footnoteReference w:id="4"/>
      </w:r>
      <w:r>
        <w:rPr>
          <w:rStyle w:val="Ninguno"/>
          <w:rFonts w:ascii="Century Gothic" w:hAnsi="Century Gothic"/>
          <w:lang w:val="es-ES_tradnl"/>
        </w:rPr>
        <w:t xml:space="preserve"> Así, se observa que en torno a la competencia judicial para resolver estos procedimientos, se citan reiteradamente los indicados Principios básicos y la </w:t>
      </w:r>
      <w:r>
        <w:rPr>
          <w:rStyle w:val="Ninguno"/>
          <w:rFonts w:ascii="Century Gothic" w:hAnsi="Century Gothic"/>
          <w:i/>
          <w:iCs/>
          <w:lang w:val="es-ES_tradnl"/>
        </w:rPr>
        <w:t>Observación General aprobada por el Comité de Derechos Humanos No. 32</w:t>
      </w:r>
      <w:r>
        <w:rPr>
          <w:rStyle w:val="Ninguno"/>
          <w:rFonts w:ascii="Century Gothic" w:hAnsi="Century Gothic"/>
          <w:lang w:val="es-ES_tradnl"/>
        </w:rPr>
        <w:t>, que en su párrafo 20 establece:</w:t>
      </w:r>
    </w:p>
    <w:p w14:paraId="440A14A8"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 xml:space="preserve">20. Los jueces podrán ser destituidos únicamente por razones graves de mala conducta o incompetencia, de conformidad con procedimientos equitativos que garanticen la objetividad y la imparcialidad establecidos en la Constitución o en la ley. La destitución de jueces por el poder ejecutivo, por ejemplo antes de la expiración del mandato para el que fueron nombrados, sin que se les dé ninguna razón concreta y sin que dispongan de una protección judicial efectiva para impugnar la destitución, es incompatible con la independencia del poder </w:t>
      </w:r>
      <w:proofErr w:type="gramStart"/>
      <w:r>
        <w:rPr>
          <w:rFonts w:ascii="Century Gothic" w:hAnsi="Century Gothic"/>
          <w:sz w:val="24"/>
          <w:szCs w:val="24"/>
        </w:rPr>
        <w:t>judicial{</w:t>
      </w:r>
      <w:proofErr w:type="gramEnd"/>
      <w:r>
        <w:rPr>
          <w:rFonts w:ascii="Century Gothic" w:hAnsi="Century Gothic"/>
          <w:sz w:val="24"/>
          <w:szCs w:val="24"/>
        </w:rPr>
        <w:t xml:space="preserve">§71}. Esto también se aplica, por ejemplo, a la destitución por el poder ejecutivo de jueces presuntamente corruptos sin que se siga ninguno de los procedimientos establecidos en la </w:t>
      </w:r>
      <w:proofErr w:type="gramStart"/>
      <w:r>
        <w:rPr>
          <w:rFonts w:ascii="Century Gothic" w:hAnsi="Century Gothic"/>
          <w:sz w:val="24"/>
          <w:szCs w:val="24"/>
        </w:rPr>
        <w:t>ley{</w:t>
      </w:r>
      <w:proofErr w:type="gramEnd"/>
      <w:r>
        <w:rPr>
          <w:rFonts w:ascii="Century Gothic" w:hAnsi="Century Gothic"/>
          <w:sz w:val="24"/>
          <w:szCs w:val="24"/>
        </w:rPr>
        <w:t>§72}.</w:t>
      </w:r>
    </w:p>
    <w:p w14:paraId="51C73E0F"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Igualmente, la CoIDH ha determinado que cuando los integrantes del órgano encargado de examinar y resolver sobre la responsabilidad disciplinaria de los jueces pueden ser removidos libremente, no existen las debidas garantías para asegurar que las presiones de otros órganos de gobierno puedan influenciar sus decisiones.</w:t>
      </w:r>
      <w:r>
        <w:rPr>
          <w:rStyle w:val="Ninguno"/>
          <w:rFonts w:ascii="Century Gothic" w:eastAsia="Century Gothic" w:hAnsi="Century Gothic" w:cs="Century Gothic"/>
          <w:vertAlign w:val="superscript"/>
          <w:lang w:val="es-ES_tradnl"/>
        </w:rPr>
        <w:footnoteReference w:id="5"/>
      </w:r>
    </w:p>
    <w:p w14:paraId="63A494CC"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Como se señaló anteriormente, la CoIDH ha señalado que la garantía de inamovilidad no es absoluta, pues es legítimo remover a un juez antes de que concluya el periodo para el cual fue designado siempre que se haga en razón de causas graves que deben estar previamente definidas por el texto constitucional o la ley, mediante un procedimiento en el que la persona en cuestión tenga la oportunidad de defenderse y se respeten las garantías del debido proceso, pues de lo contrario se mermaría el derecho a la independencia judicial, así como el derecho de acceso y permanencia en condiciones de igualdad en un cargo público, previstos respectivamente en los artículos 8.1 y 23.1, inciso c) de la CADH.</w:t>
      </w:r>
    </w:p>
    <w:p w14:paraId="3BED3DA9"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En lo relativo a la destitución de los jueces, la CoIDH ha invocado los </w:t>
      </w:r>
      <w:r>
        <w:rPr>
          <w:rStyle w:val="Ninguno"/>
          <w:rFonts w:ascii="Century Gothic" w:hAnsi="Century Gothic"/>
          <w:i/>
          <w:iCs/>
          <w:lang w:val="es-ES_tradnl"/>
        </w:rPr>
        <w:t>Principios básicos relativos a la independencia de la judicatura de la ONU</w:t>
      </w:r>
      <w:r>
        <w:rPr>
          <w:rStyle w:val="Ninguno"/>
          <w:rFonts w:ascii="Century Gothic" w:hAnsi="Century Gothic"/>
          <w:lang w:val="es-ES_tradnl"/>
        </w:rPr>
        <w:t>:</w:t>
      </w:r>
    </w:p>
    <w:p w14:paraId="17635749"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La independencia de la judicatura será garantizada por el Estado y proclamada por la Constitución o la legislación del país. Todas las instituciones gubernamentales y de otra índole respetarán y acatarán la independencia de la judicatura.</w:t>
      </w:r>
    </w:p>
    <w:p w14:paraId="59184BA8" w14:textId="77777777" w:rsidR="0015360A" w:rsidRDefault="0015360A" w:rsidP="0015360A">
      <w:pPr>
        <w:pStyle w:val="Cita"/>
        <w:rPr>
          <w:rFonts w:ascii="Century Gothic" w:eastAsia="Century Gothic" w:hAnsi="Century Gothic" w:cs="Century Gothic"/>
          <w:sz w:val="24"/>
          <w:szCs w:val="24"/>
        </w:rPr>
      </w:pPr>
      <w:r>
        <w:rPr>
          <w:rFonts w:ascii="Century Gothic" w:hAnsi="Century Gothic"/>
          <w:sz w:val="24"/>
          <w:szCs w:val="24"/>
        </w:rPr>
        <w:t>Toda acusación o queja formulada contra un juez, por su actuación judicial y profesional, se tramitará con prontitud e imparcialidad con arreglo al procedimiento pertinente. El Juez tendrá el derecho a ser oído imparcialmente. En esa etapa inicial, el examen de la cuestión será confidencial, a menos que el juez solicite lo contrario.</w:t>
      </w:r>
      <w:r>
        <w:rPr>
          <w:rStyle w:val="Ninguno"/>
          <w:rFonts w:ascii="Century Gothic" w:eastAsia="Century Gothic" w:hAnsi="Century Gothic" w:cs="Century Gothic"/>
          <w:sz w:val="24"/>
          <w:szCs w:val="24"/>
          <w:vertAlign w:val="superscript"/>
        </w:rPr>
        <w:footnoteReference w:id="6"/>
      </w:r>
    </w:p>
    <w:p w14:paraId="141B5875"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La CoIDH ha dejado en claro que cuando los jueces no cuentan con las garantías suficientes de </w:t>
      </w:r>
      <w:r>
        <w:rPr>
          <w:rStyle w:val="Ninguno"/>
          <w:rFonts w:ascii="Century Gothic" w:hAnsi="Century Gothic"/>
          <w:b/>
          <w:bCs/>
          <w:lang w:val="es-ES_tradnl"/>
        </w:rPr>
        <w:t>inamovilidad</w:t>
      </w:r>
      <w:r>
        <w:rPr>
          <w:rStyle w:val="Ninguno"/>
          <w:rFonts w:ascii="Century Gothic" w:hAnsi="Century Gothic"/>
          <w:lang w:val="es-ES_tradnl"/>
        </w:rPr>
        <w:t xml:space="preserve"> se afecta el derecho a un juez independiente.</w:t>
      </w:r>
      <w:r>
        <w:rPr>
          <w:rStyle w:val="Ninguno"/>
          <w:rFonts w:ascii="Century Gothic" w:eastAsia="Century Gothic" w:hAnsi="Century Gothic" w:cs="Century Gothic"/>
          <w:vertAlign w:val="superscript"/>
          <w:lang w:val="es-ES_tradnl"/>
        </w:rPr>
        <w:footnoteReference w:id="7"/>
      </w:r>
      <w:r>
        <w:rPr>
          <w:rStyle w:val="Ninguno"/>
          <w:rFonts w:ascii="Century Gothic" w:hAnsi="Century Gothic"/>
          <w:lang w:val="es-ES_tradnl"/>
        </w:rPr>
        <w:t xml:space="preserve"> En ese sentido se considera como una </w:t>
      </w:r>
      <w:r>
        <w:rPr>
          <w:rStyle w:val="Ninguno"/>
          <w:rFonts w:ascii="Century Gothic" w:hAnsi="Century Gothic"/>
          <w:b/>
          <w:bCs/>
          <w:lang w:val="es-ES_tradnl"/>
        </w:rPr>
        <w:t>garantía reforzada tratándose de jueces.</w:t>
      </w:r>
    </w:p>
    <w:p w14:paraId="781D2D9C"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La inamovilidad está compuesta a su vez por las garantías: a) permanencia en el cargo y b) no despido injustificado o libre remoción. En este último sentido, la CoIDH ha destacado que la garantía de inamovilidad debe ser eficaz para permitir la reincorporación a la condición de magistrado de quien fue arbitrariamente privado de ella y el reintegro de los salarios dejados de percibir.</w:t>
      </w:r>
      <w:r>
        <w:rPr>
          <w:rStyle w:val="Ninguno"/>
          <w:rFonts w:ascii="Century Gothic" w:eastAsia="Century Gothic" w:hAnsi="Century Gothic" w:cs="Century Gothic"/>
          <w:vertAlign w:val="superscript"/>
          <w:lang w:val="es-ES_tradnl"/>
        </w:rPr>
        <w:footnoteReference w:id="8"/>
      </w:r>
    </w:p>
    <w:p w14:paraId="126BA0DA" w14:textId="77777777" w:rsidR="0015360A" w:rsidRDefault="0015360A" w:rsidP="0015360A">
      <w:pPr>
        <w:pStyle w:val="Cuerpo"/>
        <w:rPr>
          <w:rFonts w:ascii="Century Gothic" w:eastAsia="Century Gothic" w:hAnsi="Century Gothic" w:cs="Century Gothic"/>
        </w:rPr>
      </w:pPr>
      <w:r>
        <w:rPr>
          <w:rStyle w:val="Ninguno"/>
          <w:rFonts w:ascii="Century Gothic" w:hAnsi="Century Gothic"/>
          <w:lang w:val="es-ES_tradnl"/>
        </w:rPr>
        <w:t xml:space="preserve">Asimismo, la CoIDH afirmó que las causas por las que se puede suspender o remover a un juez </w:t>
      </w:r>
      <w:r>
        <w:rPr>
          <w:rStyle w:val="Ninguno"/>
          <w:rFonts w:ascii="Century Gothic" w:hAnsi="Century Gothic"/>
          <w:b/>
          <w:bCs/>
          <w:lang w:val="es-ES_tradnl"/>
        </w:rPr>
        <w:t>en cuanto a su desempeño</w:t>
      </w:r>
      <w:r>
        <w:rPr>
          <w:rStyle w:val="Ninguno"/>
          <w:rFonts w:ascii="Century Gothic" w:hAnsi="Century Gothic"/>
          <w:lang w:val="es-ES_tradnl"/>
        </w:rPr>
        <w:t xml:space="preserve"> radican en su mala conducta o en su incompetencia, por lo que no se debe encubrir bajo estos parámetros el derecho del juez a disentir y revocar una decisión jurisdiccional de un órgano judicial superior,</w:t>
      </w:r>
      <w:r>
        <w:rPr>
          <w:rStyle w:val="Ninguno"/>
          <w:rFonts w:ascii="Century Gothic" w:eastAsia="Century Gothic" w:hAnsi="Century Gothic" w:cs="Century Gothic"/>
          <w:vertAlign w:val="superscript"/>
          <w:lang w:val="es-ES_tradnl"/>
        </w:rPr>
        <w:footnoteReference w:id="9"/>
      </w:r>
      <w:r>
        <w:rPr>
          <w:rStyle w:val="Ninguno"/>
          <w:rFonts w:ascii="Century Gothic" w:hAnsi="Century Gothic"/>
          <w:lang w:val="es-ES_tradnl"/>
        </w:rPr>
        <w:t xml:space="preserve"> este es un criterio acorde al </w:t>
      </w:r>
      <w:r>
        <w:rPr>
          <w:rStyle w:val="Ninguno"/>
          <w:rFonts w:ascii="Century Gothic" w:hAnsi="Century Gothic"/>
          <w:i/>
          <w:iCs/>
          <w:lang w:val="es-ES_tradnl"/>
        </w:rPr>
        <w:t>Estatuto del Juez Iberoamericano</w:t>
      </w:r>
      <w:r>
        <w:rPr>
          <w:rStyle w:val="Ninguno"/>
          <w:rFonts w:ascii="Century Gothic" w:hAnsi="Century Gothic"/>
          <w:lang w:val="es-ES_tradnl"/>
        </w:rPr>
        <w:t xml:space="preserve">, que en su artículo 19 señala que la exigencia de responsabilidad no amparará los atentados contra la independencia judicial que pretendan encubrirse bajo su formal cobertura. En el mismo sentido, los Principios 18, 19 y 20 de los </w:t>
      </w:r>
      <w:r>
        <w:rPr>
          <w:rStyle w:val="Ninguno"/>
          <w:rFonts w:ascii="Century Gothic" w:hAnsi="Century Gothic"/>
          <w:i/>
          <w:iCs/>
          <w:lang w:val="es-ES_tradnl"/>
        </w:rPr>
        <w:t xml:space="preserve">Principios básicos relativos a la independencia de la judicatura de la ONU </w:t>
      </w:r>
      <w:r>
        <w:rPr>
          <w:rStyle w:val="Ninguno"/>
          <w:rFonts w:ascii="Century Gothic" w:hAnsi="Century Gothic"/>
          <w:lang w:val="es-ES_tradnl"/>
        </w:rPr>
        <w:t>determina que los jueces sólo pueden ser suspendidos o separados de su encargo por incapacidad o por un comportamiento que los inhabilite para desempeñar sus funciones, para lo cual deberá seguirse un procedimiento establecido en las leyes, cuya decisión estará sujeta a una revisión independiente.</w:t>
      </w:r>
      <w:r>
        <w:rPr>
          <w:rStyle w:val="Ninguno"/>
          <w:rFonts w:ascii="Century Gothic" w:eastAsia="Century Gothic" w:hAnsi="Century Gothic" w:cs="Century Gothic"/>
          <w:vertAlign w:val="superscript"/>
          <w:lang w:val="es-ES_tradnl"/>
        </w:rPr>
        <w:footnoteReference w:id="10"/>
      </w:r>
    </w:p>
    <w:p w14:paraId="46068351" w14:textId="77777777" w:rsidR="0015360A" w:rsidRDefault="0015360A" w:rsidP="0015360A">
      <w:pPr>
        <w:pStyle w:val="Cuerpo"/>
        <w:rPr>
          <w:rFonts w:ascii="Century Gothic" w:eastAsia="Century Gothic" w:hAnsi="Century Gothic" w:cs="Century Gothic"/>
        </w:rPr>
      </w:pPr>
      <w:r>
        <w:rPr>
          <w:rFonts w:ascii="Century Gothic" w:hAnsi="Century Gothic"/>
          <w:lang w:val="es-ES_tradnl"/>
        </w:rPr>
        <w:t>Las condiciones actuales del Poder Judicial del Estado de Chihuahua, es que ha habido ataques a la independencia judicial por parte del propio Consejo de la Judicatura en contra de algunos de los juzgadores de Chihuahua, motivo por el cual es relevante la reforma por este medio propuesta</w:t>
      </w:r>
      <w:r>
        <w:rPr>
          <w:rFonts w:ascii="Century Gothic" w:hAnsi="Century Gothic"/>
        </w:rPr>
        <w:t xml:space="preserve">. </w:t>
      </w:r>
    </w:p>
    <w:p w14:paraId="02E89624" w14:textId="77777777" w:rsidR="0015360A" w:rsidRDefault="0015360A" w:rsidP="0015360A">
      <w:pPr>
        <w:pStyle w:val="Cuerpo"/>
        <w:rPr>
          <w:rStyle w:val="Ninguno"/>
          <w:rFonts w:ascii="Century Gothic" w:eastAsia="Century Gothic" w:hAnsi="Century Gothic" w:cs="Century Gothic"/>
          <w:lang w:val="es-ES_tradnl"/>
        </w:rPr>
      </w:pPr>
      <w:r>
        <w:rPr>
          <w:rFonts w:ascii="Century Gothic" w:hAnsi="Century Gothic"/>
          <w:lang w:val="pt-PT"/>
        </w:rPr>
        <w:t xml:space="preserve">Como insumo valorativo </w:t>
      </w:r>
      <w:r>
        <w:rPr>
          <w:rFonts w:ascii="Century Gothic" w:hAnsi="Century Gothic"/>
          <w:lang w:val="es-ES_tradnl"/>
        </w:rPr>
        <w:t>de esta reforma, se evidencia la situación denunciada directamente ante esta propia Soberanía, por la Jueza D</w:t>
      </w:r>
      <w:r>
        <w:rPr>
          <w:rFonts w:ascii="Century Gothic" w:hAnsi="Century Gothic"/>
          <w:lang w:val="fr-FR"/>
        </w:rPr>
        <w:t>é</w:t>
      </w:r>
      <w:r>
        <w:rPr>
          <w:rFonts w:ascii="Century Gothic" w:hAnsi="Century Gothic"/>
          <w:lang w:val="es-ES_tradnl"/>
        </w:rPr>
        <w:t>cimo Familiar por Audiencias, Sabela Patricia Asiain Hernández, con adscripción en el Distrito Judicial Morelos, en relación a actos de acoso, intimidació</w:t>
      </w:r>
      <w:r>
        <w:rPr>
          <w:rFonts w:ascii="Century Gothic" w:hAnsi="Century Gothic"/>
        </w:rPr>
        <w:t xml:space="preserve">n </w:t>
      </w:r>
      <w:r>
        <w:rPr>
          <w:rFonts w:ascii="Century Gothic" w:hAnsi="Century Gothic"/>
          <w:lang w:val="es-ES_tradnl"/>
        </w:rPr>
        <w:t>y discriminación, que impactan directamente en el ejercicio de su función jurisdiccional y en general, de la correcta la impartición de justicia y eficacia de los contenido en los art</w:t>
      </w:r>
      <w:r>
        <w:rPr>
          <w:rFonts w:ascii="Century Gothic" w:hAnsi="Century Gothic"/>
        </w:rPr>
        <w:t>í</w:t>
      </w:r>
      <w:r>
        <w:rPr>
          <w:rFonts w:ascii="Century Gothic" w:hAnsi="Century Gothic"/>
          <w:lang w:val="es-ES_tradnl"/>
        </w:rPr>
        <w:t xml:space="preserve">culos 1o., 14, 16 y 17 </w:t>
      </w:r>
      <w:r>
        <w:rPr>
          <w:rStyle w:val="Ninguno"/>
          <w:rFonts w:ascii="Century Gothic" w:hAnsi="Century Gothic"/>
          <w:lang w:val="es-ES_tradnl"/>
        </w:rPr>
        <w:t>de la Constitución Política de los Estados Unidos Mexicanos en relación con los diversos 8 y 25 de la Convención Americana sobre Derechos Humanos y 1, 2 y 14 del Pacto Internacional de los Derechos Civiles y Políticos.</w:t>
      </w:r>
    </w:p>
    <w:p w14:paraId="2FD4A325" w14:textId="77777777" w:rsidR="0015360A" w:rsidRDefault="0015360A" w:rsidP="0015360A">
      <w:pPr>
        <w:pStyle w:val="Cuerpo"/>
        <w:rPr>
          <w:rStyle w:val="Ninguno"/>
          <w:rFonts w:ascii="Century Gothic" w:eastAsia="Century Gothic" w:hAnsi="Century Gothic" w:cs="Century Gothic"/>
          <w:lang w:val="es-ES_tradnl"/>
        </w:rPr>
      </w:pPr>
      <w:r>
        <w:rPr>
          <w:rStyle w:val="Ninguno"/>
          <w:rFonts w:ascii="Century Gothic" w:hAnsi="Century Gothic"/>
          <w:lang w:val="es-ES_tradnl"/>
        </w:rPr>
        <w:t xml:space="preserve">A mayor abundamiento, esta Soberanía puede obtener información detallada del caso aquí referido de </w:t>
      </w:r>
      <w:r>
        <w:rPr>
          <w:rFonts w:ascii="Century Gothic" w:hAnsi="Century Gothic"/>
          <w:lang w:val="es-ES_tradnl"/>
        </w:rPr>
        <w:t>la Jueza Sabela Patricia Asiain Hernández,</w:t>
      </w:r>
      <w:r>
        <w:rPr>
          <w:rStyle w:val="Ninguno"/>
          <w:rFonts w:ascii="Century Gothic" w:hAnsi="Century Gothic"/>
          <w:lang w:val="es-ES_tradnl"/>
        </w:rPr>
        <w:t xml:space="preserve"> a través de las versiones públicas del Sistema Integral de Seguimiento de Expedientes del Poder Judicial de la </w:t>
      </w:r>
      <w:proofErr w:type="gramStart"/>
      <w:r>
        <w:rPr>
          <w:rStyle w:val="Ninguno"/>
          <w:rFonts w:ascii="Century Gothic" w:hAnsi="Century Gothic"/>
          <w:lang w:val="es-ES_tradnl"/>
        </w:rPr>
        <w:t>Federación,  en</w:t>
      </w:r>
      <w:proofErr w:type="gramEnd"/>
      <w:r>
        <w:rPr>
          <w:rStyle w:val="Ninguno"/>
          <w:rFonts w:ascii="Century Gothic" w:hAnsi="Century Gothic"/>
          <w:lang w:val="es-ES_tradnl"/>
        </w:rPr>
        <w:t xml:space="preserve"> relación a la defensa que realiza la Jueza a su independencia judicial, ante la persecución que hace en su contra  el Poder Judicial del Estado de Chihuahua, según consta en los expedientes siguientes:</w:t>
      </w:r>
    </w:p>
    <w:p w14:paraId="0B838189" w14:textId="77777777" w:rsidR="0015360A" w:rsidRDefault="0015360A" w:rsidP="0015360A">
      <w:pPr>
        <w:pStyle w:val="Cuerpo"/>
        <w:rPr>
          <w:rStyle w:val="Ninguno"/>
          <w:rFonts w:ascii="Century Gothic" w:eastAsia="Century Gothic" w:hAnsi="Century Gothic" w:cs="Century Gothic"/>
          <w:lang w:val="es-ES_tradnl"/>
        </w:rPr>
      </w:pPr>
      <w:r>
        <w:rPr>
          <w:rStyle w:val="Ninguno"/>
          <w:rFonts w:ascii="Century Gothic" w:hAnsi="Century Gothic"/>
          <w:b/>
          <w:bCs/>
          <w:lang w:val="es-ES_tradnl"/>
        </w:rPr>
        <w:t>Juicio de amparo 1391/2022</w:t>
      </w:r>
      <w:r>
        <w:rPr>
          <w:rStyle w:val="Ninguno"/>
          <w:rFonts w:ascii="Century Gothic" w:hAnsi="Century Gothic"/>
          <w:lang w:val="es-ES_tradnl"/>
        </w:rPr>
        <w:t xml:space="preserve"> del índice del Juzgado Décimo de Distrito en Chihuahua, reclamando la omisión de la </w:t>
      </w:r>
      <w:r>
        <w:rPr>
          <w:rStyle w:val="Ninguno"/>
          <w:rFonts w:ascii="Century Gothic" w:hAnsi="Century Gothic"/>
          <w:b/>
          <w:bCs/>
          <w:lang w:val="es-ES_tradnl"/>
        </w:rPr>
        <w:t>Unidad de Investigación de Responsabilidades Administrativas</w:t>
      </w:r>
      <w:r>
        <w:rPr>
          <w:rStyle w:val="Ninguno"/>
          <w:rFonts w:ascii="Century Gothic" w:hAnsi="Century Gothic"/>
          <w:lang w:val="es-ES_tradnl"/>
        </w:rPr>
        <w:t xml:space="preserve">, de investigar la denuncia de la Jueza en contra de un </w:t>
      </w:r>
      <w:proofErr w:type="gramStart"/>
      <w:r>
        <w:rPr>
          <w:rStyle w:val="Ninguno"/>
          <w:rFonts w:ascii="Century Gothic" w:hAnsi="Century Gothic"/>
          <w:lang w:val="es-ES_tradnl"/>
        </w:rPr>
        <w:t>Consejero</w:t>
      </w:r>
      <w:proofErr w:type="gramEnd"/>
      <w:r>
        <w:rPr>
          <w:rStyle w:val="Ninguno"/>
          <w:rFonts w:ascii="Century Gothic" w:hAnsi="Century Gothic"/>
          <w:lang w:val="es-ES_tradnl"/>
        </w:rPr>
        <w:t xml:space="preserve"> de la Judicatura, por amenazas y actos de corrupción realizados el 6 de junio del 2022.  De este juicio deriva el </w:t>
      </w:r>
      <w:r>
        <w:rPr>
          <w:rStyle w:val="Ninguno"/>
          <w:rFonts w:ascii="Century Gothic" w:hAnsi="Century Gothic"/>
          <w:b/>
          <w:bCs/>
          <w:lang w:val="es-ES_tradnl"/>
        </w:rPr>
        <w:t>amparo en revisión 890/2022</w:t>
      </w:r>
      <w:r>
        <w:rPr>
          <w:rStyle w:val="Ninguno"/>
          <w:rFonts w:ascii="Century Gothic" w:hAnsi="Century Gothic"/>
          <w:lang w:val="es-ES_tradnl"/>
        </w:rPr>
        <w:t xml:space="preserve"> del índice del Primer Tribunal Colegiado en materias Penal y Administrativas en el Estado de Chihuahua, en que la responsable, U.I.R.A. reclama </w:t>
      </w:r>
      <w:proofErr w:type="gramStart"/>
      <w:r>
        <w:rPr>
          <w:rStyle w:val="Ninguno"/>
          <w:rFonts w:ascii="Century Gothic" w:hAnsi="Century Gothic"/>
          <w:lang w:val="es-ES_tradnl"/>
        </w:rPr>
        <w:t>la  suspensión</w:t>
      </w:r>
      <w:proofErr w:type="gramEnd"/>
      <w:r>
        <w:rPr>
          <w:rStyle w:val="Ninguno"/>
          <w:rFonts w:ascii="Century Gothic" w:hAnsi="Century Gothic"/>
          <w:lang w:val="es-ES_tradnl"/>
        </w:rPr>
        <w:t xml:space="preserve"> definitiva otorgada para permitirle  a la Jueza quejosa participar como parte activa en la investigación de las amenazas y extorsión cometida en su contra. Es decir, la Unidad de Investigación de Responsabilidades Administrativas, reclama su derecho a llevar a cabo la investigación en secreto sin dejar a la Jueza participar en la investigación en contra del Consejero, a diferencia de lo que hace, en el </w:t>
      </w:r>
      <w:proofErr w:type="gramStart"/>
      <w:r>
        <w:rPr>
          <w:rStyle w:val="Ninguno"/>
          <w:rFonts w:ascii="Century Gothic" w:hAnsi="Century Gothic"/>
          <w:lang w:val="es-ES_tradnl"/>
        </w:rPr>
        <w:t>caso  de</w:t>
      </w:r>
      <w:proofErr w:type="gramEnd"/>
      <w:r>
        <w:rPr>
          <w:rStyle w:val="Ninguno"/>
          <w:rFonts w:ascii="Century Gothic" w:hAnsi="Century Gothic"/>
          <w:lang w:val="es-ES_tradnl"/>
        </w:rPr>
        <w:t xml:space="preserve"> una denuncia del Sindicato en contra de la Jueza, según se reclama en el juicio de amparo </w:t>
      </w:r>
      <w:r>
        <w:rPr>
          <w:rStyle w:val="Ninguno"/>
          <w:rFonts w:ascii="Century Gothic" w:hAnsi="Century Gothic"/>
          <w:b/>
          <w:bCs/>
          <w:lang w:val="es-ES_tradnl"/>
        </w:rPr>
        <w:t>1249/2022</w:t>
      </w:r>
      <w:r>
        <w:rPr>
          <w:rStyle w:val="Ninguno"/>
          <w:rFonts w:ascii="Century Gothic" w:hAnsi="Century Gothic"/>
          <w:lang w:val="es-ES_tradnl"/>
        </w:rPr>
        <w:t xml:space="preserve"> del mismo Juzgado Décimo de Distrito. También del mismo juicio 1391/2022, deriva la </w:t>
      </w:r>
      <w:r>
        <w:rPr>
          <w:rStyle w:val="Ninguno"/>
          <w:rFonts w:ascii="Century Gothic" w:hAnsi="Century Gothic"/>
          <w:b/>
          <w:bCs/>
          <w:lang w:val="es-ES_tradnl"/>
        </w:rPr>
        <w:t>Queja 415/2022</w:t>
      </w:r>
      <w:r>
        <w:rPr>
          <w:rStyle w:val="Ninguno"/>
          <w:rFonts w:ascii="Century Gothic" w:hAnsi="Century Gothic"/>
          <w:lang w:val="es-ES_tradnl"/>
        </w:rPr>
        <w:t xml:space="preserve"> del índice del </w:t>
      </w:r>
      <w:proofErr w:type="gramStart"/>
      <w:r>
        <w:rPr>
          <w:rStyle w:val="Ninguno"/>
          <w:rFonts w:ascii="Century Gothic" w:hAnsi="Century Gothic"/>
          <w:lang w:val="es-ES_tradnl"/>
        </w:rPr>
        <w:t>citado  Tribunal</w:t>
      </w:r>
      <w:proofErr w:type="gramEnd"/>
      <w:r>
        <w:rPr>
          <w:rStyle w:val="Ninguno"/>
          <w:rFonts w:ascii="Century Gothic" w:hAnsi="Century Gothic"/>
          <w:lang w:val="es-ES_tradnl"/>
        </w:rPr>
        <w:t xml:space="preserve"> Colegiado, en que se reclama el desechamiento de la ampliación de la demanda en contra de actos de corrupción cometidos durante el procedimiento de investigación en contra del Consejero de la Judicatura investigado, para encubrirlo.</w:t>
      </w:r>
    </w:p>
    <w:p w14:paraId="4F0D2D00" w14:textId="77777777" w:rsidR="0015360A" w:rsidRDefault="0015360A" w:rsidP="0015360A">
      <w:pPr>
        <w:pStyle w:val="Cuerpo"/>
        <w:rPr>
          <w:rStyle w:val="Ninguno"/>
          <w:rFonts w:ascii="Century Gothic" w:eastAsia="Century Gothic" w:hAnsi="Century Gothic" w:cs="Century Gothic"/>
          <w:lang w:val="es-ES_tradnl"/>
        </w:rPr>
      </w:pPr>
      <w:r>
        <w:rPr>
          <w:rStyle w:val="Ninguno"/>
          <w:rFonts w:ascii="Century Gothic" w:hAnsi="Century Gothic"/>
          <w:b/>
          <w:bCs/>
          <w:lang w:val="es-ES_tradnl"/>
        </w:rPr>
        <w:t>Juicio de Amparo 1626/2022</w:t>
      </w:r>
      <w:r>
        <w:rPr>
          <w:rStyle w:val="Ninguno"/>
          <w:rFonts w:ascii="Century Gothic" w:hAnsi="Century Gothic"/>
          <w:lang w:val="es-ES_tradnl"/>
        </w:rPr>
        <w:t xml:space="preserve"> del índice del Juzgado Décimo Segundo de Distrito en Chihuahua, reclamando la omisión de la </w:t>
      </w:r>
      <w:r>
        <w:rPr>
          <w:rStyle w:val="Ninguno"/>
          <w:rFonts w:ascii="Century Gothic" w:hAnsi="Century Gothic"/>
          <w:b/>
          <w:bCs/>
          <w:lang w:val="es-ES_tradnl"/>
        </w:rPr>
        <w:t>Unidad de Investigación de Responsabilidades Administrativas</w:t>
      </w:r>
      <w:r>
        <w:rPr>
          <w:rStyle w:val="Ninguno"/>
          <w:rFonts w:ascii="Century Gothic" w:hAnsi="Century Gothic"/>
          <w:lang w:val="es-ES_tradnl"/>
        </w:rPr>
        <w:t xml:space="preserve">, de investigar la denuncia de la Jueza en contra de la investigadora que investigaba al Consejero de la Judicatura, por alteración de los hechos en las actas con los registros de la investigación, el 9 de agosto del 2022, ya que al investigar los hechos del 6 de junio del 2022, cometidos por  el Consejero de la Judicatura, en contra de la Jueza, alteró el acta de la entrevista a una testigo presencial de esos hechos, encubriendo así la investigadora al Consejero. En este juicio de amparo se concedió la suspensión definitiva en contra </w:t>
      </w:r>
      <w:proofErr w:type="gramStart"/>
      <w:r>
        <w:rPr>
          <w:rStyle w:val="Ninguno"/>
          <w:rFonts w:ascii="Century Gothic" w:hAnsi="Century Gothic"/>
          <w:lang w:val="es-ES_tradnl"/>
        </w:rPr>
        <w:t>del la solicitud</w:t>
      </w:r>
      <w:proofErr w:type="gramEnd"/>
      <w:r>
        <w:rPr>
          <w:rStyle w:val="Ninguno"/>
          <w:rFonts w:ascii="Century Gothic" w:hAnsi="Century Gothic"/>
          <w:lang w:val="es-ES_tradnl"/>
        </w:rPr>
        <w:t xml:space="preserve"> que formuló la U.I.R.A. al Consejo de la Judicatura, ya que dicha Unidad determinó no iniciar la investigación solicitada por la Jueza y en su lugar pide instrucciones al Consejo de si debe o no iniciar el trámite de Responsabilidad Administrativa en contra de la investigadora que es acusada de encubrir los actos de corrupción denunciados en contra del Consejero de la Judicatura.  Sin embargo, se negó la suspensión tanto provisional como definitiva, para el efecto de que se ordenara a la U.I.RA. iniciar la investigación. El Primer Tribunal Colegiado en materias Penal y Administrativas en el Estado de </w:t>
      </w:r>
      <w:proofErr w:type="gramStart"/>
      <w:r>
        <w:rPr>
          <w:rStyle w:val="Ninguno"/>
          <w:rFonts w:ascii="Century Gothic" w:hAnsi="Century Gothic"/>
          <w:lang w:val="es-ES_tradnl"/>
        </w:rPr>
        <w:t>Chihuahua,  confirmó</w:t>
      </w:r>
      <w:proofErr w:type="gramEnd"/>
      <w:r>
        <w:rPr>
          <w:rStyle w:val="Ninguno"/>
          <w:rFonts w:ascii="Century Gothic" w:hAnsi="Century Gothic"/>
          <w:lang w:val="es-ES_tradnl"/>
        </w:rPr>
        <w:t xml:space="preserve"> la negativa a que se ordene iniciar la investigación, al resolver la </w:t>
      </w:r>
      <w:r>
        <w:rPr>
          <w:rStyle w:val="Ninguno"/>
          <w:rFonts w:ascii="Century Gothic" w:hAnsi="Century Gothic"/>
          <w:b/>
          <w:bCs/>
          <w:lang w:val="es-ES_tradnl"/>
        </w:rPr>
        <w:t>Queja Urgente 425/2022</w:t>
      </w:r>
      <w:r>
        <w:rPr>
          <w:rStyle w:val="Ninguno"/>
          <w:rFonts w:ascii="Century Gothic" w:hAnsi="Century Gothic"/>
          <w:lang w:val="es-ES_tradnl"/>
        </w:rPr>
        <w:t xml:space="preserve">. Esta resolución contiene un criterio contradictorio con la </w:t>
      </w:r>
      <w:r>
        <w:rPr>
          <w:rStyle w:val="Ninguno"/>
          <w:rFonts w:ascii="Century Gothic" w:hAnsi="Century Gothic"/>
          <w:b/>
          <w:bCs/>
          <w:lang w:val="es-ES_tradnl"/>
        </w:rPr>
        <w:t>Queja Urgente 440/2022</w:t>
      </w:r>
      <w:r>
        <w:rPr>
          <w:rStyle w:val="Ninguno"/>
          <w:rFonts w:ascii="Century Gothic" w:hAnsi="Century Gothic"/>
          <w:lang w:val="es-ES_tradnl"/>
        </w:rPr>
        <w:t xml:space="preserve"> del índice del Segundo Tribunal Colegiado en materias Penal y Administrativas en el Estado de Chihuahua, en que se determina que sí se debe conceder la suspensión, para el efecto de que la U.I.R.A. inicie la investigación. Es decir, existe una contradicción de criterios entre ambos Tribunales Colegiados.  En contra de la negativa de la suspensión definitiva en el amparo 1626/2022, se interpuso recurso de revisión, en que se indica que negar la suspensión, es contrario al criterio sostenido por la </w:t>
      </w:r>
      <w:r>
        <w:rPr>
          <w:rStyle w:val="Ninguno"/>
          <w:rFonts w:ascii="Century Gothic" w:hAnsi="Century Gothic"/>
          <w:b/>
          <w:bCs/>
          <w:lang w:val="es-ES_tradnl"/>
        </w:rPr>
        <w:t>Primera Sala</w:t>
      </w:r>
      <w:r>
        <w:rPr>
          <w:rStyle w:val="Ninguno"/>
          <w:rFonts w:ascii="Century Gothic" w:hAnsi="Century Gothic"/>
          <w:lang w:val="es-ES_tradnl"/>
        </w:rPr>
        <w:t xml:space="preserve"> de esta Suprema Corte de Justicia, en la contradicción de tesis </w:t>
      </w:r>
      <w:r>
        <w:rPr>
          <w:rStyle w:val="Ninguno"/>
          <w:rFonts w:ascii="Century Gothic" w:hAnsi="Century Gothic"/>
          <w:b/>
          <w:bCs/>
          <w:lang w:val="es-ES_tradnl"/>
        </w:rPr>
        <w:t>85/2018</w:t>
      </w:r>
      <w:r>
        <w:rPr>
          <w:rStyle w:val="Ninguno"/>
          <w:rFonts w:ascii="Century Gothic" w:hAnsi="Century Gothic"/>
          <w:lang w:val="es-ES_tradnl"/>
        </w:rPr>
        <w:t>.</w:t>
      </w:r>
    </w:p>
    <w:p w14:paraId="478436BC" w14:textId="77777777" w:rsidR="0015360A" w:rsidRDefault="0015360A" w:rsidP="0015360A">
      <w:pPr>
        <w:pStyle w:val="Cuerpo"/>
        <w:rPr>
          <w:rStyle w:val="Ninguno"/>
          <w:rFonts w:ascii="Century Gothic" w:eastAsia="Century Gothic" w:hAnsi="Century Gothic" w:cs="Century Gothic"/>
          <w:lang w:val="es-ES_tradnl"/>
        </w:rPr>
      </w:pPr>
      <w:r>
        <w:rPr>
          <w:rStyle w:val="Ninguno"/>
          <w:rFonts w:ascii="Century Gothic" w:hAnsi="Century Gothic"/>
          <w:b/>
          <w:bCs/>
          <w:lang w:val="es-ES_tradnl"/>
        </w:rPr>
        <w:t>Juicio de amparo 1394/2022</w:t>
      </w:r>
      <w:r>
        <w:rPr>
          <w:rStyle w:val="Ninguno"/>
          <w:rFonts w:ascii="Century Gothic" w:hAnsi="Century Gothic"/>
          <w:lang w:val="es-ES_tradnl"/>
        </w:rPr>
        <w:t xml:space="preserve"> del índice del Juzgado Décimo de Distrito en Chihuahua, reclamando que pretendiendo valerse de medidas cautelares en la Ley General de Responsabilidades Administrativas, en relación a la denuncia presentada en su contra por el Sindicato, se le pretende afectar a la Jueza Asiain Hernández en su inamovilidad y suspenderla sin goce de sueldo en el ejercicio de su cargo. De este juicio deriva la </w:t>
      </w:r>
      <w:r>
        <w:rPr>
          <w:rStyle w:val="Ninguno"/>
          <w:rFonts w:ascii="Century Gothic" w:hAnsi="Century Gothic"/>
          <w:b/>
          <w:bCs/>
          <w:lang w:val="es-ES_tradnl"/>
        </w:rPr>
        <w:t>Queja 380/2022</w:t>
      </w:r>
      <w:r>
        <w:rPr>
          <w:rStyle w:val="Ninguno"/>
          <w:rFonts w:ascii="Century Gothic" w:hAnsi="Century Gothic"/>
          <w:lang w:val="es-ES_tradnl"/>
        </w:rPr>
        <w:t xml:space="preserve"> del índice del Primer Tribunal Colegiado en materias Penal y Administrativas en el Estado de Chihuahua, en que se reclama la resolución que declara infundado el incidente planteado por defecto en el cumplimiento de la suspensión definitiva, en que las autoridades responsables reconocen no estar haciendo nada para proteger a la Jueza frente a los ataques a su independencia judicial.  </w:t>
      </w:r>
    </w:p>
    <w:p w14:paraId="3634AD0E" w14:textId="77777777" w:rsidR="0015360A" w:rsidRDefault="0015360A" w:rsidP="0015360A">
      <w:pPr>
        <w:pStyle w:val="Cuerpo"/>
        <w:jc w:val="center"/>
        <w:rPr>
          <w:rFonts w:ascii="Century Gothic" w:eastAsia="Century Gothic" w:hAnsi="Century Gothic" w:cs="Century Gothic"/>
        </w:rPr>
      </w:pPr>
      <w:r>
        <w:rPr>
          <w:rStyle w:val="Ninguno"/>
          <w:rFonts w:ascii="Century Gothic" w:hAnsi="Century Gothic"/>
          <w:lang w:val="es-ES_tradnl"/>
        </w:rPr>
        <w:t>* * *</w:t>
      </w:r>
    </w:p>
    <w:p w14:paraId="1DDFB500" w14:textId="77777777" w:rsidR="0015360A" w:rsidRDefault="0015360A" w:rsidP="0015360A">
      <w:pPr>
        <w:pStyle w:val="Cuerpo"/>
        <w:spacing w:before="0" w:after="0"/>
        <w:rPr>
          <w:rFonts w:ascii="Century Gothic" w:eastAsia="Century Gothic" w:hAnsi="Century Gothic" w:cs="Century Gothic"/>
        </w:rPr>
      </w:pPr>
      <w:r>
        <w:rPr>
          <w:rFonts w:ascii="Century Gothic" w:hAnsi="Century Gothic"/>
          <w:lang w:val="es-ES_tradnl"/>
        </w:rPr>
        <w:t>Es por lo anteriormente expuesto, y tambi</w:t>
      </w:r>
      <w:r>
        <w:rPr>
          <w:rStyle w:val="Ninguno"/>
          <w:rFonts w:ascii="Century Gothic" w:hAnsi="Century Gothic"/>
          <w:lang w:val="es-ES_tradnl"/>
        </w:rPr>
        <w:t>é</w:t>
      </w:r>
      <w:r>
        <w:rPr>
          <w:rFonts w:ascii="Century Gothic" w:hAnsi="Century Gothic"/>
          <w:lang w:val="es-ES_tradnl"/>
        </w:rPr>
        <w:t>n porque tenemos la firme convicci</w:t>
      </w:r>
      <w:r>
        <w:rPr>
          <w:rStyle w:val="Ninguno"/>
          <w:rFonts w:ascii="Century Gothic" w:hAnsi="Century Gothic"/>
          <w:lang w:val="es-ES_tradnl"/>
        </w:rPr>
        <w:t>ó</w:t>
      </w:r>
      <w:r>
        <w:rPr>
          <w:rFonts w:ascii="Century Gothic" w:hAnsi="Century Gothic"/>
          <w:lang w:val="es-ES_tradnl"/>
        </w:rPr>
        <w:t>n de que debemos tomar acciones contundentes que aseguren un porvenir a las generaciones presentes y del ma</w:t>
      </w:r>
      <w:r>
        <w:rPr>
          <w:rStyle w:val="Ninguno"/>
          <w:rFonts w:ascii="Century Gothic" w:hAnsi="Century Gothic"/>
          <w:lang w:val="es-ES_tradnl"/>
        </w:rPr>
        <w:t>ñ</w:t>
      </w:r>
      <w:r>
        <w:rPr>
          <w:rFonts w:ascii="Century Gothic" w:hAnsi="Century Gothic"/>
          <w:lang w:val="es-ES_tradnl"/>
        </w:rPr>
        <w:t>ana, que sometemos a consideraci</w:t>
      </w:r>
      <w:r>
        <w:rPr>
          <w:rStyle w:val="Ninguno"/>
          <w:rFonts w:ascii="Century Gothic" w:hAnsi="Century Gothic"/>
          <w:lang w:val="es-ES_tradnl"/>
        </w:rPr>
        <w:t>ó</w:t>
      </w:r>
      <w:r>
        <w:rPr>
          <w:rFonts w:ascii="Century Gothic" w:hAnsi="Century Gothic"/>
          <w:lang w:val="es-ES_tradnl"/>
        </w:rPr>
        <w:t>n del Pleno, la presente iniciativa con car</w:t>
      </w:r>
      <w:r>
        <w:rPr>
          <w:rStyle w:val="Ninguno"/>
          <w:rFonts w:ascii="Century Gothic" w:hAnsi="Century Gothic"/>
          <w:lang w:val="es-ES_tradnl"/>
        </w:rPr>
        <w:t>á</w:t>
      </w:r>
      <w:r>
        <w:rPr>
          <w:rFonts w:ascii="Century Gothic" w:hAnsi="Century Gothic"/>
          <w:lang w:val="fr-FR"/>
        </w:rPr>
        <w:t>cter de:</w:t>
      </w:r>
    </w:p>
    <w:p w14:paraId="2A2F7C58" w14:textId="77777777" w:rsidR="0015360A" w:rsidRDefault="0015360A" w:rsidP="0015360A">
      <w:pPr>
        <w:pStyle w:val="Cuerpo"/>
        <w:spacing w:before="0" w:after="0"/>
        <w:rPr>
          <w:rStyle w:val="Ninguno"/>
          <w:rFonts w:ascii="Century Gothic" w:eastAsia="Century Gothic" w:hAnsi="Century Gothic" w:cs="Century Gothic"/>
          <w:b/>
          <w:bCs/>
          <w:shd w:val="clear" w:color="auto" w:fill="FFFFFF"/>
        </w:rPr>
      </w:pPr>
      <w:bookmarkStart w:id="0" w:name="_Hlk83199602"/>
    </w:p>
    <w:p w14:paraId="7AC21069" w14:textId="77777777" w:rsidR="0015360A" w:rsidRDefault="0015360A" w:rsidP="0015360A">
      <w:pPr>
        <w:pStyle w:val="Cuerpo"/>
        <w:spacing w:before="0" w:after="0"/>
        <w:jc w:val="center"/>
        <w:rPr>
          <w:rStyle w:val="Ninguno"/>
          <w:rFonts w:ascii="Century Gothic" w:eastAsia="Century Gothic" w:hAnsi="Century Gothic" w:cs="Century Gothic"/>
          <w:b/>
          <w:bCs/>
          <w:shd w:val="clear" w:color="auto" w:fill="FFFFFF"/>
        </w:rPr>
      </w:pPr>
    </w:p>
    <w:p w14:paraId="01FC8130" w14:textId="77777777" w:rsidR="0015360A" w:rsidRDefault="0015360A" w:rsidP="0015360A">
      <w:pPr>
        <w:pStyle w:val="Cuerpo"/>
        <w:spacing w:before="0" w:after="0"/>
        <w:jc w:val="center"/>
        <w:rPr>
          <w:rStyle w:val="Ninguno"/>
          <w:rFonts w:ascii="Century Gothic" w:eastAsia="Century Gothic" w:hAnsi="Century Gothic" w:cs="Century Gothic"/>
          <w:b/>
          <w:bCs/>
          <w:shd w:val="clear" w:color="auto" w:fill="FFFFFF"/>
        </w:rPr>
      </w:pPr>
    </w:p>
    <w:p w14:paraId="4EF4B76C" w14:textId="77777777" w:rsidR="0015360A" w:rsidRDefault="0015360A" w:rsidP="0015360A">
      <w:pPr>
        <w:pStyle w:val="Cuerpo"/>
        <w:spacing w:before="0" w:after="0"/>
        <w:jc w:val="center"/>
        <w:rPr>
          <w:rStyle w:val="Ninguno"/>
          <w:rFonts w:ascii="Century Gothic" w:eastAsia="Century Gothic" w:hAnsi="Century Gothic" w:cs="Century Gothic"/>
          <w:b/>
          <w:bCs/>
          <w:shd w:val="clear" w:color="auto" w:fill="FFFFFF"/>
        </w:rPr>
      </w:pPr>
    </w:p>
    <w:p w14:paraId="1D2D91CA" w14:textId="77777777" w:rsidR="0015360A" w:rsidRDefault="0015360A" w:rsidP="0015360A">
      <w:pPr>
        <w:pStyle w:val="Cuerpo"/>
        <w:spacing w:before="0" w:after="0"/>
        <w:jc w:val="center"/>
        <w:rPr>
          <w:rStyle w:val="Ninguno"/>
          <w:rFonts w:ascii="Century Gothic" w:eastAsia="Century Gothic" w:hAnsi="Century Gothic" w:cs="Century Gothic"/>
          <w:b/>
          <w:bCs/>
          <w:shd w:val="clear" w:color="auto" w:fill="FFFFFF"/>
        </w:rPr>
      </w:pPr>
    </w:p>
    <w:p w14:paraId="783EBDE8" w14:textId="77777777" w:rsidR="0015360A" w:rsidRDefault="0015360A" w:rsidP="0015360A">
      <w:pPr>
        <w:pStyle w:val="Cuerpo"/>
        <w:spacing w:before="0" w:after="0"/>
        <w:jc w:val="center"/>
        <w:rPr>
          <w:rFonts w:ascii="Century Gothic" w:eastAsia="Century Gothic" w:hAnsi="Century Gothic" w:cs="Century Gothic"/>
          <w:b/>
          <w:bCs/>
          <w:shd w:val="clear" w:color="auto" w:fill="FFFFFF"/>
        </w:rPr>
      </w:pPr>
    </w:p>
    <w:p w14:paraId="1A087115" w14:textId="77777777" w:rsidR="0015360A" w:rsidRDefault="0015360A" w:rsidP="0015360A">
      <w:pPr>
        <w:pStyle w:val="Cuerpo"/>
        <w:spacing w:before="0" w:after="0"/>
        <w:jc w:val="center"/>
        <w:rPr>
          <w:rFonts w:ascii="Century Gothic" w:eastAsia="Century Gothic" w:hAnsi="Century Gothic" w:cs="Century Gothic"/>
          <w:b/>
          <w:bCs/>
          <w:shd w:val="clear" w:color="auto" w:fill="FFFFFF"/>
        </w:rPr>
      </w:pPr>
    </w:p>
    <w:p w14:paraId="50E6F996" w14:textId="77777777" w:rsidR="0015360A" w:rsidRDefault="0015360A" w:rsidP="0015360A">
      <w:pPr>
        <w:pStyle w:val="Cuerpo"/>
        <w:spacing w:before="0" w:after="0"/>
        <w:jc w:val="center"/>
        <w:rPr>
          <w:rStyle w:val="Ninguno"/>
          <w:rFonts w:ascii="Century Gothic" w:eastAsia="Century Gothic" w:hAnsi="Century Gothic" w:cs="Century Gothic"/>
          <w:b/>
          <w:bCs/>
          <w:shd w:val="clear" w:color="auto" w:fill="FFFFFF"/>
        </w:rPr>
      </w:pPr>
      <w:r>
        <w:rPr>
          <w:rStyle w:val="Ninguno"/>
          <w:rFonts w:ascii="Century Gothic" w:hAnsi="Century Gothic"/>
          <w:b/>
          <w:bCs/>
          <w:shd w:val="clear" w:color="auto" w:fill="FFFFFF"/>
          <w:lang w:val="it-IT"/>
        </w:rPr>
        <w:t>D E C R E T O:</w:t>
      </w:r>
    </w:p>
    <w:p w14:paraId="4801C9DB" w14:textId="77777777" w:rsidR="0015360A" w:rsidRDefault="0015360A" w:rsidP="0015360A">
      <w:pPr>
        <w:shd w:val="clear" w:color="auto" w:fill="FFFFFF"/>
        <w:spacing w:after="300" w:line="360" w:lineRule="auto"/>
        <w:jc w:val="both"/>
        <w:rPr>
          <w:rFonts w:ascii="Century Gothic" w:eastAsia="Century Gothic" w:hAnsi="Century Gothic" w:cs="Century Gothic"/>
          <w:color w:val="000000"/>
          <w:u w:color="000000"/>
          <w:lang w:val="es-ES_tradnl"/>
          <w14:textOutline w14:w="0" w14:cap="flat" w14:cmpd="sng" w14:algn="ctr">
            <w14:noFill/>
            <w14:prstDash w14:val="solid"/>
            <w14:bevel/>
          </w14:textOutline>
        </w:rPr>
      </w:pPr>
    </w:p>
    <w:p w14:paraId="07A9B2A6"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proofErr w:type="gramStart"/>
      <w:r>
        <w:rPr>
          <w:rStyle w:val="Ninguno"/>
          <w:rFonts w:ascii="Century Gothic" w:hAnsi="Century Gothic"/>
          <w:b/>
          <w:bCs/>
          <w:u w:color="000000"/>
          <w:shd w:val="clear" w:color="auto" w:fill="FFFFFF"/>
        </w:rPr>
        <w:t>UNICO</w:t>
      </w:r>
      <w:r>
        <w:rPr>
          <w:rStyle w:val="Ninguno"/>
          <w:rFonts w:ascii="Century Gothic" w:hAnsi="Century Gothic"/>
          <w:u w:color="000000"/>
          <w:shd w:val="clear" w:color="auto" w:fill="FFFFFF"/>
        </w:rPr>
        <w:t>.-</w:t>
      </w:r>
      <w:proofErr w:type="gramEnd"/>
      <w:r>
        <w:rPr>
          <w:rStyle w:val="Ninguno"/>
          <w:rFonts w:ascii="Century Gothic" w:hAnsi="Century Gothic"/>
          <w:u w:color="000000"/>
          <w:shd w:val="clear" w:color="auto" w:fill="FFFFFF"/>
        </w:rPr>
        <w:t xml:space="preserve"> </w:t>
      </w:r>
      <w:r>
        <w:rPr>
          <w:rFonts w:ascii="Century Gothic" w:hAnsi="Century Gothic"/>
          <w:u w:color="000000"/>
        </w:rPr>
        <w:t>Se reforman, derogan y adicionan diversas las disposiciones y preceptos de la Constitución Política del Estado de Chihuahua, para quedar redactados de la manera siguiente:</w:t>
      </w:r>
    </w:p>
    <w:bookmarkEnd w:id="0"/>
    <w:p w14:paraId="143746DA"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p>
    <w:p w14:paraId="27A5C3AE" w14:textId="77777777" w:rsidR="0015360A" w:rsidRDefault="0015360A" w:rsidP="0015360A">
      <w:pPr>
        <w:pStyle w:val="Predeterminado"/>
        <w:spacing w:before="0" w:line="360" w:lineRule="auto"/>
        <w:ind w:left="708"/>
        <w:jc w:val="both"/>
        <w:rPr>
          <w:rFonts w:ascii="Century Gothic" w:eastAsia="Century Gothic" w:hAnsi="Century Gothic" w:cs="Century Gothic"/>
          <w:u w:color="000000"/>
        </w:rPr>
      </w:pPr>
    </w:p>
    <w:p w14:paraId="1D50C3AE" w14:textId="4B0FCE52"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pt-PT"/>
        </w:rPr>
        <w:t>ARTICULO 6o. Ningu</w:t>
      </w:r>
      <w:r>
        <w:rPr>
          <w:rFonts w:ascii="Arial Unicode MS" w:hAnsi="Arial Unicode MS"/>
        </w:rPr>
        <w:t>́</w:t>
      </w:r>
      <w:r>
        <w:rPr>
          <w:rFonts w:ascii="Century Gothic" w:hAnsi="Century Gothic"/>
          <w:lang w:val="es-ES_tradnl"/>
        </w:rPr>
        <w:t>n juicio, civil o penal, tendrá</w:t>
      </w:r>
      <w:r>
        <w:rPr>
          <w:rFonts w:ascii="Arial Unicode MS" w:hAnsi="Arial Unicode MS"/>
        </w:rPr>
        <w:t>́</w:t>
      </w:r>
      <w:r>
        <w:rPr>
          <w:rFonts w:ascii="Century Gothic" w:hAnsi="Century Gothic"/>
        </w:rPr>
        <w:t xml:space="preserve"> mi</w:t>
      </w:r>
      <w:r>
        <w:rPr>
          <w:rFonts w:ascii="Arial Unicode MS" w:hAnsi="Arial Unicode MS"/>
        </w:rPr>
        <w:t>́</w:t>
      </w:r>
      <w:r>
        <w:rPr>
          <w:rFonts w:ascii="Century Gothic" w:hAnsi="Century Gothic"/>
          <w:lang w:val="pt-PT"/>
        </w:rPr>
        <w:t>s de dos instancias.</w:t>
      </w:r>
    </w:p>
    <w:p w14:paraId="3E6F990B"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5A4F02A0" w14:textId="6114799E"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En toda investigación</w:t>
      </w:r>
      <w:r>
        <w:rPr>
          <w:rFonts w:ascii="Arial Unicode MS" w:hAnsi="Arial Unicode MS"/>
        </w:rPr>
        <w:t>́</w:t>
      </w:r>
      <w:r>
        <w:rPr>
          <w:rFonts w:ascii="Century Gothic" w:hAnsi="Century Gothic"/>
        </w:rPr>
        <w:t>n</w:t>
      </w:r>
      <w:r>
        <w:rPr>
          <w:rFonts w:ascii="Century Gothic" w:hAnsi="Century Gothic"/>
          <w:lang w:val="es-ES_tradnl"/>
        </w:rPr>
        <w:t xml:space="preserve"> gubernamental, </w:t>
      </w:r>
      <w:r>
        <w:rPr>
          <w:rFonts w:ascii="Century Gothic" w:hAnsi="Century Gothic"/>
          <w:lang w:val="it-IT"/>
        </w:rPr>
        <w:t xml:space="preserve">el </w:t>
      </w:r>
      <w:r>
        <w:rPr>
          <w:rFonts w:ascii="Century Gothic" w:hAnsi="Century Gothic"/>
          <w:lang w:val="es-ES_tradnl"/>
        </w:rPr>
        <w:t>investigado</w:t>
      </w:r>
      <w:r>
        <w:rPr>
          <w:rFonts w:ascii="Century Gothic" w:hAnsi="Century Gothic"/>
          <w:lang w:val="fr-FR"/>
        </w:rPr>
        <w:t xml:space="preserve"> tendra</w:t>
      </w:r>
      <w:r>
        <w:rPr>
          <w:rFonts w:ascii="Arial Unicode MS" w:hAnsi="Arial Unicode MS"/>
        </w:rPr>
        <w:t>́</w:t>
      </w:r>
      <w:r>
        <w:rPr>
          <w:rFonts w:ascii="Century Gothic" w:hAnsi="Century Gothic"/>
        </w:rPr>
        <w:t xml:space="preserve"> </w:t>
      </w:r>
      <w:r>
        <w:rPr>
          <w:rFonts w:ascii="Century Gothic" w:hAnsi="Century Gothic"/>
          <w:lang w:val="es-ES_tradnl"/>
        </w:rPr>
        <w:t>derecho a que se le presuma inocente, a no declarar,</w:t>
      </w:r>
      <w:r>
        <w:rPr>
          <w:rFonts w:ascii="Century Gothic" w:hAnsi="Century Gothic"/>
        </w:rPr>
        <w:t xml:space="preserve"> </w:t>
      </w:r>
      <w:r>
        <w:rPr>
          <w:rFonts w:ascii="Century Gothic" w:hAnsi="Century Gothic"/>
          <w:lang w:val="es-ES_tradnl"/>
        </w:rPr>
        <w:t>a nombrar defensor,</w:t>
      </w:r>
      <w:r>
        <w:rPr>
          <w:rFonts w:ascii="Century Gothic" w:hAnsi="Century Gothic"/>
        </w:rPr>
        <w:t xml:space="preserve"> </w:t>
      </w:r>
      <w:r>
        <w:rPr>
          <w:rFonts w:ascii="Century Gothic" w:hAnsi="Century Gothic"/>
          <w:lang w:val="es-ES_tradnl"/>
        </w:rPr>
        <w:t xml:space="preserve">a aportar las pruebas que estime pertinentes para que sean valoradas y a ejercer una defensa técnica. </w:t>
      </w:r>
    </w:p>
    <w:p w14:paraId="2424A6D8"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2D216378" w14:textId="081F185A"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Queda prohibido detener a las personas para fines de investigación</w:t>
      </w:r>
      <w:r>
        <w:rPr>
          <w:rFonts w:ascii="Arial Unicode MS" w:hAnsi="Arial Unicode MS"/>
        </w:rPr>
        <w:t>́</w:t>
      </w:r>
      <w:r>
        <w:rPr>
          <w:rFonts w:ascii="Century Gothic" w:hAnsi="Century Gothic"/>
        </w:rPr>
        <w:t>n.</w:t>
      </w:r>
    </w:p>
    <w:p w14:paraId="74F1B281"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7759FCBD"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pt-PT"/>
        </w:rPr>
        <w:t>Las autoridades permitira</w:t>
      </w:r>
      <w:r>
        <w:rPr>
          <w:rFonts w:ascii="Arial Unicode MS" w:hAnsi="Arial Unicode MS"/>
        </w:rPr>
        <w:t>́</w:t>
      </w:r>
      <w:r>
        <w:rPr>
          <w:rFonts w:ascii="Century Gothic" w:hAnsi="Century Gothic"/>
          <w:lang w:val="es-ES_tradnl"/>
        </w:rPr>
        <w:t>n a todo detenido, que se comunique con persona de su confianza, para proveer a su defensa.</w:t>
      </w:r>
    </w:p>
    <w:p w14:paraId="5241E4DB"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44F58BB0" w14:textId="198016F1"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Queda prohibida y será</w:t>
      </w:r>
      <w:r>
        <w:rPr>
          <w:rFonts w:ascii="Arial Unicode MS" w:hAnsi="Arial Unicode MS"/>
        </w:rPr>
        <w:t>́</w:t>
      </w:r>
      <w:r>
        <w:rPr>
          <w:rFonts w:ascii="Century Gothic" w:hAnsi="Century Gothic"/>
        </w:rPr>
        <w:t xml:space="preserve"> </w:t>
      </w:r>
      <w:r>
        <w:rPr>
          <w:rFonts w:ascii="Century Gothic" w:hAnsi="Century Gothic"/>
          <w:lang w:val="es-ES_tradnl"/>
        </w:rPr>
        <w:t>sancionada por la ley penal, toda incomunicación</w:t>
      </w:r>
      <w:r>
        <w:rPr>
          <w:rFonts w:ascii="Arial Unicode MS" w:hAnsi="Arial Unicode MS"/>
        </w:rPr>
        <w:t>́</w:t>
      </w:r>
      <w:r>
        <w:rPr>
          <w:rFonts w:ascii="Century Gothic" w:hAnsi="Century Gothic"/>
          <w:lang w:val="es-ES_tradnl"/>
        </w:rPr>
        <w:t>n, intimidación</w:t>
      </w:r>
      <w:r>
        <w:rPr>
          <w:rFonts w:ascii="Arial Unicode MS" w:hAnsi="Arial Unicode MS"/>
        </w:rPr>
        <w:t>́</w:t>
      </w:r>
      <w:r>
        <w:rPr>
          <w:rFonts w:ascii="Century Gothic" w:hAnsi="Century Gothic"/>
          <w:lang w:val="it-IT"/>
        </w:rPr>
        <w:t>n o tortura. La confesio</w:t>
      </w:r>
      <w:r>
        <w:rPr>
          <w:rFonts w:ascii="Arial Unicode MS" w:hAnsi="Arial Unicode MS"/>
        </w:rPr>
        <w:t>́</w:t>
      </w:r>
      <w:r>
        <w:rPr>
          <w:rFonts w:ascii="Century Gothic" w:hAnsi="Century Gothic"/>
          <w:lang w:val="es-ES_tradnl"/>
        </w:rPr>
        <w:t>n rendida ante cualquier autoridad distinta del Ministerio Pu</w:t>
      </w:r>
      <w:r>
        <w:rPr>
          <w:rFonts w:ascii="Arial Unicode MS" w:hAnsi="Arial Unicode MS"/>
        </w:rPr>
        <w:t>́</w:t>
      </w:r>
      <w:r>
        <w:rPr>
          <w:rFonts w:ascii="Century Gothic" w:hAnsi="Century Gothic"/>
          <w:lang w:val="es-ES_tradnl"/>
        </w:rPr>
        <w:t>bélico o del juez, o ante e</w:t>
      </w:r>
      <w:r>
        <w:rPr>
          <w:rFonts w:ascii="Arial Unicode MS" w:hAnsi="Arial Unicode MS"/>
        </w:rPr>
        <w:t>́</w:t>
      </w:r>
      <w:r>
        <w:rPr>
          <w:rFonts w:ascii="Century Gothic" w:hAnsi="Century Gothic"/>
          <w:lang w:val="es-ES_tradnl"/>
        </w:rPr>
        <w:t>stos sin la asistencia de su defensor, carecerá</w:t>
      </w:r>
      <w:r>
        <w:rPr>
          <w:rFonts w:ascii="Arial Unicode MS" w:hAnsi="Arial Unicode MS"/>
        </w:rPr>
        <w:t>́</w:t>
      </w:r>
      <w:r>
        <w:rPr>
          <w:rFonts w:ascii="Century Gothic" w:hAnsi="Century Gothic"/>
        </w:rPr>
        <w:t xml:space="preserve"> </w:t>
      </w:r>
      <w:r>
        <w:rPr>
          <w:rFonts w:ascii="Century Gothic" w:hAnsi="Century Gothic"/>
          <w:lang w:val="es-ES_tradnl"/>
        </w:rPr>
        <w:t>de todo valor probatorio. Si el indiciado fuere indio</w:t>
      </w:r>
      <w:r>
        <w:rPr>
          <w:rFonts w:ascii="Arial Unicode MS" w:hAnsi="Arial Unicode MS"/>
        </w:rPr>
        <w:t>́</w:t>
      </w:r>
      <w:r>
        <w:rPr>
          <w:rFonts w:ascii="Century Gothic" w:hAnsi="Century Gothic"/>
          <w:lang w:val="es-ES_tradnl"/>
        </w:rPr>
        <w:t>gena, durante el proceso se le proveerá</w:t>
      </w:r>
      <w:r>
        <w:rPr>
          <w:rFonts w:ascii="Arial Unicode MS" w:hAnsi="Arial Unicode MS"/>
        </w:rPr>
        <w:t>́</w:t>
      </w:r>
      <w:r>
        <w:rPr>
          <w:rFonts w:ascii="Century Gothic" w:hAnsi="Century Gothic"/>
        </w:rPr>
        <w:t xml:space="preserve"> </w:t>
      </w:r>
      <w:r>
        <w:rPr>
          <w:rFonts w:ascii="Century Gothic" w:hAnsi="Century Gothic"/>
          <w:lang w:val="es-ES_tradnl"/>
        </w:rPr>
        <w:t>de un traductor que hable su lengua.</w:t>
      </w:r>
    </w:p>
    <w:p w14:paraId="1AFCA885"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69D9B807" w14:textId="43BCC022"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En delitos del fuero común, queda prohibida la prisión preventiva oficiosa. Dicha medida cautelar sólo podrá ser aplicada a petición de parte y atendiendo a las particularidades del caso, como medida para garantizar las finalidades del proceso penal.  Toda persona que se encuentre en prisión</w:t>
      </w:r>
      <w:r>
        <w:rPr>
          <w:rFonts w:ascii="Arial Unicode MS" w:hAnsi="Arial Unicode MS"/>
        </w:rPr>
        <w:t>́</w:t>
      </w:r>
      <w:r>
        <w:rPr>
          <w:rFonts w:ascii="Century Gothic" w:hAnsi="Century Gothic"/>
          <w:lang w:val="es-ES_tradnl"/>
        </w:rPr>
        <w:t>n preventiva y sujeta a un proceso penal, tiene derecho a que se le confine en un lugar totalmente separado y distinto al sitio destinado para extinguir la pena. La violación</w:t>
      </w:r>
      <w:r>
        <w:rPr>
          <w:rFonts w:ascii="Arial Unicode MS" w:hAnsi="Arial Unicode MS"/>
        </w:rPr>
        <w:t>́</w:t>
      </w:r>
      <w:r>
        <w:rPr>
          <w:rFonts w:ascii="Century Gothic" w:hAnsi="Century Gothic"/>
          <w:lang w:val="es-ES_tradnl"/>
        </w:rPr>
        <w:t>n de este precepto será</w:t>
      </w:r>
      <w:r>
        <w:rPr>
          <w:rFonts w:ascii="Arial Unicode MS" w:hAnsi="Arial Unicode MS"/>
        </w:rPr>
        <w:t>́</w:t>
      </w:r>
      <w:r>
        <w:rPr>
          <w:rFonts w:ascii="Century Gothic" w:hAnsi="Century Gothic"/>
        </w:rPr>
        <w:t xml:space="preserve"> </w:t>
      </w:r>
      <w:r>
        <w:rPr>
          <w:rFonts w:ascii="Century Gothic" w:hAnsi="Century Gothic"/>
          <w:lang w:val="es-ES_tradnl"/>
        </w:rPr>
        <w:t>causa de responsabilidad de acuerdo a lo previsto por la ley de la materia.</w:t>
      </w:r>
    </w:p>
    <w:p w14:paraId="6075C9D8"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21CD537D"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Toda persona privada de su libertad tiene derecho a ser alimentada y a tener acceso a asistencia me</w:t>
      </w:r>
      <w:r>
        <w:rPr>
          <w:rFonts w:ascii="Arial Unicode MS" w:hAnsi="Arial Unicode MS"/>
        </w:rPr>
        <w:t>́</w:t>
      </w:r>
      <w:r>
        <w:rPr>
          <w:rFonts w:ascii="Century Gothic" w:hAnsi="Century Gothic"/>
          <w:lang w:val="es-ES_tradnl"/>
        </w:rPr>
        <w:t>dica, con cargo a los fondos pu</w:t>
      </w:r>
      <w:r>
        <w:rPr>
          <w:rFonts w:ascii="Arial Unicode MS" w:hAnsi="Arial Unicode MS"/>
        </w:rPr>
        <w:t>́</w:t>
      </w:r>
      <w:r>
        <w:rPr>
          <w:rFonts w:ascii="Century Gothic" w:hAnsi="Century Gothic"/>
          <w:lang w:val="pt-PT"/>
        </w:rPr>
        <w:t>blicos.</w:t>
      </w:r>
    </w:p>
    <w:p w14:paraId="5D08AB17"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3098728A" w14:textId="7BDC1C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El arresto por infracciones a reglamentos gubernativos y de policía</w:t>
      </w:r>
      <w:r>
        <w:rPr>
          <w:rFonts w:ascii="Arial Unicode MS" w:hAnsi="Arial Unicode MS"/>
        </w:rPr>
        <w:t>́</w:t>
      </w:r>
      <w:r>
        <w:rPr>
          <w:rFonts w:ascii="Century Gothic" w:hAnsi="Century Gothic"/>
          <w:lang w:val="es-ES_tradnl"/>
        </w:rPr>
        <w:t>a comenzara</w:t>
      </w:r>
      <w:r>
        <w:rPr>
          <w:rFonts w:ascii="Arial Unicode MS" w:hAnsi="Arial Unicode MS"/>
        </w:rPr>
        <w:t>́</w:t>
      </w:r>
      <w:r>
        <w:rPr>
          <w:rFonts w:ascii="Century Gothic" w:hAnsi="Century Gothic"/>
        </w:rPr>
        <w:t xml:space="preserve"> </w:t>
      </w:r>
      <w:r>
        <w:rPr>
          <w:rFonts w:ascii="Century Gothic" w:hAnsi="Century Gothic"/>
          <w:lang w:val="es-ES_tradnl"/>
        </w:rPr>
        <w:t>a computarse desde el momento en que se realice. Quien lo ejecute estará</w:t>
      </w:r>
      <w:r>
        <w:rPr>
          <w:rFonts w:ascii="Arial Unicode MS" w:hAnsi="Arial Unicode MS"/>
        </w:rPr>
        <w:t>́</w:t>
      </w:r>
      <w:r>
        <w:rPr>
          <w:rFonts w:ascii="Century Gothic" w:hAnsi="Century Gothic"/>
        </w:rPr>
        <w:t xml:space="preserve"> </w:t>
      </w:r>
      <w:r>
        <w:rPr>
          <w:rFonts w:ascii="Century Gothic" w:hAnsi="Century Gothic"/>
          <w:lang w:val="es-ES_tradnl"/>
        </w:rPr>
        <w:t>obligado a poner sin demora al infractor a disposición</w:t>
      </w:r>
      <w:r>
        <w:rPr>
          <w:rFonts w:ascii="Arial Unicode MS" w:hAnsi="Arial Unicode MS"/>
        </w:rPr>
        <w:t>́</w:t>
      </w:r>
      <w:r>
        <w:rPr>
          <w:rFonts w:ascii="Century Gothic" w:hAnsi="Century Gothic"/>
          <w:lang w:val="es-ES_tradnl"/>
        </w:rPr>
        <w:t>n de la autoridad competente y, e</w:t>
      </w:r>
      <w:r>
        <w:rPr>
          <w:rFonts w:ascii="Arial Unicode MS" w:hAnsi="Arial Unicode MS"/>
        </w:rPr>
        <w:t>́</w:t>
      </w:r>
      <w:r>
        <w:rPr>
          <w:rFonts w:ascii="Century Gothic" w:hAnsi="Century Gothic"/>
          <w:lang w:val="es-ES_tradnl"/>
        </w:rPr>
        <w:t>sta, a fijar la sanción</w:t>
      </w:r>
      <w:r>
        <w:rPr>
          <w:rFonts w:ascii="Arial Unicode MS" w:hAnsi="Arial Unicode MS"/>
        </w:rPr>
        <w:t>́</w:t>
      </w:r>
      <w:r>
        <w:rPr>
          <w:rFonts w:ascii="Century Gothic" w:hAnsi="Century Gothic"/>
          <w:lang w:val="es-ES_tradnl"/>
        </w:rPr>
        <w:t>n alternativa en un plazo no mayor de seis horas.</w:t>
      </w:r>
    </w:p>
    <w:p w14:paraId="636EE229"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2FE72A6B" w14:textId="498DA864"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Cuando se atribuya la realización</w:t>
      </w:r>
      <w:r>
        <w:rPr>
          <w:rFonts w:ascii="Arial Unicode MS" w:hAnsi="Arial Unicode MS"/>
        </w:rPr>
        <w:t>́</w:t>
      </w:r>
      <w:r>
        <w:rPr>
          <w:rFonts w:ascii="Century Gothic" w:hAnsi="Century Gothic"/>
          <w:lang w:val="es-ES_tradnl"/>
        </w:rPr>
        <w:t>n de una conducta tipificada como delito por la ley penal a personas que tengan entre catorce</w:t>
      </w:r>
      <w:r>
        <w:rPr>
          <w:rFonts w:ascii="Century Gothic" w:hAnsi="Century Gothic"/>
        </w:rPr>
        <w:t xml:space="preserve"> an</w:t>
      </w:r>
      <w:r>
        <w:rPr>
          <w:rFonts w:ascii="Arial Unicode MS" w:hAnsi="Arial Unicode MS"/>
        </w:rPr>
        <w:t>̃</w:t>
      </w:r>
      <w:r>
        <w:rPr>
          <w:rFonts w:ascii="Century Gothic" w:hAnsi="Century Gothic"/>
          <w:lang w:val="es-ES_tradnl"/>
        </w:rPr>
        <w:t>os cumplidos y menos de dieciocho años de edad, el caso sera</w:t>
      </w:r>
      <w:r>
        <w:rPr>
          <w:rFonts w:ascii="Arial Unicode MS" w:hAnsi="Arial Unicode MS"/>
        </w:rPr>
        <w:t>́</w:t>
      </w:r>
      <w:r>
        <w:rPr>
          <w:rFonts w:ascii="Century Gothic" w:hAnsi="Century Gothic"/>
        </w:rPr>
        <w:t xml:space="preserve"> </w:t>
      </w:r>
      <w:r>
        <w:rPr>
          <w:rFonts w:ascii="Century Gothic" w:hAnsi="Century Gothic"/>
          <w:lang w:val="es-ES_tradnl"/>
        </w:rPr>
        <w:t>turnado a las autoridades especializadas del Sistema Estatal de Justicia para Adolescentes. Las personas menores de catorce añ</w:t>
      </w:r>
      <w:r>
        <w:rPr>
          <w:rFonts w:ascii="Arial Unicode MS" w:hAnsi="Arial Unicode MS"/>
        </w:rPr>
        <w:t>̃</w:t>
      </w:r>
      <w:r>
        <w:rPr>
          <w:rFonts w:ascii="Century Gothic" w:hAnsi="Century Gothic"/>
          <w:lang w:val="es-ES_tradnl"/>
        </w:rPr>
        <w:t>os que hayan realizado una conducta prevista como delito en la ley, so</w:t>
      </w:r>
      <w:r>
        <w:rPr>
          <w:rFonts w:ascii="Arial Unicode MS" w:hAnsi="Arial Unicode MS"/>
        </w:rPr>
        <w:t>́</w:t>
      </w:r>
      <w:r>
        <w:rPr>
          <w:rFonts w:ascii="Century Gothic" w:hAnsi="Century Gothic"/>
          <w:lang w:val="it-IT"/>
        </w:rPr>
        <w:t>lo sera</w:t>
      </w:r>
      <w:r>
        <w:rPr>
          <w:rFonts w:ascii="Arial Unicode MS" w:hAnsi="Arial Unicode MS"/>
        </w:rPr>
        <w:t>́</w:t>
      </w:r>
      <w:r>
        <w:rPr>
          <w:rFonts w:ascii="Century Gothic" w:hAnsi="Century Gothic"/>
          <w:lang w:val="es-ES_tradnl"/>
        </w:rPr>
        <w:t>n sujetas a rehabilitacio</w:t>
      </w:r>
      <w:r>
        <w:rPr>
          <w:rFonts w:ascii="Arial Unicode MS" w:hAnsi="Arial Unicode MS"/>
        </w:rPr>
        <w:t>́</w:t>
      </w:r>
      <w:r>
        <w:rPr>
          <w:rFonts w:ascii="Century Gothic" w:hAnsi="Century Gothic"/>
          <w:lang w:val="es-ES_tradnl"/>
        </w:rPr>
        <w:t xml:space="preserve">n y asistencia social. </w:t>
      </w:r>
    </w:p>
    <w:p w14:paraId="52531772"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58B762AE"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El Sistema Estatal de Justicia para Adolescentes se regira</w:t>
      </w:r>
      <w:r>
        <w:rPr>
          <w:rFonts w:ascii="Arial Unicode MS" w:hAnsi="Arial Unicode MS"/>
        </w:rPr>
        <w:t>́</w:t>
      </w:r>
      <w:r>
        <w:rPr>
          <w:rFonts w:ascii="Century Gothic" w:hAnsi="Century Gothic"/>
        </w:rPr>
        <w:t xml:space="preserve"> </w:t>
      </w:r>
      <w:r>
        <w:rPr>
          <w:rFonts w:ascii="Century Gothic" w:hAnsi="Century Gothic"/>
          <w:lang w:val="es-ES_tradnl"/>
        </w:rPr>
        <w:t>por los principios de intere</w:t>
      </w:r>
      <w:r>
        <w:rPr>
          <w:rFonts w:ascii="Arial Unicode MS" w:hAnsi="Arial Unicode MS"/>
        </w:rPr>
        <w:t>́</w:t>
      </w:r>
      <w:r>
        <w:rPr>
          <w:rFonts w:ascii="Century Gothic" w:hAnsi="Century Gothic"/>
          <w:lang w:val="es-ES_tradnl"/>
        </w:rPr>
        <w:t>s superior del adolescente, proteccio</w:t>
      </w:r>
      <w:r>
        <w:rPr>
          <w:rFonts w:ascii="Arial Unicode MS" w:hAnsi="Arial Unicode MS"/>
        </w:rPr>
        <w:t>́</w:t>
      </w:r>
      <w:r>
        <w:rPr>
          <w:rFonts w:ascii="Century Gothic" w:hAnsi="Century Gothic"/>
          <w:lang w:val="es-ES_tradnl"/>
        </w:rPr>
        <w:t>n integral y respeto a sus derechos especi</w:t>
      </w:r>
      <w:r>
        <w:rPr>
          <w:rFonts w:ascii="Arial Unicode MS" w:hAnsi="Arial Unicode MS"/>
        </w:rPr>
        <w:t>́</w:t>
      </w:r>
      <w:r>
        <w:rPr>
          <w:rFonts w:ascii="Century Gothic" w:hAnsi="Century Gothic"/>
          <w:lang w:val="es-ES_tradnl"/>
        </w:rPr>
        <w:t>ficos que por su condicio</w:t>
      </w:r>
      <w:r>
        <w:rPr>
          <w:rFonts w:ascii="Arial Unicode MS" w:hAnsi="Arial Unicode MS"/>
        </w:rPr>
        <w:t>́</w:t>
      </w:r>
      <w:r>
        <w:rPr>
          <w:rFonts w:ascii="Century Gothic" w:hAnsi="Century Gothic"/>
          <w:lang w:val="es-ES_tradnl"/>
        </w:rPr>
        <w:t>n de personas en desarrollo les han sido reconocidos, formacio</w:t>
      </w:r>
      <w:r>
        <w:rPr>
          <w:rFonts w:ascii="Arial Unicode MS" w:hAnsi="Arial Unicode MS"/>
        </w:rPr>
        <w:t>́</w:t>
      </w:r>
      <w:r>
        <w:rPr>
          <w:rFonts w:ascii="Century Gothic" w:hAnsi="Century Gothic"/>
          <w:lang w:val="es-ES_tradnl"/>
        </w:rPr>
        <w:t>n integral y reinsercio</w:t>
      </w:r>
      <w:r>
        <w:rPr>
          <w:rFonts w:ascii="Arial Unicode MS" w:hAnsi="Arial Unicode MS"/>
        </w:rPr>
        <w:t>́</w:t>
      </w:r>
      <w:r>
        <w:rPr>
          <w:rFonts w:ascii="Century Gothic" w:hAnsi="Century Gothic"/>
          <w:lang w:val="es-ES_tradnl"/>
        </w:rPr>
        <w:t xml:space="preserve">n en su familia y en la sociedad. </w:t>
      </w:r>
    </w:p>
    <w:p w14:paraId="0E518721"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68B9AF43"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Las medidas sancionadoras impuestas por la realizacio</w:t>
      </w:r>
      <w:r>
        <w:rPr>
          <w:rFonts w:ascii="Arial Unicode MS" w:hAnsi="Arial Unicode MS"/>
        </w:rPr>
        <w:t>́</w:t>
      </w:r>
      <w:r>
        <w:rPr>
          <w:rFonts w:ascii="Century Gothic" w:hAnsi="Century Gothic"/>
          <w:lang w:val="es-ES_tradnl"/>
        </w:rPr>
        <w:t>n de una conducta tipificada como delito por la ley penal, debera</w:t>
      </w:r>
      <w:r>
        <w:rPr>
          <w:rFonts w:ascii="Arial Unicode MS" w:hAnsi="Arial Unicode MS"/>
        </w:rPr>
        <w:t>́</w:t>
      </w:r>
      <w:r>
        <w:rPr>
          <w:rFonts w:ascii="Century Gothic" w:hAnsi="Century Gothic"/>
          <w:lang w:val="es-ES_tradnl"/>
        </w:rPr>
        <w:t>n ser racionales y proporcionales a la conducta y correspondera</w:t>
      </w:r>
      <w:r>
        <w:rPr>
          <w:rFonts w:ascii="Arial Unicode MS" w:hAnsi="Arial Unicode MS"/>
        </w:rPr>
        <w:t>́</w:t>
      </w:r>
      <w:r>
        <w:rPr>
          <w:rFonts w:ascii="Century Gothic" w:hAnsi="Century Gothic"/>
        </w:rPr>
        <w:t xml:space="preserve"> </w:t>
      </w:r>
      <w:r>
        <w:rPr>
          <w:rFonts w:ascii="Century Gothic" w:hAnsi="Century Gothic"/>
          <w:lang w:val="es-ES_tradnl"/>
        </w:rPr>
        <w:t>su aplicacio</w:t>
      </w:r>
      <w:r>
        <w:rPr>
          <w:rFonts w:ascii="Arial Unicode MS" w:hAnsi="Arial Unicode MS"/>
        </w:rPr>
        <w:t>́</w:t>
      </w:r>
      <w:r>
        <w:rPr>
          <w:rFonts w:ascii="Century Gothic" w:hAnsi="Century Gothic"/>
          <w:lang w:val="es-ES_tradnl"/>
        </w:rPr>
        <w:t>n al a</w:t>
      </w:r>
      <w:r>
        <w:rPr>
          <w:rFonts w:ascii="Arial Unicode MS" w:hAnsi="Arial Unicode MS"/>
        </w:rPr>
        <w:t>́</w:t>
      </w:r>
      <w:r>
        <w:rPr>
          <w:rFonts w:ascii="Century Gothic" w:hAnsi="Century Gothic"/>
          <w:lang w:val="es-ES_tradnl"/>
        </w:rPr>
        <w:t>rea especializada del Poder Judicial del Estado, previo procedimiento acusatorio oral, contradictorio, continuo, concentrado y expedito. En todas las resoluciones se debera</w:t>
      </w:r>
      <w:r>
        <w:rPr>
          <w:rFonts w:ascii="Arial Unicode MS" w:hAnsi="Arial Unicode MS"/>
        </w:rPr>
        <w:t>́</w:t>
      </w:r>
      <w:r>
        <w:rPr>
          <w:rFonts w:ascii="Century Gothic" w:hAnsi="Century Gothic"/>
        </w:rPr>
        <w:t xml:space="preserve"> </w:t>
      </w:r>
      <w:r>
        <w:rPr>
          <w:rFonts w:ascii="Century Gothic" w:hAnsi="Century Gothic"/>
          <w:lang w:val="es-ES_tradnl"/>
        </w:rPr>
        <w:t>dejar patente que el intere</w:t>
      </w:r>
      <w:r>
        <w:rPr>
          <w:rFonts w:ascii="Arial Unicode MS" w:hAnsi="Arial Unicode MS"/>
        </w:rPr>
        <w:t>́</w:t>
      </w:r>
      <w:r>
        <w:rPr>
          <w:rFonts w:ascii="Century Gothic" w:hAnsi="Century Gothic"/>
          <w:lang w:val="es-ES_tradnl"/>
        </w:rPr>
        <w:t>s superior de la nin</w:t>
      </w:r>
      <w:r>
        <w:rPr>
          <w:rFonts w:ascii="Arial Unicode MS" w:hAnsi="Arial Unicode MS"/>
        </w:rPr>
        <w:t>̃</w:t>
      </w:r>
      <w:r>
        <w:rPr>
          <w:rFonts w:ascii="Century Gothic" w:hAnsi="Century Gothic"/>
          <w:lang w:val="es-ES_tradnl"/>
        </w:rPr>
        <w:t>ez es una consideracio</w:t>
      </w:r>
      <w:r>
        <w:rPr>
          <w:rFonts w:ascii="Arial Unicode MS" w:hAnsi="Arial Unicode MS"/>
        </w:rPr>
        <w:t>́</w:t>
      </w:r>
      <w:r>
        <w:rPr>
          <w:rFonts w:ascii="Century Gothic" w:hAnsi="Century Gothic"/>
          <w:lang w:val="es-ES_tradnl"/>
        </w:rPr>
        <w:t>n primordial, sen</w:t>
      </w:r>
      <w:r>
        <w:rPr>
          <w:rFonts w:ascii="Arial Unicode MS" w:hAnsi="Arial Unicode MS"/>
        </w:rPr>
        <w:t>̃</w:t>
      </w:r>
      <w:r>
        <w:rPr>
          <w:rFonts w:ascii="Century Gothic" w:hAnsi="Century Gothic"/>
          <w:lang w:val="es-ES_tradnl"/>
        </w:rPr>
        <w:t>alando la forma en que se ha examinado y ponderado el mismo, asi</w:t>
      </w:r>
      <w:r>
        <w:rPr>
          <w:rFonts w:ascii="Arial Unicode MS" w:hAnsi="Arial Unicode MS"/>
        </w:rPr>
        <w:t>́</w:t>
      </w:r>
      <w:r>
        <w:rPr>
          <w:rFonts w:ascii="Century Gothic" w:hAnsi="Century Gothic"/>
        </w:rPr>
        <w:t xml:space="preserve"> </w:t>
      </w:r>
      <w:r>
        <w:rPr>
          <w:rFonts w:ascii="Century Gothic" w:hAnsi="Century Gothic"/>
          <w:lang w:val="es-ES_tradnl"/>
        </w:rPr>
        <w:t>como la importancia que se le ha atribuido a la decisio</w:t>
      </w:r>
      <w:r>
        <w:rPr>
          <w:rFonts w:ascii="Arial Unicode MS" w:hAnsi="Arial Unicode MS"/>
        </w:rPr>
        <w:t>́</w:t>
      </w:r>
      <w:r>
        <w:rPr>
          <w:rFonts w:ascii="Century Gothic" w:hAnsi="Century Gothic"/>
          <w:lang w:val="es-ES_tradnl"/>
        </w:rPr>
        <w:t>n judicial. La ejecucio</w:t>
      </w:r>
      <w:r>
        <w:rPr>
          <w:rFonts w:ascii="Arial Unicode MS" w:hAnsi="Arial Unicode MS"/>
        </w:rPr>
        <w:t>́</w:t>
      </w:r>
      <w:r>
        <w:rPr>
          <w:rFonts w:ascii="Century Gothic" w:hAnsi="Century Gothic"/>
          <w:lang w:val="es-ES_tradnl"/>
        </w:rPr>
        <w:t>n de las medidas sancionadoras correspondera</w:t>
      </w:r>
      <w:r>
        <w:rPr>
          <w:rFonts w:ascii="Arial Unicode MS" w:hAnsi="Arial Unicode MS"/>
        </w:rPr>
        <w:t>́</w:t>
      </w:r>
      <w:r>
        <w:rPr>
          <w:rFonts w:ascii="Century Gothic" w:hAnsi="Century Gothic"/>
        </w:rPr>
        <w:t xml:space="preserve"> </w:t>
      </w:r>
      <w:r>
        <w:rPr>
          <w:rFonts w:ascii="Century Gothic" w:hAnsi="Century Gothic"/>
          <w:lang w:val="es-ES_tradnl"/>
        </w:rPr>
        <w:t>al Poder Ejecutivo.</w:t>
      </w:r>
    </w:p>
    <w:p w14:paraId="368598F9"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3E4A570F"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Los reos sentenciados que compurguen penas de prisio</w:t>
      </w:r>
      <w:r>
        <w:rPr>
          <w:rFonts w:ascii="Arial Unicode MS" w:hAnsi="Arial Unicode MS"/>
        </w:rPr>
        <w:t>́</w:t>
      </w:r>
      <w:r>
        <w:rPr>
          <w:rFonts w:ascii="Century Gothic" w:hAnsi="Century Gothic"/>
          <w:lang w:val="es-ES_tradnl"/>
        </w:rPr>
        <w:t>n en los penales del Estado tendra</w:t>
      </w:r>
      <w:r>
        <w:rPr>
          <w:rFonts w:ascii="Arial Unicode MS" w:hAnsi="Arial Unicode MS"/>
        </w:rPr>
        <w:t>́</w:t>
      </w:r>
      <w:r>
        <w:rPr>
          <w:rFonts w:ascii="Century Gothic" w:hAnsi="Century Gothic"/>
          <w:lang w:val="es-ES_tradnl"/>
        </w:rPr>
        <w:t>n acceso, conforme a la ley, a las actividades laborales, las que sera</w:t>
      </w:r>
      <w:r>
        <w:rPr>
          <w:rFonts w:ascii="Arial Unicode MS" w:hAnsi="Arial Unicode MS"/>
        </w:rPr>
        <w:t>́</w:t>
      </w:r>
      <w:r>
        <w:rPr>
          <w:rFonts w:ascii="Century Gothic" w:hAnsi="Century Gothic"/>
          <w:lang w:val="es-ES_tradnl"/>
        </w:rPr>
        <w:t>n obligatorias si asi</w:t>
      </w:r>
      <w:r>
        <w:rPr>
          <w:rFonts w:ascii="Arial Unicode MS" w:hAnsi="Arial Unicode MS"/>
        </w:rPr>
        <w:t>́</w:t>
      </w:r>
      <w:r>
        <w:rPr>
          <w:rFonts w:ascii="Century Gothic" w:hAnsi="Century Gothic"/>
        </w:rPr>
        <w:t xml:space="preserve"> </w:t>
      </w:r>
      <w:r>
        <w:rPr>
          <w:rFonts w:ascii="Century Gothic" w:hAnsi="Century Gothic"/>
          <w:lang w:val="es-ES_tradnl"/>
        </w:rPr>
        <w:t>fuere determinado en sentencia ejecutoriada dictada por la autoridad judicial; asi</w:t>
      </w:r>
      <w:r>
        <w:rPr>
          <w:rFonts w:ascii="Arial Unicode MS" w:hAnsi="Arial Unicode MS"/>
        </w:rPr>
        <w:t>́</w:t>
      </w:r>
      <w:r>
        <w:rPr>
          <w:rFonts w:ascii="Century Gothic" w:hAnsi="Century Gothic"/>
        </w:rPr>
        <w:t xml:space="preserve"> </w:t>
      </w:r>
      <w:r>
        <w:rPr>
          <w:rFonts w:ascii="Century Gothic" w:hAnsi="Century Gothic"/>
          <w:lang w:val="es-ES_tradnl"/>
        </w:rPr>
        <w:t>mismo, disfrutara</w:t>
      </w:r>
      <w:r>
        <w:rPr>
          <w:rFonts w:ascii="Arial Unicode MS" w:hAnsi="Arial Unicode MS"/>
        </w:rPr>
        <w:t>́</w:t>
      </w:r>
      <w:r>
        <w:rPr>
          <w:rFonts w:ascii="Century Gothic" w:hAnsi="Century Gothic"/>
          <w:lang w:val="es-ES_tradnl"/>
        </w:rPr>
        <w:t>n de las actividades educativas, deportivas y otras que se desarrollen en los centros penitenciarios, que les permitan disminuir su condena o favorezcan su rehabilitacio</w:t>
      </w:r>
      <w:r>
        <w:rPr>
          <w:rFonts w:ascii="Arial Unicode MS" w:hAnsi="Arial Unicode MS"/>
        </w:rPr>
        <w:t>́</w:t>
      </w:r>
      <w:r>
        <w:rPr>
          <w:rFonts w:ascii="Century Gothic" w:hAnsi="Century Gothic"/>
        </w:rPr>
        <w:t>n.</w:t>
      </w:r>
    </w:p>
    <w:p w14:paraId="44FAA2AE"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5E3FCAF2" w14:textId="77777777" w:rsidR="0015360A" w:rsidRDefault="0015360A" w:rsidP="0015360A">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360" w:lineRule="auto"/>
        <w:jc w:val="both"/>
        <w:rPr>
          <w:rFonts w:ascii="Century Gothic" w:eastAsia="Century Gothic" w:hAnsi="Century Gothic" w:cs="Century Gothic"/>
        </w:rPr>
      </w:pPr>
      <w:r>
        <w:rPr>
          <w:rFonts w:ascii="Century Gothic" w:hAnsi="Century Gothic"/>
        </w:rPr>
        <w:t>ARTICULO 101. El procedimiento para nombrar Magistradas y Magistrados se llevará en la forma y t</w:t>
      </w:r>
      <w:r>
        <w:rPr>
          <w:rFonts w:ascii="Century Gothic" w:hAnsi="Century Gothic"/>
          <w:lang w:val="fr-FR"/>
        </w:rPr>
        <w:t>é</w:t>
      </w:r>
      <w:r>
        <w:rPr>
          <w:rFonts w:ascii="Century Gothic" w:hAnsi="Century Gothic"/>
        </w:rPr>
        <w:t xml:space="preserve">rminos que señale la Ley Orgánica del Poder Judicial, conforme a las siguientes bases: </w:t>
      </w:r>
    </w:p>
    <w:p w14:paraId="505988AB" w14:textId="77777777" w:rsidR="0015360A" w:rsidRDefault="0015360A" w:rsidP="0015360A">
      <w:pPr>
        <w:pStyle w:val="Predeterminado"/>
        <w:numPr>
          <w:ilvl w:val="0"/>
          <w:numId w:val="4"/>
        </w:numPr>
        <w:spacing w:before="0" w:after="266" w:line="360" w:lineRule="auto"/>
        <w:jc w:val="both"/>
        <w:rPr>
          <w:rFonts w:ascii="Century Gothic" w:hAnsi="Century Gothic"/>
        </w:rPr>
      </w:pPr>
      <w:r>
        <w:rPr>
          <w:rFonts w:ascii="Century Gothic" w:hAnsi="Century Gothic"/>
        </w:rPr>
        <w:t xml:space="preserve">En casos de faltas definitivas de Magistradas y Magistrados o la creación de otras Salas, el Pleno del Consejo de la Judicatura convocará a concurso de oposición para seleccionar a quienes deban cubrir las plazas vacantes o las creadas. </w:t>
      </w:r>
      <w:r>
        <w:rPr>
          <w:rFonts w:ascii="Century Gothic" w:eastAsia="Century Gothic" w:hAnsi="Century Gothic" w:cs="Century Gothic"/>
        </w:rPr>
        <w:br/>
      </w:r>
    </w:p>
    <w:p w14:paraId="15DCF166" w14:textId="77777777" w:rsidR="0015360A" w:rsidRDefault="0015360A" w:rsidP="0015360A">
      <w:pPr>
        <w:pStyle w:val="Predeterminado"/>
        <w:numPr>
          <w:ilvl w:val="0"/>
          <w:numId w:val="4"/>
        </w:numPr>
        <w:spacing w:before="0" w:after="266" w:line="360" w:lineRule="auto"/>
        <w:jc w:val="both"/>
        <w:rPr>
          <w:rFonts w:ascii="Century Gothic" w:hAnsi="Century Gothic"/>
        </w:rPr>
      </w:pPr>
      <w:r>
        <w:rPr>
          <w:rFonts w:ascii="Century Gothic" w:hAnsi="Century Gothic"/>
        </w:rPr>
        <w:t xml:space="preserve">El Consejo de la Judicatura en pleno se constituirá en Jurado Calificador del concurso de oposición. Las </w:t>
      </w:r>
      <w:proofErr w:type="gramStart"/>
      <w:r>
        <w:rPr>
          <w:rFonts w:ascii="Century Gothic" w:hAnsi="Century Gothic"/>
        </w:rPr>
        <w:t>Consejeras</w:t>
      </w:r>
      <w:proofErr w:type="gramEnd"/>
      <w:r>
        <w:rPr>
          <w:rFonts w:ascii="Century Gothic" w:hAnsi="Century Gothic"/>
        </w:rPr>
        <w:t xml:space="preserve"> y Consejeros deberán excusarse de intervenir en el examen de las personas aspirantes respecto de quienes tengan impedimento para actuar con imparcialidad, caso en el que se les sustituirá por una persona suplente, la cual será designada con el mismo mecanismo por el cual se seleccionó a la o el Consejero propietario. </w:t>
      </w:r>
      <w:r>
        <w:rPr>
          <w:rFonts w:ascii="Century Gothic" w:eastAsia="Century Gothic" w:hAnsi="Century Gothic" w:cs="Century Gothic"/>
        </w:rPr>
        <w:br/>
      </w:r>
      <w:r>
        <w:rPr>
          <w:rFonts w:ascii="Century Gothic" w:hAnsi="Century Gothic"/>
        </w:rPr>
        <w:t xml:space="preserve">El Jurado Calificador tomará sus decisiones por mayoría de votos y será presidido por quien ocupe la titularidad de la Presidencia del Consejo. En caso de excusa de la persona titular de la Presidencia, se le sustituirá por una persona integrante del Consejo que haya sido designada por el Tribunal Superior y que tenga mayor antigüedad en la función judicial. </w:t>
      </w:r>
    </w:p>
    <w:p w14:paraId="58259166" w14:textId="77777777" w:rsidR="0015360A" w:rsidRDefault="0015360A" w:rsidP="0015360A">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Century Gothic" w:eastAsia="Century Gothic" w:hAnsi="Century Gothic" w:cs="Century Gothic"/>
        </w:rPr>
      </w:pPr>
    </w:p>
    <w:p w14:paraId="3447CA80" w14:textId="77777777" w:rsidR="0015360A" w:rsidRDefault="0015360A" w:rsidP="0015360A">
      <w:pPr>
        <w:pStyle w:val="Predeterminado"/>
        <w:numPr>
          <w:ilvl w:val="0"/>
          <w:numId w:val="4"/>
        </w:numPr>
        <w:spacing w:before="0" w:after="266" w:line="360" w:lineRule="auto"/>
        <w:jc w:val="both"/>
        <w:rPr>
          <w:rFonts w:ascii="Century Gothic" w:hAnsi="Century Gothic"/>
        </w:rPr>
      </w:pPr>
      <w:r>
        <w:rPr>
          <w:rFonts w:ascii="Century Gothic" w:hAnsi="Century Gothic"/>
        </w:rPr>
        <w:t>El Jurado Calificador examinará a quienes participen y se regirá por los principios de excelencia, transparencia, objetividad, exhaustividad, imparcialidad, profesionalismo, independencia y paridad de g</w:t>
      </w:r>
      <w:r>
        <w:rPr>
          <w:rFonts w:ascii="Century Gothic" w:hAnsi="Century Gothic"/>
          <w:lang w:val="fr-FR"/>
        </w:rPr>
        <w:t>é</w:t>
      </w:r>
      <w:r>
        <w:rPr>
          <w:rFonts w:ascii="Century Gothic" w:hAnsi="Century Gothic"/>
        </w:rPr>
        <w:t xml:space="preserve">nero respecto de la materia de la magistratura en la que concursan y en otras relacionadas con aquella. </w:t>
      </w:r>
      <w:r>
        <w:rPr>
          <w:rFonts w:ascii="Century Gothic" w:eastAsia="Century Gothic" w:hAnsi="Century Gothic" w:cs="Century Gothic"/>
        </w:rPr>
        <w:br/>
      </w:r>
    </w:p>
    <w:p w14:paraId="41305F2D" w14:textId="77777777" w:rsidR="0015360A" w:rsidRDefault="0015360A" w:rsidP="0015360A">
      <w:pPr>
        <w:pStyle w:val="Predeterminado"/>
        <w:numPr>
          <w:ilvl w:val="0"/>
          <w:numId w:val="4"/>
        </w:numPr>
        <w:spacing w:before="0" w:after="266" w:line="360" w:lineRule="auto"/>
        <w:jc w:val="both"/>
        <w:rPr>
          <w:rFonts w:ascii="Century Gothic" w:hAnsi="Century Gothic"/>
        </w:rPr>
      </w:pPr>
      <w:r>
        <w:rPr>
          <w:rFonts w:ascii="Century Gothic" w:hAnsi="Century Gothic"/>
        </w:rPr>
        <w:t xml:space="preserve">El Jurado Calificador integrará una terna de quienes hayan participado en el concurso y la remitirá al Ejecutivo del Estado. </w:t>
      </w:r>
      <w:r>
        <w:rPr>
          <w:rFonts w:ascii="Century Gothic" w:eastAsia="Century Gothic" w:hAnsi="Century Gothic" w:cs="Century Gothic"/>
        </w:rPr>
        <w:br/>
      </w:r>
    </w:p>
    <w:p w14:paraId="77C0108B" w14:textId="77777777" w:rsidR="0015360A" w:rsidRDefault="0015360A" w:rsidP="0015360A">
      <w:pPr>
        <w:pStyle w:val="Predeterminado"/>
        <w:numPr>
          <w:ilvl w:val="0"/>
          <w:numId w:val="4"/>
        </w:numPr>
        <w:spacing w:before="0" w:after="266" w:line="360" w:lineRule="auto"/>
        <w:jc w:val="both"/>
        <w:rPr>
          <w:rFonts w:ascii="Century Gothic" w:hAnsi="Century Gothic"/>
        </w:rPr>
      </w:pPr>
      <w:r>
        <w:rPr>
          <w:rFonts w:ascii="Century Gothic" w:hAnsi="Century Gothic"/>
        </w:rPr>
        <w:t>La persona titular del Poder Ejecutivo del Estado propondrá, para su ratificación, al Congreso del Estado, a una de las personas que integran la terna. La ratificación se efectuará por el voto de las dos terceras partes de sus integrantes presentes en la sesión respectiva, dentro del plazo improrrogable de treinta días naturales a partir de la presentación de la propuesta y se deberá aplicar el principio de paridad de g</w:t>
      </w:r>
      <w:r>
        <w:rPr>
          <w:rFonts w:ascii="Century Gothic" w:hAnsi="Century Gothic"/>
          <w:lang w:val="fr-FR"/>
        </w:rPr>
        <w:t>é</w:t>
      </w:r>
      <w:r>
        <w:rPr>
          <w:rFonts w:ascii="Century Gothic" w:hAnsi="Century Gothic"/>
        </w:rPr>
        <w:t xml:space="preserve">nero. En caso que el Congreso no resolviere en dicho plazo, ocupará el cargo la persona propuesta por quien ocupe la titularidad del Poder Ejecutivo del Estado. </w:t>
      </w:r>
      <w:r>
        <w:rPr>
          <w:rFonts w:ascii="Century Gothic" w:eastAsia="Century Gothic" w:hAnsi="Century Gothic" w:cs="Century Gothic"/>
        </w:rPr>
        <w:br/>
      </w:r>
      <w:r>
        <w:rPr>
          <w:rFonts w:ascii="Century Gothic" w:hAnsi="Century Gothic"/>
        </w:rPr>
        <w:t xml:space="preserve">En caso que el Congreso rechace la propuesta, la persona titular del Poder Ejecutivo del Estado enviará una nueva, de entre las personas a que se refiere el párrafo anterior. Si esta segunda propuesta fuere rechazada, ocupará el cargo la última persona integrante de la terna, quien deberá ser designada por el Congreso. </w:t>
      </w:r>
      <w:r>
        <w:rPr>
          <w:rFonts w:ascii="Century Gothic" w:eastAsia="Century Gothic" w:hAnsi="Century Gothic" w:cs="Century Gothic"/>
        </w:rPr>
        <w:br/>
      </w:r>
    </w:p>
    <w:p w14:paraId="1E47A47A"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3D7D9916"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de-DE"/>
        </w:rPr>
        <w:t>ARTI</w:t>
      </w:r>
      <w:r>
        <w:rPr>
          <w:rFonts w:ascii="Arial Unicode MS" w:hAnsi="Arial Unicode MS"/>
        </w:rPr>
        <w:t>́</w:t>
      </w:r>
      <w:r>
        <w:rPr>
          <w:rFonts w:ascii="Century Gothic" w:hAnsi="Century Gothic"/>
          <w:lang w:val="es-ES_tradnl"/>
        </w:rPr>
        <w:t>CULO 108. Salvo quien ocupe la Presidencia del Tribunal Superior de Justicia, las dema</w:t>
      </w:r>
      <w:r>
        <w:rPr>
          <w:rFonts w:ascii="Arial Unicode MS" w:hAnsi="Arial Unicode MS"/>
        </w:rPr>
        <w:t>́</w:t>
      </w:r>
      <w:r>
        <w:rPr>
          <w:rFonts w:ascii="Century Gothic" w:hAnsi="Century Gothic"/>
          <w:lang w:val="es-ES_tradnl"/>
        </w:rPr>
        <w:t>s personas que integren el Consejo durara</w:t>
      </w:r>
      <w:r>
        <w:rPr>
          <w:rFonts w:ascii="Arial Unicode MS" w:hAnsi="Arial Unicode MS"/>
        </w:rPr>
        <w:t>́</w:t>
      </w:r>
      <w:r>
        <w:rPr>
          <w:rFonts w:ascii="Century Gothic" w:hAnsi="Century Gothic"/>
          <w:lang w:val="es-ES_tradnl"/>
        </w:rPr>
        <w:t>n cinco an</w:t>
      </w:r>
      <w:r>
        <w:rPr>
          <w:rFonts w:ascii="Arial Unicode MS" w:hAnsi="Arial Unicode MS"/>
        </w:rPr>
        <w:t>̃</w:t>
      </w:r>
      <w:r>
        <w:rPr>
          <w:rFonts w:ascii="Century Gothic" w:hAnsi="Century Gothic"/>
          <w:lang w:val="es-ES_tradnl"/>
        </w:rPr>
        <w:t xml:space="preserve">os en el cargo y no </w:t>
      </w:r>
      <w:r>
        <w:rPr>
          <w:rFonts w:ascii="Century Gothic" w:hAnsi="Century Gothic"/>
        </w:rPr>
        <w:t>podra</w:t>
      </w:r>
      <w:r>
        <w:rPr>
          <w:rFonts w:ascii="Arial Unicode MS" w:hAnsi="Arial Unicode MS"/>
        </w:rPr>
        <w:t>́</w:t>
      </w:r>
      <w:r>
        <w:rPr>
          <w:rFonts w:ascii="Century Gothic" w:hAnsi="Century Gothic"/>
          <w:lang w:val="pt-PT"/>
        </w:rPr>
        <w:t xml:space="preserve">n ser reelectas, </w:t>
      </w:r>
      <w:r>
        <w:rPr>
          <w:rFonts w:ascii="Century Gothic" w:hAnsi="Century Gothic"/>
          <w:lang w:val="es-ES_tradnl"/>
        </w:rPr>
        <w:t>salvo por u</w:t>
      </w:r>
      <w:r>
        <w:rPr>
          <w:rFonts w:ascii="Arial Unicode MS" w:hAnsi="Arial Unicode MS"/>
        </w:rPr>
        <w:t>́</w:t>
      </w:r>
      <w:r>
        <w:rPr>
          <w:rFonts w:ascii="Century Gothic" w:hAnsi="Century Gothic"/>
          <w:lang w:val="es-ES_tradnl"/>
        </w:rPr>
        <w:t>nica ocasio</w:t>
      </w:r>
      <w:r>
        <w:rPr>
          <w:rFonts w:ascii="Arial Unicode MS" w:hAnsi="Arial Unicode MS"/>
        </w:rPr>
        <w:t>́</w:t>
      </w:r>
      <w:r>
        <w:rPr>
          <w:rFonts w:ascii="Century Gothic" w:hAnsi="Century Gothic"/>
          <w:lang w:val="it-IT"/>
        </w:rPr>
        <w:t xml:space="preserve">n, si </w:t>
      </w:r>
      <w:r>
        <w:rPr>
          <w:rFonts w:ascii="Century Gothic" w:hAnsi="Century Gothic"/>
          <w:lang w:val="es-ES_tradnl"/>
        </w:rPr>
        <w:t>hubieren sido designados para concluir el período correspondiente a la falta definitiva de su antecesor en el cargo, designación que en todo caso deberá haber sido realizada, con base en el principio de paridad de ge</w:t>
      </w:r>
      <w:r>
        <w:rPr>
          <w:rFonts w:ascii="Arial Unicode MS" w:hAnsi="Arial Unicode MS"/>
        </w:rPr>
        <w:t>́</w:t>
      </w:r>
      <w:r>
        <w:rPr>
          <w:rFonts w:ascii="Century Gothic" w:hAnsi="Century Gothic"/>
          <w:lang w:val="es-ES_tradnl"/>
        </w:rPr>
        <w:t xml:space="preserve">nero. Aquellas </w:t>
      </w:r>
      <w:proofErr w:type="gramStart"/>
      <w:r>
        <w:rPr>
          <w:rFonts w:ascii="Century Gothic" w:hAnsi="Century Gothic"/>
          <w:lang w:val="es-ES_tradnl"/>
        </w:rPr>
        <w:t>Consejeras</w:t>
      </w:r>
      <w:proofErr w:type="gramEnd"/>
      <w:r>
        <w:rPr>
          <w:rFonts w:ascii="Century Gothic" w:hAnsi="Century Gothic"/>
          <w:lang w:val="es-ES_tradnl"/>
        </w:rPr>
        <w:t xml:space="preserve"> y Consejeros que hayan sido elegidos por el Tribunal Superior de Justicia, al terminar su encargo, regresara</w:t>
      </w:r>
      <w:r>
        <w:rPr>
          <w:rFonts w:ascii="Arial Unicode MS" w:hAnsi="Arial Unicode MS"/>
        </w:rPr>
        <w:t>́</w:t>
      </w:r>
      <w:r>
        <w:rPr>
          <w:rFonts w:ascii="Century Gothic" w:hAnsi="Century Gothic"/>
          <w:lang w:val="es-ES_tradnl"/>
        </w:rPr>
        <w:t>n, en su caso, como titulares de la Sala que ocupaban al momento de su designacio</w:t>
      </w:r>
      <w:r>
        <w:rPr>
          <w:rFonts w:ascii="Arial Unicode MS" w:hAnsi="Arial Unicode MS"/>
        </w:rPr>
        <w:t>́</w:t>
      </w:r>
      <w:r>
        <w:rPr>
          <w:rFonts w:ascii="Century Gothic" w:hAnsi="Century Gothic"/>
          <w:lang w:val="es-ES_tradnl"/>
        </w:rPr>
        <w:t>n, y quienes les hayan sustituido se les considerara</w:t>
      </w:r>
      <w:r>
        <w:rPr>
          <w:rFonts w:ascii="Arial Unicode MS" w:hAnsi="Arial Unicode MS"/>
        </w:rPr>
        <w:t>́</w:t>
      </w:r>
      <w:r>
        <w:rPr>
          <w:rFonts w:ascii="Century Gothic" w:hAnsi="Century Gothic"/>
          <w:lang w:val="es-ES_tradnl"/>
        </w:rPr>
        <w:t>, de manera preferente, para la titularidad de aquellas salas vacantes o de nueva creacio</w:t>
      </w:r>
      <w:r>
        <w:rPr>
          <w:rFonts w:ascii="Arial Unicode MS" w:hAnsi="Arial Unicode MS"/>
        </w:rPr>
        <w:t>́</w:t>
      </w:r>
      <w:r>
        <w:rPr>
          <w:rFonts w:ascii="Century Gothic" w:hAnsi="Century Gothic"/>
        </w:rPr>
        <w:t>n.</w:t>
      </w:r>
    </w:p>
    <w:p w14:paraId="1666C6BF"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Las personas integrantes del Consejo ejercera</w:t>
      </w:r>
      <w:r>
        <w:rPr>
          <w:rFonts w:ascii="Arial Unicode MS" w:hAnsi="Arial Unicode MS"/>
        </w:rPr>
        <w:t>́</w:t>
      </w:r>
      <w:r>
        <w:rPr>
          <w:rFonts w:ascii="Century Gothic" w:hAnsi="Century Gothic"/>
          <w:lang w:val="es-ES_tradnl"/>
        </w:rPr>
        <w:t>n su funcio</w:t>
      </w:r>
      <w:r>
        <w:rPr>
          <w:rFonts w:ascii="Arial Unicode MS" w:hAnsi="Arial Unicode MS"/>
        </w:rPr>
        <w:t>́</w:t>
      </w:r>
      <w:r>
        <w:rPr>
          <w:rFonts w:ascii="Century Gothic" w:hAnsi="Century Gothic"/>
          <w:lang w:val="it-IT"/>
        </w:rPr>
        <w:t xml:space="preserve">n con </w:t>
      </w:r>
      <w:r>
        <w:rPr>
          <w:rFonts w:ascii="Century Gothic" w:hAnsi="Century Gothic"/>
          <w:lang w:val="es-ES_tradnl"/>
        </w:rPr>
        <w:t xml:space="preserve">profesionalismo, integridad, </w:t>
      </w:r>
      <w:r>
        <w:rPr>
          <w:rFonts w:ascii="Century Gothic" w:hAnsi="Century Gothic"/>
          <w:lang w:val="pt-PT"/>
        </w:rPr>
        <w:t>imparcialidad</w:t>
      </w:r>
      <w:r>
        <w:rPr>
          <w:rFonts w:ascii="Century Gothic" w:hAnsi="Century Gothic"/>
          <w:lang w:val="es-ES_tradnl"/>
        </w:rPr>
        <w:t xml:space="preserve"> e independencia.</w:t>
      </w:r>
    </w:p>
    <w:p w14:paraId="7FE35A7C"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p>
    <w:p w14:paraId="501343BA" w14:textId="77777777" w:rsidR="0015360A" w:rsidRDefault="0015360A" w:rsidP="0015360A">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Century Gothic" w:eastAsia="Century Gothic" w:hAnsi="Century Gothic" w:cs="Century Gothic"/>
        </w:rPr>
      </w:pPr>
      <w:r>
        <w:rPr>
          <w:rFonts w:ascii="Century Gothic" w:hAnsi="Century Gothic"/>
          <w:lang w:val="es-ES_tradnl"/>
        </w:rPr>
        <w:t>Asimismo, las y los co</w:t>
      </w:r>
      <w:r>
        <w:rPr>
          <w:rFonts w:ascii="Arial Unicode MS" w:hAnsi="Arial Unicode MS"/>
        </w:rPr>
        <w:t>́</w:t>
      </w:r>
      <w:r>
        <w:rPr>
          <w:rFonts w:ascii="Century Gothic" w:hAnsi="Century Gothic"/>
          <w:lang w:val="es-ES_tradnl"/>
        </w:rPr>
        <w:t>nyuges y parientes en li</w:t>
      </w:r>
      <w:r>
        <w:rPr>
          <w:rFonts w:ascii="Arial Unicode MS" w:hAnsi="Arial Unicode MS"/>
        </w:rPr>
        <w:t>́</w:t>
      </w:r>
      <w:r>
        <w:rPr>
          <w:rFonts w:ascii="Century Gothic" w:hAnsi="Century Gothic"/>
          <w:lang w:val="es-ES_tradnl"/>
        </w:rPr>
        <w:t>nea recta de las personas que integren el Consejo, asi</w:t>
      </w:r>
      <w:r>
        <w:rPr>
          <w:rFonts w:ascii="Arial Unicode MS" w:hAnsi="Arial Unicode MS"/>
        </w:rPr>
        <w:t>́</w:t>
      </w:r>
      <w:r>
        <w:rPr>
          <w:rFonts w:ascii="Century Gothic" w:hAnsi="Century Gothic"/>
        </w:rPr>
        <w:t xml:space="preserve"> </w:t>
      </w:r>
      <w:r>
        <w:rPr>
          <w:rFonts w:ascii="Century Gothic" w:hAnsi="Century Gothic"/>
          <w:lang w:val="es-ES_tradnl"/>
        </w:rPr>
        <w:t>como sus parientes colaterales dentro del cuarto grado de consanguinidad o segundo de afinidad, no podra</w:t>
      </w:r>
      <w:r>
        <w:rPr>
          <w:rFonts w:ascii="Arial Unicode MS" w:hAnsi="Arial Unicode MS"/>
        </w:rPr>
        <w:t>́</w:t>
      </w:r>
      <w:r>
        <w:rPr>
          <w:rFonts w:ascii="Century Gothic" w:hAnsi="Century Gothic"/>
          <w:lang w:val="pt-PT"/>
        </w:rPr>
        <w:t>n ser simulta</w:t>
      </w:r>
      <w:r>
        <w:rPr>
          <w:rFonts w:ascii="Arial Unicode MS" w:hAnsi="Arial Unicode MS"/>
        </w:rPr>
        <w:t>́</w:t>
      </w:r>
      <w:r>
        <w:rPr>
          <w:rFonts w:ascii="Century Gothic" w:hAnsi="Century Gothic"/>
          <w:lang w:val="es-ES_tradnl"/>
        </w:rPr>
        <w:t>neamente integrantes del mismo o de sus o</w:t>
      </w:r>
      <w:r>
        <w:rPr>
          <w:rFonts w:ascii="Arial Unicode MS" w:hAnsi="Arial Unicode MS"/>
        </w:rPr>
        <w:t>́</w:t>
      </w:r>
      <w:r>
        <w:rPr>
          <w:rFonts w:ascii="Century Gothic" w:hAnsi="Century Gothic"/>
          <w:lang w:val="es-ES_tradnl"/>
        </w:rPr>
        <w:t>rganos auxiliares y unidades administrativas.</w:t>
      </w:r>
    </w:p>
    <w:p w14:paraId="0E1A1A01" w14:textId="77777777" w:rsidR="0015360A" w:rsidRDefault="0015360A" w:rsidP="0015360A">
      <w:pPr>
        <w:pStyle w:val="Predeterminado"/>
        <w:spacing w:before="0" w:line="360" w:lineRule="auto"/>
        <w:jc w:val="both"/>
        <w:rPr>
          <w:rFonts w:ascii="Century Gothic" w:eastAsia="Century Gothic" w:hAnsi="Century Gothic" w:cs="Century Gothic"/>
          <w:b/>
          <w:bCs/>
          <w:u w:color="000000"/>
        </w:rPr>
      </w:pPr>
    </w:p>
    <w:p w14:paraId="1A644D44" w14:textId="77777777" w:rsidR="0015360A" w:rsidRDefault="0015360A" w:rsidP="0015360A">
      <w:pPr>
        <w:pStyle w:val="Predeterminado"/>
        <w:spacing w:before="0" w:line="360" w:lineRule="auto"/>
        <w:jc w:val="center"/>
        <w:rPr>
          <w:rStyle w:val="Ninguno"/>
          <w:rFonts w:ascii="Century Gothic" w:eastAsia="Century Gothic" w:hAnsi="Century Gothic" w:cs="Century Gothic"/>
          <w:b/>
          <w:bCs/>
          <w:u w:color="000000"/>
        </w:rPr>
      </w:pPr>
      <w:r>
        <w:rPr>
          <w:rStyle w:val="Ninguno"/>
          <w:rFonts w:ascii="Century Gothic" w:hAnsi="Century Gothic"/>
          <w:b/>
          <w:bCs/>
          <w:u w:color="000000"/>
        </w:rPr>
        <w:t>T R A N S I T O R I O S:</w:t>
      </w:r>
    </w:p>
    <w:p w14:paraId="14F4E653"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p>
    <w:p w14:paraId="1234AF9C"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r>
        <w:rPr>
          <w:rStyle w:val="Ninguno"/>
          <w:rFonts w:ascii="Century Gothic" w:hAnsi="Century Gothic"/>
          <w:b/>
          <w:bCs/>
          <w:u w:color="000000"/>
        </w:rPr>
        <w:t xml:space="preserve">PRIMERO </w:t>
      </w:r>
      <w:r>
        <w:rPr>
          <w:rFonts w:ascii="Century Gothic" w:hAnsi="Century Gothic"/>
          <w:u w:color="000000"/>
        </w:rPr>
        <w:t>Se derogan todas las disposiciones que se opongan al presente Decreto.</w:t>
      </w:r>
    </w:p>
    <w:p w14:paraId="0A41A2A8"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p>
    <w:p w14:paraId="1309B63D" w14:textId="77777777" w:rsidR="0015360A" w:rsidRDefault="0015360A" w:rsidP="0015360A">
      <w:pPr>
        <w:pStyle w:val="Cuerpo"/>
        <w:spacing w:before="0" w:after="0"/>
        <w:rPr>
          <w:rFonts w:ascii="Century Gothic" w:eastAsia="Century Gothic" w:hAnsi="Century Gothic" w:cs="Century Gothic"/>
        </w:rPr>
      </w:pPr>
      <w:proofErr w:type="gramStart"/>
      <w:r>
        <w:rPr>
          <w:rStyle w:val="Ninguno"/>
          <w:rFonts w:ascii="Century Gothic" w:hAnsi="Century Gothic"/>
          <w:b/>
          <w:bCs/>
          <w:lang w:val="es-ES_tradnl"/>
        </w:rPr>
        <w:t>SEGUNDO.-</w:t>
      </w:r>
      <w:proofErr w:type="gramEnd"/>
      <w:r>
        <w:rPr>
          <w:rFonts w:ascii="Century Gothic" w:hAnsi="Century Gothic"/>
          <w:lang w:val="es-ES_tradnl"/>
        </w:rPr>
        <w:t xml:space="preserve"> Los mencionados preceptos entrar</w:t>
      </w:r>
      <w:r>
        <w:rPr>
          <w:rStyle w:val="Ninguno"/>
          <w:rFonts w:ascii="Century Gothic" w:hAnsi="Century Gothic"/>
          <w:lang w:val="es-ES_tradnl"/>
        </w:rPr>
        <w:t>á</w:t>
      </w:r>
      <w:r>
        <w:rPr>
          <w:rFonts w:ascii="Century Gothic" w:hAnsi="Century Gothic"/>
          <w:lang w:val="es-ES_tradnl"/>
        </w:rPr>
        <w:t>n en vigor al d</w:t>
      </w:r>
      <w:r>
        <w:rPr>
          <w:rStyle w:val="Ninguno"/>
          <w:rFonts w:ascii="Century Gothic" w:hAnsi="Century Gothic"/>
          <w:lang w:val="es-ES_tradnl"/>
        </w:rPr>
        <w:t>í</w:t>
      </w:r>
      <w:r>
        <w:rPr>
          <w:rFonts w:ascii="Century Gothic" w:hAnsi="Century Gothic"/>
          <w:lang w:val="es-ES_tradnl"/>
        </w:rPr>
        <w:t>a siguiente de su publicaci</w:t>
      </w:r>
      <w:r>
        <w:rPr>
          <w:rStyle w:val="Ninguno"/>
          <w:rFonts w:ascii="Century Gothic" w:hAnsi="Century Gothic"/>
          <w:lang w:val="es-ES_tradnl"/>
        </w:rPr>
        <w:t>ó</w:t>
      </w:r>
      <w:r>
        <w:rPr>
          <w:rFonts w:ascii="Century Gothic" w:hAnsi="Century Gothic"/>
          <w:lang w:val="es-ES_tradnl"/>
        </w:rPr>
        <w:t>n en el Peri</w:t>
      </w:r>
      <w:r>
        <w:rPr>
          <w:rStyle w:val="Ninguno"/>
          <w:rFonts w:ascii="Century Gothic" w:hAnsi="Century Gothic"/>
          <w:lang w:val="es-ES_tradnl"/>
        </w:rPr>
        <w:t>ó</w:t>
      </w:r>
      <w:r>
        <w:rPr>
          <w:rFonts w:ascii="Century Gothic" w:hAnsi="Century Gothic"/>
          <w:lang w:val="es-ES_tradnl"/>
        </w:rPr>
        <w:t>dico Oficial del Estado.</w:t>
      </w:r>
    </w:p>
    <w:p w14:paraId="76A10644" w14:textId="77777777" w:rsidR="0015360A" w:rsidRDefault="0015360A" w:rsidP="0015360A">
      <w:pPr>
        <w:pStyle w:val="Predeterminado"/>
        <w:spacing w:before="0" w:line="360" w:lineRule="auto"/>
        <w:jc w:val="both"/>
        <w:rPr>
          <w:rFonts w:ascii="Century Gothic" w:eastAsia="Century Gothic" w:hAnsi="Century Gothic" w:cs="Century Gothic"/>
          <w:b/>
          <w:bCs/>
          <w:u w:color="000000"/>
        </w:rPr>
      </w:pPr>
    </w:p>
    <w:p w14:paraId="1A7A632E"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proofErr w:type="gramStart"/>
      <w:r>
        <w:rPr>
          <w:rStyle w:val="Ninguno"/>
          <w:rFonts w:ascii="Century Gothic" w:hAnsi="Century Gothic"/>
          <w:b/>
          <w:bCs/>
          <w:u w:color="000000"/>
        </w:rPr>
        <w:t>ECONÓMICO.-</w:t>
      </w:r>
      <w:proofErr w:type="gramEnd"/>
      <w:r>
        <w:rPr>
          <w:rStyle w:val="Ninguno"/>
          <w:rFonts w:ascii="Century Gothic" w:hAnsi="Century Gothic"/>
          <w:b/>
          <w:bCs/>
          <w:u w:color="000000"/>
        </w:rPr>
        <w:t xml:space="preserve"> </w:t>
      </w:r>
      <w:r>
        <w:rPr>
          <w:rFonts w:ascii="Century Gothic" w:hAnsi="Century Gothic"/>
          <w:u w:color="000000"/>
        </w:rPr>
        <w:t>Aprobado que sea túrnese a la Secretaría de Asuntos Legislativos y Jurídicos para que elabore la minuta de Decreto en los términos que deba publicarse.</w:t>
      </w:r>
    </w:p>
    <w:p w14:paraId="643B9494" w14:textId="77777777" w:rsidR="0015360A" w:rsidRDefault="0015360A" w:rsidP="0015360A">
      <w:pPr>
        <w:pStyle w:val="Predeterminado"/>
        <w:spacing w:before="0" w:line="360" w:lineRule="auto"/>
        <w:jc w:val="both"/>
        <w:rPr>
          <w:rFonts w:ascii="Century Gothic" w:eastAsia="Century Gothic" w:hAnsi="Century Gothic" w:cs="Century Gothic"/>
          <w:b/>
          <w:bCs/>
          <w:u w:color="000000"/>
        </w:rPr>
      </w:pPr>
    </w:p>
    <w:p w14:paraId="5CBFECCC" w14:textId="77777777" w:rsidR="0015360A" w:rsidRDefault="0015360A" w:rsidP="0015360A">
      <w:pPr>
        <w:pStyle w:val="Predeterminado"/>
        <w:spacing w:before="0" w:line="360" w:lineRule="auto"/>
        <w:jc w:val="both"/>
        <w:rPr>
          <w:rFonts w:ascii="Century Gothic" w:eastAsia="Century Gothic" w:hAnsi="Century Gothic" w:cs="Century Gothic"/>
          <w:u w:color="000000"/>
        </w:rPr>
      </w:pPr>
      <w:r>
        <w:rPr>
          <w:rStyle w:val="Ninguno"/>
          <w:rFonts w:ascii="Century Gothic" w:hAnsi="Century Gothic"/>
          <w:b/>
          <w:bCs/>
          <w:u w:color="000000"/>
        </w:rPr>
        <w:t>D A D O</w:t>
      </w:r>
      <w:r>
        <w:rPr>
          <w:rFonts w:ascii="Century Gothic" w:hAnsi="Century Gothic"/>
          <w:u w:color="000000"/>
        </w:rPr>
        <w:t xml:space="preserve"> en el Salón de Sesiones del Poder Legislativo en la Ciudad de Chihuahua, Chih., a los 30 días del mes de enero del año dos mil veintitrés.</w:t>
      </w:r>
    </w:p>
    <w:p w14:paraId="789E84B3" w14:textId="0FA5FDF2" w:rsidR="00AD710A" w:rsidRDefault="00AD710A">
      <w:pPr>
        <w:jc w:val="center"/>
        <w:rPr>
          <w:rFonts w:ascii="Arial" w:eastAsia="Century Gothic" w:hAnsi="Arial" w:cs="Arial"/>
          <w:b/>
          <w:sz w:val="24"/>
          <w:szCs w:val="24"/>
        </w:rPr>
      </w:pPr>
    </w:p>
    <w:p w14:paraId="4793C3C0" w14:textId="77777777" w:rsidR="0015360A" w:rsidRDefault="0015360A">
      <w:pPr>
        <w:jc w:val="center"/>
        <w:rPr>
          <w:rFonts w:ascii="Arial" w:eastAsia="Century Gothic" w:hAnsi="Arial" w:cs="Arial"/>
          <w:b/>
          <w:sz w:val="24"/>
          <w:szCs w:val="24"/>
        </w:rPr>
      </w:pPr>
    </w:p>
    <w:p w14:paraId="6DFF8EB7" w14:textId="77777777" w:rsidR="0015360A" w:rsidRPr="008D7411" w:rsidRDefault="0015360A" w:rsidP="0015360A">
      <w:pPr>
        <w:spacing w:after="239" w:line="268" w:lineRule="auto"/>
        <w:ind w:right="-14"/>
        <w:rPr>
          <w:b/>
          <w:bCs/>
          <w:sz w:val="24"/>
          <w:szCs w:val="24"/>
        </w:rPr>
      </w:pPr>
    </w:p>
    <w:p w14:paraId="0012EEE8" w14:textId="77777777" w:rsidR="0015360A" w:rsidRDefault="0015360A" w:rsidP="0015360A">
      <w:pPr>
        <w:ind w:left="-567"/>
        <w:jc w:val="center"/>
        <w:rPr>
          <w:rFonts w:eastAsia="Times New Roman"/>
          <w:b/>
          <w:bCs/>
          <w:sz w:val="28"/>
          <w:szCs w:val="28"/>
        </w:rPr>
      </w:pPr>
      <w:r w:rsidRPr="00124784">
        <w:rPr>
          <w:rFonts w:eastAsia="Times New Roman"/>
          <w:b/>
          <w:bCs/>
          <w:sz w:val="28"/>
          <w:szCs w:val="28"/>
        </w:rPr>
        <w:t>ATENTAMENTE</w:t>
      </w:r>
    </w:p>
    <w:p w14:paraId="7163E776" w14:textId="77777777" w:rsidR="0015360A" w:rsidRDefault="0015360A" w:rsidP="0015360A">
      <w:pPr>
        <w:ind w:left="-567"/>
        <w:jc w:val="center"/>
        <w:rPr>
          <w:rFonts w:eastAsia="Times New Roman"/>
          <w:b/>
          <w:bCs/>
          <w:sz w:val="28"/>
          <w:szCs w:val="28"/>
        </w:rPr>
      </w:pPr>
      <w:r w:rsidRPr="008D7411">
        <w:rPr>
          <w:rFonts w:eastAsia="Times New Roman"/>
          <w:noProof/>
          <w:sz w:val="24"/>
          <w:szCs w:val="24"/>
        </w:rPr>
        <w:drawing>
          <wp:anchor distT="0" distB="0" distL="114300" distR="114300" simplePos="0" relativeHeight="251659264" behindDoc="1" locked="0" layoutInCell="1" allowOverlap="1" wp14:anchorId="46A7E8F8" wp14:editId="32A13AC6">
            <wp:simplePos x="0" y="0"/>
            <wp:positionH relativeFrom="column">
              <wp:posOffset>1872615</wp:posOffset>
            </wp:positionH>
            <wp:positionV relativeFrom="paragraph">
              <wp:posOffset>280670</wp:posOffset>
            </wp:positionV>
            <wp:extent cx="1886585" cy="882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6585" cy="882650"/>
                    </a:xfrm>
                    <a:prstGeom prst="rect">
                      <a:avLst/>
                    </a:prstGeom>
                    <a:noFill/>
                    <a:ln>
                      <a:noFill/>
                    </a:ln>
                  </pic:spPr>
                </pic:pic>
              </a:graphicData>
            </a:graphic>
          </wp:anchor>
        </w:drawing>
      </w:r>
    </w:p>
    <w:p w14:paraId="20B38804" w14:textId="77777777" w:rsidR="0015360A" w:rsidRDefault="0015360A" w:rsidP="0015360A">
      <w:pPr>
        <w:ind w:left="1985"/>
        <w:rPr>
          <w:rFonts w:eastAsia="Times New Roman"/>
          <w:sz w:val="24"/>
          <w:szCs w:val="24"/>
        </w:rPr>
      </w:pPr>
      <w:r w:rsidRPr="00124784">
        <w:rPr>
          <w:rFonts w:eastAsia="Times New Roman"/>
          <w:sz w:val="28"/>
          <w:szCs w:val="28"/>
        </w:rPr>
        <w:br/>
      </w:r>
    </w:p>
    <w:p w14:paraId="2275C32B" w14:textId="77777777" w:rsidR="0015360A" w:rsidRDefault="0015360A" w:rsidP="0015360A">
      <w:pPr>
        <w:ind w:left="1985"/>
        <w:rPr>
          <w:rFonts w:eastAsia="Times New Roman"/>
          <w:sz w:val="24"/>
          <w:szCs w:val="24"/>
        </w:rPr>
      </w:pPr>
    </w:p>
    <w:p w14:paraId="1ACD0790" w14:textId="77777777" w:rsidR="0015360A" w:rsidRDefault="0015360A" w:rsidP="0015360A">
      <w:pPr>
        <w:jc w:val="center"/>
      </w:pPr>
      <w:r w:rsidRPr="00124784">
        <w:rPr>
          <w:rFonts w:eastAsia="Times New Roman"/>
          <w:b/>
          <w:bCs/>
          <w:sz w:val="28"/>
          <w:szCs w:val="28"/>
        </w:rPr>
        <w:t>DIP. GUSTAVO DE LA ROSA HICKERSON</w:t>
      </w:r>
    </w:p>
    <w:p w14:paraId="0AC977A4" w14:textId="77777777" w:rsidR="0015360A" w:rsidRDefault="0015360A">
      <w:pPr>
        <w:jc w:val="center"/>
        <w:rPr>
          <w:rFonts w:ascii="Arial" w:eastAsia="Century Gothic" w:hAnsi="Arial" w:cs="Arial"/>
          <w:b/>
          <w:sz w:val="24"/>
          <w:szCs w:val="24"/>
        </w:rPr>
      </w:pPr>
    </w:p>
    <w:sectPr w:rsidR="0015360A">
      <w:headerReference w:type="default" r:id="rId8"/>
      <w:footerReference w:type="even" r:id="rId9"/>
      <w:footerReference w:type="default" r:id="rId10"/>
      <w:pgSz w:w="12240" w:h="15840"/>
      <w:pgMar w:top="2268"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AD6F" w14:textId="77777777" w:rsidR="00100876" w:rsidRDefault="00100876">
      <w:pPr>
        <w:spacing w:after="0" w:line="240" w:lineRule="auto"/>
      </w:pPr>
      <w:r>
        <w:separator/>
      </w:r>
    </w:p>
  </w:endnote>
  <w:endnote w:type="continuationSeparator" w:id="0">
    <w:p w14:paraId="0D17489A" w14:textId="77777777" w:rsidR="00100876" w:rsidRDefault="0010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8536" w14:textId="77777777" w:rsidR="00641798" w:rsidRDefault="00641798">
    <w:pPr>
      <w:pBdr>
        <w:top w:val="nil"/>
        <w:left w:val="nil"/>
        <w:bottom w:val="nil"/>
        <w:right w:val="nil"/>
        <w:between w:val="nil"/>
      </w:pBdr>
      <w:tabs>
        <w:tab w:val="center" w:pos="4419"/>
        <w:tab w:val="right" w:pos="88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E72" w14:textId="5F56202A" w:rsidR="00641798" w:rsidRDefault="006D1C5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92928">
      <w:rPr>
        <w:noProof/>
        <w:color w:val="000000"/>
      </w:rPr>
      <w:t>1</w:t>
    </w:r>
    <w:r>
      <w:rPr>
        <w:color w:val="000000"/>
      </w:rPr>
      <w:fldChar w:fldCharType="end"/>
    </w:r>
  </w:p>
  <w:p w14:paraId="3723640E" w14:textId="77777777" w:rsidR="00641798" w:rsidRDefault="006417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9FB8" w14:textId="77777777" w:rsidR="00100876" w:rsidRDefault="00100876">
      <w:pPr>
        <w:spacing w:after="0" w:line="240" w:lineRule="auto"/>
      </w:pPr>
      <w:r>
        <w:separator/>
      </w:r>
    </w:p>
  </w:footnote>
  <w:footnote w:type="continuationSeparator" w:id="0">
    <w:p w14:paraId="55AA585A" w14:textId="77777777" w:rsidR="00100876" w:rsidRDefault="00100876">
      <w:pPr>
        <w:spacing w:after="0" w:line="240" w:lineRule="auto"/>
      </w:pPr>
      <w:r>
        <w:continuationSeparator/>
      </w:r>
    </w:p>
  </w:footnote>
  <w:footnote w:id="1">
    <w:p w14:paraId="49EC31B0" w14:textId="77777777" w:rsidR="0015360A" w:rsidRDefault="0015360A" w:rsidP="0015360A">
      <w:pPr>
        <w:pStyle w:val="FSCnota"/>
      </w:pPr>
      <w:r>
        <w:rPr>
          <w:rStyle w:val="Ninguno"/>
          <w:rFonts w:ascii="Palatino" w:eastAsia="Palatino" w:hAnsi="Palatino" w:cs="Palatino"/>
          <w:sz w:val="20"/>
          <w:szCs w:val="20"/>
        </w:rPr>
        <w:footnoteRef/>
      </w:r>
      <w:r>
        <w:rPr>
          <w:rStyle w:val="Ninguno"/>
          <w:rFonts w:ascii="Palatino" w:hAnsi="Palatino"/>
          <w:sz w:val="20"/>
          <w:szCs w:val="20"/>
        </w:rPr>
        <w:t xml:space="preserve"> Texto visible a fojas 35 y 36 de la sentencia emitida en la controversia constitucional 81/2017 resuelta por el Pleno de la Suprema Corte de Justicia de la Nación.</w:t>
      </w:r>
    </w:p>
  </w:footnote>
  <w:footnote w:id="2">
    <w:p w14:paraId="053B1624" w14:textId="77777777" w:rsidR="0015360A" w:rsidRDefault="0015360A" w:rsidP="0015360A">
      <w:pPr>
        <w:pStyle w:val="FSCnota"/>
      </w:pPr>
      <w:r>
        <w:rPr>
          <w:rStyle w:val="Ninguno"/>
          <w:vertAlign w:val="superscript"/>
        </w:rPr>
        <w:footnoteRef/>
      </w:r>
      <w:r>
        <w:rPr>
          <w:rStyle w:val="Ninguno"/>
          <w:rFonts w:ascii="Palatino" w:hAnsi="Palatino"/>
          <w:sz w:val="20"/>
          <w:szCs w:val="20"/>
        </w:rPr>
        <w:t xml:space="preserve"> Corte Interamericana de Derechos Humanos, Caso Zambrano Vélez y otros vs Ecuador. Fondo, Reparaciones y Costas. Sentencia de 4 de julio de 2007.</w:t>
      </w:r>
    </w:p>
  </w:footnote>
  <w:footnote w:id="3">
    <w:p w14:paraId="46CD1774" w14:textId="77777777" w:rsidR="0015360A" w:rsidRDefault="0015360A" w:rsidP="0015360A">
      <w:pPr>
        <w:pStyle w:val="FSCnota"/>
      </w:pPr>
      <w:r>
        <w:rPr>
          <w:rStyle w:val="Ninguno"/>
          <w:vertAlign w:val="superscript"/>
        </w:rPr>
        <w:footnoteRef/>
      </w:r>
      <w:r>
        <w:rPr>
          <w:rStyle w:val="Ninguno"/>
          <w:rFonts w:ascii="Palatino" w:hAnsi="Palatino"/>
          <w:sz w:val="20"/>
          <w:szCs w:val="20"/>
        </w:rPr>
        <w:t xml:space="preserve"> Naciones Unidas. Comité de Derechos Humanos. CCPR/C/GC/32, informe de Relatora Especial sobre la cuestión de Defensores de la ONU. Folleto núm. 29. Los defensores de los derechos humanos: Protección del derecho a defender los derechos, párr. 19. Asamblea General. Consejo de Derechos Humanos. Informe del Relator Especial sobre la independencia de los magistrados y abogados, Leandro Despouy, A/HRC/11/41, 24 de marzo de 2009, párr. 52.</w:t>
      </w:r>
    </w:p>
  </w:footnote>
  <w:footnote w:id="4">
    <w:p w14:paraId="450995B5" w14:textId="77777777" w:rsidR="0015360A" w:rsidRDefault="0015360A" w:rsidP="0015360A">
      <w:pPr>
        <w:pStyle w:val="FSCnota"/>
      </w:pPr>
      <w:r>
        <w:rPr>
          <w:rStyle w:val="Ninguno"/>
          <w:vertAlign w:val="superscript"/>
        </w:rPr>
        <w:footnoteRef/>
      </w:r>
      <w:r>
        <w:rPr>
          <w:rStyle w:val="Ninguno"/>
          <w:rFonts w:ascii="Palatino" w:hAnsi="Palatino"/>
          <w:sz w:val="20"/>
          <w:szCs w:val="20"/>
          <w:vertAlign w:val="superscript"/>
        </w:rPr>
        <w:t xml:space="preserve"> </w:t>
      </w:r>
      <w:r>
        <w:rPr>
          <w:rStyle w:val="Ninguno"/>
          <w:rFonts w:ascii="Palatino" w:hAnsi="Palatino"/>
          <w:i/>
          <w:iCs/>
          <w:sz w:val="20"/>
          <w:szCs w:val="20"/>
        </w:rPr>
        <w:t>Ibidem</w:t>
      </w:r>
      <w:r>
        <w:rPr>
          <w:rStyle w:val="Ninguno"/>
          <w:rFonts w:ascii="Palatino" w:hAnsi="Palatino"/>
          <w:sz w:val="20"/>
          <w:szCs w:val="20"/>
        </w:rPr>
        <w:t>, párr. 44</w:t>
      </w:r>
    </w:p>
  </w:footnote>
  <w:footnote w:id="5">
    <w:p w14:paraId="1BC10F0E" w14:textId="77777777" w:rsidR="0015360A" w:rsidRDefault="0015360A" w:rsidP="0015360A">
      <w:pPr>
        <w:pStyle w:val="FSCnota"/>
      </w:pPr>
      <w:r>
        <w:rPr>
          <w:rStyle w:val="Ninguno"/>
          <w:vertAlign w:val="superscript"/>
        </w:rPr>
        <w:footnoteRef/>
      </w:r>
      <w:r>
        <w:rPr>
          <w:rStyle w:val="Ninguno"/>
          <w:rFonts w:ascii="Palatino" w:hAnsi="Palatino"/>
          <w:sz w:val="20"/>
          <w:szCs w:val="20"/>
          <w:vertAlign w:val="superscript"/>
        </w:rPr>
        <w:t xml:space="preserve"> </w:t>
      </w:r>
      <w:r>
        <w:rPr>
          <w:rStyle w:val="Ninguno"/>
          <w:rFonts w:ascii="Palatino" w:hAnsi="Palatino"/>
          <w:i/>
          <w:iCs/>
          <w:sz w:val="20"/>
          <w:szCs w:val="20"/>
        </w:rPr>
        <w:t>Ibidem</w:t>
      </w:r>
      <w:r>
        <w:rPr>
          <w:rStyle w:val="Ninguno"/>
          <w:rFonts w:ascii="Palatino" w:hAnsi="Palatino"/>
          <w:sz w:val="20"/>
          <w:szCs w:val="20"/>
        </w:rPr>
        <w:t>, párr. 147</w:t>
      </w:r>
    </w:p>
  </w:footnote>
  <w:footnote w:id="6">
    <w:p w14:paraId="586B5ECE" w14:textId="77777777" w:rsidR="0015360A" w:rsidRDefault="0015360A" w:rsidP="0015360A">
      <w:pPr>
        <w:pStyle w:val="FSCnota"/>
      </w:pPr>
      <w:r>
        <w:rPr>
          <w:rStyle w:val="Ninguno"/>
          <w:vertAlign w:val="superscript"/>
        </w:rPr>
        <w:footnoteRef/>
      </w:r>
      <w:r>
        <w:rPr>
          <w:rStyle w:val="Ninguno"/>
          <w:rFonts w:ascii="Palatino" w:hAnsi="Palatino"/>
          <w:sz w:val="20"/>
          <w:szCs w:val="20"/>
        </w:rPr>
        <w:t xml:space="preserve"> Visible en: </w:t>
      </w:r>
      <w:hyperlink r:id="rId1" w:history="1">
        <w:r>
          <w:rPr>
            <w:rStyle w:val="Hyperlink0"/>
            <w:rFonts w:eastAsia="Arial Unicode MS" w:cs="Arial Unicode MS"/>
          </w:rPr>
          <w:t>http://www.ordenjuridico.gob.mx/TratInt/Derechos%20Humanos/OTROS%2010.pdf</w:t>
        </w:r>
      </w:hyperlink>
      <w:r>
        <w:rPr>
          <w:rStyle w:val="Hyperlink0"/>
          <w:rFonts w:eastAsia="Arial Unicode MS" w:cs="Arial Unicode MS"/>
        </w:rPr>
        <w:t xml:space="preserve"> </w:t>
      </w:r>
    </w:p>
  </w:footnote>
  <w:footnote w:id="7">
    <w:p w14:paraId="2A20F30F" w14:textId="77777777" w:rsidR="0015360A" w:rsidRDefault="0015360A" w:rsidP="0015360A">
      <w:pPr>
        <w:pStyle w:val="FSCnota"/>
      </w:pPr>
      <w:r>
        <w:rPr>
          <w:rStyle w:val="Ninguno"/>
          <w:vertAlign w:val="superscript"/>
        </w:rPr>
        <w:footnoteRef/>
      </w:r>
      <w:r>
        <w:rPr>
          <w:rStyle w:val="Ninguno"/>
          <w:rFonts w:ascii="Palatino" w:hAnsi="Palatino"/>
          <w:sz w:val="20"/>
          <w:szCs w:val="20"/>
          <w:vertAlign w:val="superscript"/>
        </w:rPr>
        <w:t xml:space="preserve"> </w:t>
      </w:r>
      <w:r>
        <w:rPr>
          <w:rStyle w:val="Hyperlink0"/>
          <w:rFonts w:eastAsia="Arial Unicode MS" w:cs="Arial Unicode MS"/>
        </w:rPr>
        <w:t>Corte Interamericana de Derechos Humanos, Caso Palamara Iribarne vs. Chile, Fondo, Reparaciones y Costas, sentencia del 22 de noviembre de 2005, Serie C, núm. 135, párr. 123.</w:t>
      </w:r>
    </w:p>
  </w:footnote>
  <w:footnote w:id="8">
    <w:p w14:paraId="4D194158" w14:textId="77777777" w:rsidR="0015360A" w:rsidRDefault="0015360A" w:rsidP="0015360A">
      <w:pPr>
        <w:pStyle w:val="FSCnota"/>
      </w:pPr>
      <w:r>
        <w:rPr>
          <w:rStyle w:val="Ninguno"/>
          <w:vertAlign w:val="superscript"/>
        </w:rPr>
        <w:footnoteRef/>
      </w:r>
      <w:r>
        <w:rPr>
          <w:rStyle w:val="Hyperlink0"/>
          <w:rFonts w:eastAsia="Arial Unicode MS" w:cs="Arial Unicode MS"/>
        </w:rPr>
        <w:t xml:space="preserve"> Corte Interamericana de Derechos Humanos, Caso Apitz Barbera y otros ("Corte Primera de lo Contencioso Administrativo") vs. Venezuela, excepción Preliminar, Fondo, Reparaciones y Costas, sentencia de 5 de agosto de 2008, Serie C, núm. 182, párr. 55.</w:t>
      </w:r>
    </w:p>
  </w:footnote>
  <w:footnote w:id="9">
    <w:p w14:paraId="5CEC9DF7" w14:textId="77777777" w:rsidR="0015360A" w:rsidRDefault="0015360A" w:rsidP="0015360A">
      <w:pPr>
        <w:pStyle w:val="FSCnota"/>
      </w:pPr>
      <w:r>
        <w:rPr>
          <w:rStyle w:val="Ninguno"/>
          <w:vertAlign w:val="superscript"/>
        </w:rPr>
        <w:footnoteRef/>
      </w:r>
      <w:r>
        <w:rPr>
          <w:rStyle w:val="Hyperlink0"/>
          <w:rFonts w:eastAsia="Arial Unicode MS" w:cs="Arial Unicode MS"/>
        </w:rPr>
        <w:t xml:space="preserve"> </w:t>
      </w:r>
      <w:r>
        <w:rPr>
          <w:rStyle w:val="Ninguno"/>
          <w:rFonts w:ascii="Palatino" w:hAnsi="Palatino"/>
          <w:i/>
          <w:iCs/>
          <w:sz w:val="20"/>
          <w:szCs w:val="20"/>
        </w:rPr>
        <w:t>Cfr</w:t>
      </w:r>
      <w:r>
        <w:rPr>
          <w:rStyle w:val="Hyperlink0"/>
          <w:rFonts w:eastAsia="Arial Unicode MS" w:cs="Arial Unicode MS"/>
        </w:rPr>
        <w:t xml:space="preserve">., Corte IDH. Caso Apitz Barbera y otros..., </w:t>
      </w:r>
      <w:r>
        <w:rPr>
          <w:rStyle w:val="Ninguno"/>
          <w:rFonts w:ascii="Palatino" w:hAnsi="Palatino"/>
          <w:i/>
          <w:iCs/>
          <w:sz w:val="20"/>
          <w:szCs w:val="20"/>
        </w:rPr>
        <w:t>op. cit</w:t>
      </w:r>
      <w:r>
        <w:rPr>
          <w:rStyle w:val="Hyperlink0"/>
          <w:rFonts w:eastAsia="Arial Unicode MS" w:cs="Arial Unicode MS"/>
        </w:rPr>
        <w:t>., párr. 85.</w:t>
      </w:r>
    </w:p>
  </w:footnote>
  <w:footnote w:id="10">
    <w:p w14:paraId="7C74F421" w14:textId="77777777" w:rsidR="0015360A" w:rsidRDefault="0015360A" w:rsidP="0015360A">
      <w:pPr>
        <w:pStyle w:val="FSCnota"/>
        <w:rPr>
          <w:rStyle w:val="Hyperlink0"/>
        </w:rPr>
      </w:pPr>
      <w:r>
        <w:rPr>
          <w:rStyle w:val="Ninguno"/>
          <w:vertAlign w:val="superscript"/>
        </w:rPr>
        <w:footnoteRef/>
      </w:r>
      <w:r>
        <w:rPr>
          <w:rStyle w:val="Hyperlink0"/>
          <w:rFonts w:eastAsia="Arial Unicode MS" w:cs="Arial Unicode MS"/>
        </w:rPr>
        <w:t xml:space="preserve"> 18. Los jueces sólo podrán ser suspendidos o separados de sus cargos por incapacidad o comportamiento que los inhabilite para seguir desempeñando sus funciones.</w:t>
      </w:r>
    </w:p>
    <w:p w14:paraId="2DC6894E" w14:textId="77777777" w:rsidR="0015360A" w:rsidRDefault="0015360A" w:rsidP="0015360A">
      <w:pPr>
        <w:pStyle w:val="FSCnota"/>
        <w:rPr>
          <w:rStyle w:val="Hyperlink0"/>
        </w:rPr>
      </w:pPr>
      <w:r>
        <w:rPr>
          <w:rStyle w:val="Ninguno"/>
          <w:rFonts w:ascii="Palatino" w:hAnsi="Palatino"/>
          <w:sz w:val="20"/>
          <w:szCs w:val="20"/>
          <w:vertAlign w:val="superscript"/>
        </w:rPr>
        <w:t>19.</w:t>
      </w:r>
      <w:r>
        <w:rPr>
          <w:rStyle w:val="Hyperlink0"/>
          <w:rFonts w:eastAsia="Arial Unicode MS" w:cs="Arial Unicode MS"/>
        </w:rPr>
        <w:t xml:space="preserve"> Todo procedimiento para la adopción de medidas disciplinarias, la suspensión o la separación del cargo se resolverá de acuerdo con las normas establecidas de comportamiento judicial.</w:t>
      </w:r>
    </w:p>
    <w:p w14:paraId="348E3DCB" w14:textId="77777777" w:rsidR="0015360A" w:rsidRDefault="0015360A" w:rsidP="0015360A">
      <w:pPr>
        <w:pStyle w:val="FSCnota"/>
      </w:pPr>
      <w:r>
        <w:rPr>
          <w:rStyle w:val="Ninguno"/>
          <w:rFonts w:ascii="Palatino" w:hAnsi="Palatino"/>
          <w:sz w:val="20"/>
          <w:szCs w:val="20"/>
          <w:vertAlign w:val="superscript"/>
        </w:rPr>
        <w:t>20.</w:t>
      </w:r>
      <w:r>
        <w:rPr>
          <w:rStyle w:val="Hyperlink0"/>
          <w:rFonts w:eastAsia="Arial Unicode MS" w:cs="Arial Unicode MS"/>
        </w:rPr>
        <w:t xml:space="preserve"> Las decisiones que se adopten en los procedimientos disciplinarios, de suspensión o de separación del cargo estarán sujetas a una revisión independiente. Podrá no aplicarse este principio a las decisiones del tribunal supremo y a las del órgano legislativo en los procedimientos de recusación o similares. ONU, “Principios Básicos relativos a la independencia de la Judicatura de las Naciones Unidas”… </w:t>
      </w:r>
      <w:r>
        <w:rPr>
          <w:rStyle w:val="Ninguno"/>
          <w:rFonts w:ascii="Palatino" w:hAnsi="Palatino"/>
          <w:i/>
          <w:iCs/>
          <w:sz w:val="20"/>
          <w:szCs w:val="20"/>
        </w:rPr>
        <w:t>op. cit.,</w:t>
      </w:r>
      <w:r>
        <w:rPr>
          <w:rStyle w:val="Hyperlink0"/>
          <w:rFonts w:eastAsia="Arial Unicode MS" w:cs="Arial Unicode MS"/>
        </w:rPr>
        <w:t xml:space="preserve"> p. 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F78A" w14:textId="77777777" w:rsidR="006A75BC" w:rsidRDefault="00520E01" w:rsidP="009729A5">
    <w:pPr>
      <w:spacing w:line="240" w:lineRule="atLeast"/>
      <w:jc w:val="right"/>
      <w:rPr>
        <w:rFonts w:ascii="Arial" w:hAnsi="Arial" w:cs="Arial"/>
        <w:b/>
        <w:bCs/>
        <w:color w:val="000000"/>
        <w:sz w:val="18"/>
        <w:szCs w:val="18"/>
      </w:rPr>
    </w:pPr>
    <w:r w:rsidRPr="006A75BC">
      <w:rPr>
        <w:rFonts w:ascii="Arial" w:hAnsi="Arial" w:cs="Arial"/>
        <w:b/>
        <w:bCs/>
        <w:sz w:val="18"/>
        <w:szCs w:val="18"/>
      </w:rPr>
      <w:t xml:space="preserve">                        </w:t>
    </w:r>
    <w:r w:rsidR="006D1C51" w:rsidRPr="006A75BC">
      <w:rPr>
        <w:rFonts w:ascii="Arial" w:hAnsi="Arial" w:cs="Arial"/>
        <w:b/>
        <w:bCs/>
        <w:sz w:val="18"/>
        <w:szCs w:val="18"/>
      </w:rPr>
      <w:tab/>
    </w:r>
    <w:r w:rsidR="006D1C51" w:rsidRPr="006A75BC">
      <w:rPr>
        <w:rFonts w:ascii="Arial" w:hAnsi="Arial" w:cs="Arial"/>
        <w:b/>
        <w:bCs/>
        <w:sz w:val="18"/>
        <w:szCs w:val="18"/>
      </w:rPr>
      <w:tab/>
    </w:r>
    <w:r w:rsidR="006A75BC" w:rsidRPr="006A75BC">
      <w:rPr>
        <w:rFonts w:ascii="Arial" w:hAnsi="Arial" w:cs="Arial"/>
        <w:b/>
        <w:bCs/>
        <w:color w:val="000000"/>
        <w:sz w:val="18"/>
        <w:szCs w:val="18"/>
      </w:rPr>
      <w:t xml:space="preserve">"2023, Centenario de la muerte del General Francisco Villa” </w:t>
    </w:r>
  </w:p>
  <w:p w14:paraId="4E580F39" w14:textId="4A34D401" w:rsidR="00641798" w:rsidRDefault="006A75BC" w:rsidP="009729A5">
    <w:pPr>
      <w:spacing w:line="240" w:lineRule="atLeast"/>
      <w:jc w:val="right"/>
      <w:rPr>
        <w:rFonts w:ascii="Arial" w:eastAsia="Arial" w:hAnsi="Arial" w:cs="Arial"/>
        <w:b/>
        <w:i/>
        <w:color w:val="000000"/>
        <w:sz w:val="18"/>
        <w:szCs w:val="18"/>
      </w:rPr>
    </w:pPr>
    <w:r w:rsidRPr="006A75BC">
      <w:rPr>
        <w:rFonts w:ascii="Arial" w:hAnsi="Arial" w:cs="Arial"/>
        <w:b/>
        <w:bCs/>
        <w:color w:val="000000"/>
        <w:sz w:val="18"/>
        <w:szCs w:val="18"/>
      </w:rPr>
      <w:t>“2023, Cien años del Rotarismo en Chihuahua”</w:t>
    </w:r>
    <w:r w:rsidRPr="006A75BC">
      <w:rPr>
        <w:rFonts w:ascii="Arial" w:hAnsi="Arial" w:cs="Arial"/>
        <w:b/>
        <w:bCs/>
        <w:sz w:val="18"/>
        <w:szCs w:val="18"/>
      </w:rPr>
      <w:t xml:space="preserve"> </w:t>
    </w:r>
  </w:p>
  <w:p w14:paraId="234CDEE4" w14:textId="2E101438" w:rsidR="00641798" w:rsidRDefault="00641798">
    <w:pPr>
      <w:jc w:val="right"/>
      <w:rPr>
        <w:rFonts w:ascii="Arial" w:eastAsia="Arial" w:hAnsi="Arial" w:cs="Arial"/>
        <w:b/>
        <w:i/>
        <w:color w:val="000000"/>
        <w:sz w:val="18"/>
        <w:szCs w:val="18"/>
      </w:rPr>
    </w:pPr>
  </w:p>
  <w:p w14:paraId="570F9ADB" w14:textId="77777777" w:rsidR="00641798" w:rsidRDefault="00641798">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FAC"/>
    <w:multiLevelType w:val="hybridMultilevel"/>
    <w:tmpl w:val="FCB671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8B5E84"/>
    <w:multiLevelType w:val="hybridMultilevel"/>
    <w:tmpl w:val="53288886"/>
    <w:styleLink w:val="Harvard"/>
    <w:lvl w:ilvl="0" w:tplc="0B3C7092">
      <w:start w:val="1"/>
      <w:numFmt w:val="upperRoman"/>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AC46426">
      <w:start w:val="1"/>
      <w:numFmt w:val="upperRoman"/>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34E1800">
      <w:start w:val="1"/>
      <w:numFmt w:val="upp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FA477A">
      <w:start w:val="1"/>
      <w:numFmt w:val="upperRoman"/>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E80668">
      <w:start w:val="1"/>
      <w:numFmt w:val="upperRoman"/>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1AFF70">
      <w:start w:val="1"/>
      <w:numFmt w:val="upp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705712">
      <w:start w:val="1"/>
      <w:numFmt w:val="upperRoman"/>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58A7FC">
      <w:start w:val="1"/>
      <w:numFmt w:val="upperRoman"/>
      <w:lvlText w:val="%8."/>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6948D88">
      <w:start w:val="1"/>
      <w:numFmt w:val="upp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EC737D6"/>
    <w:multiLevelType w:val="hybridMultilevel"/>
    <w:tmpl w:val="53288886"/>
    <w:numStyleLink w:val="Harvard"/>
  </w:abstractNum>
  <w:abstractNum w:abstractNumId="3" w15:restartNumberingAfterBreak="0">
    <w:nsid w:val="6BCD58D7"/>
    <w:multiLevelType w:val="hybridMultilevel"/>
    <w:tmpl w:val="F836CF06"/>
    <w:lvl w:ilvl="0" w:tplc="C5ECA1BA">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9585AF4">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0CCAD2">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086AC42">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1697C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4FC450E">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1CA390E">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C026C0A">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F42245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98"/>
    <w:rsid w:val="00014CBF"/>
    <w:rsid w:val="0004315A"/>
    <w:rsid w:val="00046E55"/>
    <w:rsid w:val="00060853"/>
    <w:rsid w:val="00065D5D"/>
    <w:rsid w:val="000727D7"/>
    <w:rsid w:val="0008273F"/>
    <w:rsid w:val="00094DC9"/>
    <w:rsid w:val="000A3809"/>
    <w:rsid w:val="000D6B9B"/>
    <w:rsid w:val="000F5058"/>
    <w:rsid w:val="000F710C"/>
    <w:rsid w:val="00100876"/>
    <w:rsid w:val="00114B34"/>
    <w:rsid w:val="001177D3"/>
    <w:rsid w:val="0015360A"/>
    <w:rsid w:val="001A163E"/>
    <w:rsid w:val="001A4664"/>
    <w:rsid w:val="001B3688"/>
    <w:rsid w:val="001D176E"/>
    <w:rsid w:val="001D480A"/>
    <w:rsid w:val="001F4F98"/>
    <w:rsid w:val="00201199"/>
    <w:rsid w:val="00204F28"/>
    <w:rsid w:val="00211005"/>
    <w:rsid w:val="0024206C"/>
    <w:rsid w:val="002462D8"/>
    <w:rsid w:val="0025364B"/>
    <w:rsid w:val="00263D20"/>
    <w:rsid w:val="002700A8"/>
    <w:rsid w:val="002736EB"/>
    <w:rsid w:val="002A4C94"/>
    <w:rsid w:val="002B25CB"/>
    <w:rsid w:val="002B6A38"/>
    <w:rsid w:val="002C1DC4"/>
    <w:rsid w:val="002E7952"/>
    <w:rsid w:val="00332D93"/>
    <w:rsid w:val="003440F8"/>
    <w:rsid w:val="0034496A"/>
    <w:rsid w:val="00344E20"/>
    <w:rsid w:val="00377145"/>
    <w:rsid w:val="00392014"/>
    <w:rsid w:val="003F70FD"/>
    <w:rsid w:val="00462D9D"/>
    <w:rsid w:val="0046543C"/>
    <w:rsid w:val="00473F93"/>
    <w:rsid w:val="00477B5D"/>
    <w:rsid w:val="004810D9"/>
    <w:rsid w:val="004879E3"/>
    <w:rsid w:val="004A12F6"/>
    <w:rsid w:val="004B4F02"/>
    <w:rsid w:val="004E1A26"/>
    <w:rsid w:val="004E6972"/>
    <w:rsid w:val="004F5A2E"/>
    <w:rsid w:val="005137CD"/>
    <w:rsid w:val="00520E01"/>
    <w:rsid w:val="005627C3"/>
    <w:rsid w:val="0056591F"/>
    <w:rsid w:val="00571A96"/>
    <w:rsid w:val="00580917"/>
    <w:rsid w:val="005A4084"/>
    <w:rsid w:val="005B5B30"/>
    <w:rsid w:val="005C78B7"/>
    <w:rsid w:val="005E1B47"/>
    <w:rsid w:val="0060169F"/>
    <w:rsid w:val="00611585"/>
    <w:rsid w:val="00633C81"/>
    <w:rsid w:val="00641798"/>
    <w:rsid w:val="006443BF"/>
    <w:rsid w:val="00661DA5"/>
    <w:rsid w:val="00671AC9"/>
    <w:rsid w:val="00681274"/>
    <w:rsid w:val="006A75BC"/>
    <w:rsid w:val="006C7189"/>
    <w:rsid w:val="006D0E78"/>
    <w:rsid w:val="006D1C51"/>
    <w:rsid w:val="0071039E"/>
    <w:rsid w:val="0071255F"/>
    <w:rsid w:val="0072051C"/>
    <w:rsid w:val="0072522F"/>
    <w:rsid w:val="00742EA2"/>
    <w:rsid w:val="00745749"/>
    <w:rsid w:val="007679B2"/>
    <w:rsid w:val="00775F25"/>
    <w:rsid w:val="007911B1"/>
    <w:rsid w:val="007A6DFB"/>
    <w:rsid w:val="007C6783"/>
    <w:rsid w:val="007D4DB9"/>
    <w:rsid w:val="007E72C1"/>
    <w:rsid w:val="0080406B"/>
    <w:rsid w:val="008249CD"/>
    <w:rsid w:val="00830190"/>
    <w:rsid w:val="00832617"/>
    <w:rsid w:val="008631B3"/>
    <w:rsid w:val="00865968"/>
    <w:rsid w:val="00886D96"/>
    <w:rsid w:val="008B2336"/>
    <w:rsid w:val="008B61EC"/>
    <w:rsid w:val="008C684E"/>
    <w:rsid w:val="008D110B"/>
    <w:rsid w:val="008F5A05"/>
    <w:rsid w:val="0090250B"/>
    <w:rsid w:val="00906055"/>
    <w:rsid w:val="0091719D"/>
    <w:rsid w:val="009317F9"/>
    <w:rsid w:val="009473B6"/>
    <w:rsid w:val="00964F8C"/>
    <w:rsid w:val="009728B0"/>
    <w:rsid w:val="009729A5"/>
    <w:rsid w:val="00976522"/>
    <w:rsid w:val="009A004E"/>
    <w:rsid w:val="009A3AB6"/>
    <w:rsid w:val="009D220F"/>
    <w:rsid w:val="009E04D1"/>
    <w:rsid w:val="009E59B8"/>
    <w:rsid w:val="009E5EA5"/>
    <w:rsid w:val="00A01CF2"/>
    <w:rsid w:val="00A14A4F"/>
    <w:rsid w:val="00A1785E"/>
    <w:rsid w:val="00A33186"/>
    <w:rsid w:val="00A653E3"/>
    <w:rsid w:val="00A70E3A"/>
    <w:rsid w:val="00A76876"/>
    <w:rsid w:val="00A953EC"/>
    <w:rsid w:val="00AA2B02"/>
    <w:rsid w:val="00AB6289"/>
    <w:rsid w:val="00AB70A2"/>
    <w:rsid w:val="00AC242B"/>
    <w:rsid w:val="00AC75CE"/>
    <w:rsid w:val="00AD69D5"/>
    <w:rsid w:val="00AD710A"/>
    <w:rsid w:val="00AE5F14"/>
    <w:rsid w:val="00B0238A"/>
    <w:rsid w:val="00B0609B"/>
    <w:rsid w:val="00B53292"/>
    <w:rsid w:val="00B70D78"/>
    <w:rsid w:val="00B75680"/>
    <w:rsid w:val="00BA1F91"/>
    <w:rsid w:val="00BA7011"/>
    <w:rsid w:val="00BB1CB6"/>
    <w:rsid w:val="00BB7DC2"/>
    <w:rsid w:val="00BF7B42"/>
    <w:rsid w:val="00C01433"/>
    <w:rsid w:val="00C01844"/>
    <w:rsid w:val="00C1093A"/>
    <w:rsid w:val="00C109A6"/>
    <w:rsid w:val="00C22E83"/>
    <w:rsid w:val="00C237A6"/>
    <w:rsid w:val="00C25FF6"/>
    <w:rsid w:val="00C7590C"/>
    <w:rsid w:val="00C7611D"/>
    <w:rsid w:val="00C80A8D"/>
    <w:rsid w:val="00C92928"/>
    <w:rsid w:val="00CA14A3"/>
    <w:rsid w:val="00CB6935"/>
    <w:rsid w:val="00CD2C08"/>
    <w:rsid w:val="00CE545E"/>
    <w:rsid w:val="00CE6C49"/>
    <w:rsid w:val="00D00AA5"/>
    <w:rsid w:val="00D06C5D"/>
    <w:rsid w:val="00D30DE4"/>
    <w:rsid w:val="00D34F78"/>
    <w:rsid w:val="00D357F9"/>
    <w:rsid w:val="00D83661"/>
    <w:rsid w:val="00DC1816"/>
    <w:rsid w:val="00DD2872"/>
    <w:rsid w:val="00DE7AC7"/>
    <w:rsid w:val="00E24B99"/>
    <w:rsid w:val="00E45E6F"/>
    <w:rsid w:val="00E70F00"/>
    <w:rsid w:val="00E922B2"/>
    <w:rsid w:val="00EA32D8"/>
    <w:rsid w:val="00EB5161"/>
    <w:rsid w:val="00EC2C31"/>
    <w:rsid w:val="00F03F86"/>
    <w:rsid w:val="00F14090"/>
    <w:rsid w:val="00F23460"/>
    <w:rsid w:val="00F571C3"/>
    <w:rsid w:val="00F80012"/>
    <w:rsid w:val="00F80B8D"/>
    <w:rsid w:val="00FC02B7"/>
    <w:rsid w:val="00FC70B8"/>
    <w:rsid w:val="00FE3A3D"/>
    <w:rsid w:val="00FF3693"/>
    <w:rsid w:val="00FF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6ED8B"/>
  <w15:docId w15:val="{B3C1C8BD-BD67-4D11-96D6-BC20E0BB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pPr>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03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F86"/>
  </w:style>
  <w:style w:type="paragraph" w:styleId="Piedepgina">
    <w:name w:val="footer"/>
    <w:basedOn w:val="Normal"/>
    <w:link w:val="PiedepginaCar"/>
    <w:unhideWhenUsed/>
    <w:rsid w:val="00F03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F86"/>
  </w:style>
  <w:style w:type="paragraph" w:styleId="NormalWeb">
    <w:name w:val="Normal (Web)"/>
    <w:basedOn w:val="Normal"/>
    <w:uiPriority w:val="99"/>
    <w:unhideWhenUsed/>
    <w:rsid w:val="0008273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273F"/>
    <w:rPr>
      <w:b/>
      <w:bCs/>
    </w:rPr>
  </w:style>
  <w:style w:type="paragraph" w:styleId="Prrafodelista">
    <w:name w:val="List Paragraph"/>
    <w:basedOn w:val="Normal"/>
    <w:uiPriority w:val="34"/>
    <w:qFormat/>
    <w:rsid w:val="00775F25"/>
    <w:pPr>
      <w:spacing w:after="0" w:line="240" w:lineRule="auto"/>
      <w:ind w:left="720"/>
      <w:contextualSpacing/>
    </w:pPr>
    <w:rPr>
      <w:rFonts w:asciiTheme="minorHAnsi" w:eastAsiaTheme="minorHAnsi" w:hAnsiTheme="minorHAnsi" w:cstheme="minorBidi"/>
      <w:sz w:val="24"/>
      <w:szCs w:val="24"/>
      <w:lang w:eastAsia="en-US"/>
    </w:rPr>
  </w:style>
  <w:style w:type="character" w:styleId="Hipervnculo">
    <w:name w:val="Hyperlink"/>
    <w:rsid w:val="0015360A"/>
    <w:rPr>
      <w:u w:val="single"/>
    </w:rPr>
  </w:style>
  <w:style w:type="paragraph" w:customStyle="1" w:styleId="Encabezadoypie">
    <w:name w:val="Encabezado y pie"/>
    <w:rsid w:val="0015360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inguno">
    <w:name w:val="Ninguno"/>
    <w:rsid w:val="0015360A"/>
  </w:style>
  <w:style w:type="paragraph" w:customStyle="1" w:styleId="Cuerpo">
    <w:name w:val="Cuerpo"/>
    <w:rsid w:val="0015360A"/>
    <w:pPr>
      <w:pBdr>
        <w:top w:val="nil"/>
        <w:left w:val="nil"/>
        <w:bottom w:val="nil"/>
        <w:right w:val="nil"/>
        <w:between w:val="nil"/>
        <w:bar w:val="nil"/>
      </w:pBdr>
      <w:spacing w:before="360" w:after="360" w:line="360" w:lineRule="auto"/>
      <w:jc w:val="both"/>
    </w:pPr>
    <w:rPr>
      <w:rFonts w:ascii="Palatino" w:eastAsia="Arial Unicode MS" w:hAnsi="Palatino" w:cs="Arial Unicode MS"/>
      <w:color w:val="000000"/>
      <w:sz w:val="24"/>
      <w:szCs w:val="24"/>
      <w:u w:color="000000"/>
      <w:bdr w:val="nil"/>
      <w14:textOutline w14:w="0" w14:cap="flat" w14:cmpd="sng" w14:algn="ctr">
        <w14:noFill/>
        <w14:prstDash w14:val="solid"/>
        <w14:bevel/>
      </w14:textOutline>
    </w:rPr>
  </w:style>
  <w:style w:type="paragraph" w:styleId="Cita">
    <w:name w:val="Quote"/>
    <w:next w:val="Cuerpo"/>
    <w:link w:val="CitaCar"/>
    <w:rsid w:val="0015360A"/>
    <w:pPr>
      <w:pBdr>
        <w:top w:val="nil"/>
        <w:left w:val="nil"/>
        <w:bottom w:val="nil"/>
        <w:right w:val="nil"/>
        <w:between w:val="nil"/>
        <w:bar w:val="nil"/>
      </w:pBdr>
      <w:spacing w:before="200" w:after="160" w:line="360" w:lineRule="auto"/>
      <w:ind w:left="862" w:right="862"/>
      <w:jc w:val="both"/>
    </w:pPr>
    <w:rPr>
      <w:rFonts w:ascii="Palatino" w:eastAsia="Arial Unicode MS" w:hAnsi="Palatino" w:cs="Arial Unicode MS"/>
      <w:color w:val="000000"/>
      <w:u w:color="000000"/>
      <w:bdr w:val="nil"/>
      <w:lang w:val="es-ES_tradnl"/>
    </w:rPr>
  </w:style>
  <w:style w:type="character" w:customStyle="1" w:styleId="CitaCar">
    <w:name w:val="Cita Car"/>
    <w:basedOn w:val="Fuentedeprrafopredeter"/>
    <w:link w:val="Cita"/>
    <w:rsid w:val="0015360A"/>
    <w:rPr>
      <w:rFonts w:ascii="Palatino" w:eastAsia="Arial Unicode MS" w:hAnsi="Palatino" w:cs="Arial Unicode MS"/>
      <w:color w:val="000000"/>
      <w:u w:color="000000"/>
      <w:bdr w:val="nil"/>
      <w:lang w:val="es-ES_tradnl"/>
    </w:rPr>
  </w:style>
  <w:style w:type="paragraph" w:customStyle="1" w:styleId="FSCnota">
    <w:name w:val="FSC nota"/>
    <w:next w:val="Cuerpo"/>
    <w:rsid w:val="0015360A"/>
    <w:pPr>
      <w:pBdr>
        <w:top w:val="nil"/>
        <w:left w:val="nil"/>
        <w:bottom w:val="nil"/>
        <w:right w:val="nil"/>
        <w:between w:val="nil"/>
        <w:bar w:val="nil"/>
      </w:pBdr>
      <w:spacing w:after="0" w:line="360" w:lineRule="auto"/>
      <w:jc w:val="both"/>
    </w:pPr>
    <w:rPr>
      <w:rFonts w:ascii="Arial" w:eastAsia="Arial" w:hAnsi="Arial" w:cs="Arial"/>
      <w:color w:val="000000"/>
      <w:sz w:val="18"/>
      <w:szCs w:val="18"/>
      <w:u w:color="000000"/>
      <w:bdr w:val="nil"/>
      <w:lang w:val="es-ES_tradnl"/>
    </w:rPr>
  </w:style>
  <w:style w:type="character" w:customStyle="1" w:styleId="Hyperlink0">
    <w:name w:val="Hyperlink.0"/>
    <w:basedOn w:val="Ninguno"/>
    <w:rsid w:val="0015360A"/>
    <w:rPr>
      <w:rFonts w:ascii="Palatino" w:eastAsia="Palatino" w:hAnsi="Palatino" w:cs="Palatino"/>
      <w:sz w:val="20"/>
      <w:szCs w:val="20"/>
    </w:rPr>
  </w:style>
  <w:style w:type="paragraph" w:customStyle="1" w:styleId="Predeterminado">
    <w:name w:val="Predeterminado"/>
    <w:rsid w:val="0015360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14:textOutline w14:w="0" w14:cap="flat" w14:cmpd="sng" w14:algn="ctr">
        <w14:noFill/>
        <w14:prstDash w14:val="solid"/>
        <w14:bevel/>
      </w14:textOutline>
    </w:rPr>
  </w:style>
  <w:style w:type="numbering" w:customStyle="1" w:styleId="Harvard">
    <w:name w:val="Harvard"/>
    <w:rsid w:val="0015360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5641">
      <w:bodyDiv w:val="1"/>
      <w:marLeft w:val="0"/>
      <w:marRight w:val="0"/>
      <w:marTop w:val="0"/>
      <w:marBottom w:val="0"/>
      <w:divBdr>
        <w:top w:val="none" w:sz="0" w:space="0" w:color="auto"/>
        <w:left w:val="none" w:sz="0" w:space="0" w:color="auto"/>
        <w:bottom w:val="none" w:sz="0" w:space="0" w:color="auto"/>
        <w:right w:val="none" w:sz="0" w:space="0" w:color="auto"/>
      </w:divBdr>
    </w:div>
    <w:div w:id="151919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rdenjuridico.gob.mx/TratInt/Derechos%2520Humanos/OTROS%25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6130</Words>
  <Characters>33716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FRANKO</dc:creator>
  <cp:lastModifiedBy>Brenda Sarahi Gonzalez Dominguez</cp:lastModifiedBy>
  <cp:revision>2</cp:revision>
  <dcterms:created xsi:type="dcterms:W3CDTF">2023-01-30T20:37:00Z</dcterms:created>
  <dcterms:modified xsi:type="dcterms:W3CDTF">2023-01-30T20:37:00Z</dcterms:modified>
</cp:coreProperties>
</file>