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4F5D10" w14:textId="77777777" w:rsidR="00FE590B" w:rsidRDefault="00FE590B" w:rsidP="00FE590B">
      <w:pPr>
        <w:spacing w:after="0" w:line="360" w:lineRule="auto"/>
        <w:jc w:val="both"/>
        <w:rPr>
          <w:rFonts w:ascii="Century Gothic" w:hAnsi="Century Gothic"/>
          <w:b/>
          <w:bCs/>
          <w:sz w:val="24"/>
          <w:szCs w:val="24"/>
        </w:rPr>
      </w:pPr>
      <w:bookmarkStart w:id="0" w:name="_GoBack"/>
      <w:bookmarkEnd w:id="0"/>
      <w:r>
        <w:rPr>
          <w:rFonts w:ascii="Century Gothic" w:hAnsi="Century Gothic"/>
          <w:b/>
          <w:bCs/>
          <w:sz w:val="24"/>
          <w:szCs w:val="24"/>
        </w:rPr>
        <w:t>H. CONGRESO DEL ESTADO DE CHIHUAHUA.</w:t>
      </w:r>
    </w:p>
    <w:p w14:paraId="32B2086E" w14:textId="77777777" w:rsidR="00FE590B" w:rsidRDefault="00FE590B" w:rsidP="00FE590B">
      <w:pPr>
        <w:spacing w:after="0" w:line="360" w:lineRule="auto"/>
        <w:jc w:val="both"/>
        <w:rPr>
          <w:rFonts w:ascii="Century Gothic" w:hAnsi="Century Gothic"/>
          <w:b/>
          <w:bCs/>
          <w:sz w:val="24"/>
          <w:szCs w:val="24"/>
        </w:rPr>
      </w:pPr>
      <w:r>
        <w:rPr>
          <w:rFonts w:ascii="Century Gothic" w:hAnsi="Century Gothic"/>
          <w:b/>
          <w:bCs/>
          <w:sz w:val="24"/>
          <w:szCs w:val="24"/>
        </w:rPr>
        <w:t>P R E S E N T E.-</w:t>
      </w:r>
    </w:p>
    <w:p w14:paraId="72FA20BA" w14:textId="77777777" w:rsidR="00FE590B" w:rsidRDefault="00FE590B" w:rsidP="00FE590B">
      <w:pPr>
        <w:spacing w:after="0" w:line="360" w:lineRule="auto"/>
        <w:jc w:val="both"/>
        <w:rPr>
          <w:rFonts w:ascii="Century Gothic" w:hAnsi="Century Gothic"/>
          <w:b/>
          <w:sz w:val="24"/>
          <w:szCs w:val="24"/>
        </w:rPr>
      </w:pPr>
    </w:p>
    <w:p w14:paraId="00C66554" w14:textId="633B693A" w:rsidR="00FE590B" w:rsidRPr="009F4D19" w:rsidRDefault="00FE590B" w:rsidP="00FE590B">
      <w:pPr>
        <w:spacing w:after="0" w:line="360" w:lineRule="auto"/>
        <w:jc w:val="both"/>
        <w:rPr>
          <w:rFonts w:ascii="Century Gothic" w:hAnsi="Century Gothic"/>
          <w:b/>
          <w:sz w:val="24"/>
          <w:szCs w:val="24"/>
        </w:rPr>
      </w:pPr>
      <w:r>
        <w:rPr>
          <w:rFonts w:ascii="Century Gothic" w:hAnsi="Century Gothic"/>
          <w:b/>
          <w:bCs/>
          <w:sz w:val="24"/>
          <w:szCs w:val="24"/>
        </w:rPr>
        <w:t xml:space="preserve">C. </w:t>
      </w:r>
      <w:r w:rsidRPr="009E25AA">
        <w:rPr>
          <w:rFonts w:ascii="Century Gothic" w:hAnsi="Century Gothic"/>
          <w:b/>
          <w:bCs/>
          <w:sz w:val="24"/>
          <w:szCs w:val="24"/>
        </w:rPr>
        <w:t>ILSE AMÉRICA GARCÍA SOTO</w:t>
      </w:r>
      <w:r>
        <w:rPr>
          <w:rFonts w:ascii="Century Gothic" w:hAnsi="Century Gothic"/>
          <w:b/>
          <w:bCs/>
          <w:sz w:val="24"/>
          <w:szCs w:val="24"/>
        </w:rPr>
        <w:t>,</w:t>
      </w:r>
      <w:r w:rsidRPr="009E25AA">
        <w:rPr>
          <w:rFonts w:ascii="Century Gothic" w:hAnsi="Century Gothic"/>
          <w:b/>
          <w:bCs/>
          <w:sz w:val="24"/>
          <w:szCs w:val="24"/>
        </w:rPr>
        <w:t xml:space="preserve"> BENJAMÍN CARRERA CHÁVEZ, EDIN CUAUHTÉMOC ESTRADA SOTELO, LETICIA ORTEGA MÁYNEZ, ÓSCAR DANIEL AVITIA ARELLANES, ROSANA DÍAZ REYES, GUSTAVO DE LA ROSA HICKERSON, MAGDALENA RENTERÍA PÉREZ, MARÍA ANTONIETA PÉREZ REYES, DAVID ÓSCAR CASTREJÓN RIVAS</w:t>
      </w:r>
      <w:r>
        <w:rPr>
          <w:rFonts w:ascii="Century Gothic" w:hAnsi="Century Gothic"/>
          <w:b/>
          <w:bCs/>
          <w:sz w:val="24"/>
          <w:szCs w:val="24"/>
        </w:rPr>
        <w:t>,</w:t>
      </w:r>
      <w:r>
        <w:rPr>
          <w:rFonts w:ascii="Century Gothic" w:hAnsi="Century Gothic"/>
          <w:sz w:val="24"/>
          <w:szCs w:val="24"/>
        </w:rPr>
        <w:t xml:space="preserve"> en nuestro carácter de Diputados de la Sexagésima Séptima Legislatura del H. Congreso del Estado de Chihuahua, e integrantes del Grupo Parlamentario de MORENA </w:t>
      </w:r>
      <w:r w:rsidRPr="003B5AFA">
        <w:rPr>
          <w:rFonts w:ascii="Century Gothic" w:hAnsi="Century Gothic"/>
          <w:sz w:val="24"/>
          <w:szCs w:val="24"/>
        </w:rPr>
        <w:t>con fundamento en lo que dispone los artículos 167, fracción I, de la Ley Orgánica del Poder Legislativo del Estado de Chihuahua; artículo</w:t>
      </w:r>
      <w:r>
        <w:rPr>
          <w:rFonts w:ascii="Century Gothic" w:hAnsi="Century Gothic"/>
          <w:sz w:val="24"/>
          <w:szCs w:val="24"/>
        </w:rPr>
        <w:t xml:space="preserve">s 75, 76 y 77 </w:t>
      </w:r>
      <w:r w:rsidRPr="003B5AFA">
        <w:rPr>
          <w:rFonts w:ascii="Century Gothic" w:hAnsi="Century Gothic"/>
          <w:sz w:val="24"/>
          <w:szCs w:val="24"/>
        </w:rPr>
        <w:t xml:space="preserve">del Reglamento Interior y de Prácticas Parlamentarias del Poder Legislativo; comparezco ante este Honorable Soberanía, a fin de </w:t>
      </w:r>
      <w:r>
        <w:rPr>
          <w:rFonts w:ascii="Century Gothic" w:hAnsi="Century Gothic"/>
          <w:sz w:val="24"/>
          <w:szCs w:val="24"/>
        </w:rPr>
        <w:t xml:space="preserve">reformar el artículo </w:t>
      </w:r>
      <w:r w:rsidR="00F07E50">
        <w:rPr>
          <w:rFonts w:ascii="Century Gothic" w:hAnsi="Century Gothic"/>
          <w:sz w:val="24"/>
          <w:szCs w:val="24"/>
        </w:rPr>
        <w:t xml:space="preserve">165 bis </w:t>
      </w:r>
      <w:r>
        <w:rPr>
          <w:rFonts w:ascii="Century Gothic" w:hAnsi="Century Gothic"/>
          <w:sz w:val="24"/>
          <w:szCs w:val="24"/>
        </w:rPr>
        <w:t>de la Constitución Política del Estado de Chihuahua</w:t>
      </w:r>
      <w:r>
        <w:rPr>
          <w:rFonts w:ascii="Century Gothic" w:hAnsi="Century Gothic"/>
          <w:bCs/>
          <w:sz w:val="24"/>
          <w:szCs w:val="24"/>
        </w:rPr>
        <w:t xml:space="preserve">, </w:t>
      </w:r>
      <w:r>
        <w:rPr>
          <w:rFonts w:ascii="Century Gothic" w:hAnsi="Century Gothic"/>
          <w:sz w:val="24"/>
          <w:szCs w:val="24"/>
        </w:rPr>
        <w:t xml:space="preserve">lo </w:t>
      </w:r>
      <w:r w:rsidRPr="003B5AFA">
        <w:rPr>
          <w:rFonts w:ascii="Century Gothic" w:hAnsi="Century Gothic"/>
          <w:sz w:val="24"/>
          <w:szCs w:val="24"/>
        </w:rPr>
        <w:t>anterior conforme a la siguiente:</w:t>
      </w:r>
    </w:p>
    <w:p w14:paraId="5629EE67" w14:textId="77777777" w:rsidR="00FE590B" w:rsidRDefault="00FE590B" w:rsidP="00FE590B">
      <w:pPr>
        <w:spacing w:after="0" w:line="360" w:lineRule="auto"/>
        <w:jc w:val="both"/>
        <w:rPr>
          <w:rFonts w:ascii="Century Gothic" w:hAnsi="Century Gothic"/>
          <w:sz w:val="24"/>
          <w:szCs w:val="24"/>
        </w:rPr>
      </w:pPr>
    </w:p>
    <w:p w14:paraId="21ABC9AD" w14:textId="77777777" w:rsidR="00FE590B" w:rsidRDefault="00FE590B" w:rsidP="00FE590B">
      <w:pPr>
        <w:spacing w:after="0" w:line="360" w:lineRule="auto"/>
        <w:jc w:val="center"/>
        <w:rPr>
          <w:rFonts w:ascii="Century Gothic" w:hAnsi="Century Gothic"/>
          <w:b/>
          <w:bCs/>
          <w:sz w:val="24"/>
          <w:szCs w:val="24"/>
        </w:rPr>
      </w:pPr>
      <w:r>
        <w:rPr>
          <w:rFonts w:ascii="Century Gothic" w:hAnsi="Century Gothic"/>
          <w:b/>
          <w:bCs/>
          <w:sz w:val="24"/>
          <w:szCs w:val="24"/>
        </w:rPr>
        <w:t>EXPOSICIÓN DE MOTIVOS</w:t>
      </w:r>
    </w:p>
    <w:p w14:paraId="5664B223" w14:textId="77777777" w:rsidR="00FE590B" w:rsidRDefault="00FE590B" w:rsidP="00FE590B">
      <w:pPr>
        <w:spacing w:after="0" w:line="360" w:lineRule="auto"/>
        <w:jc w:val="both"/>
        <w:rPr>
          <w:rFonts w:ascii="Century Gothic" w:hAnsi="Century Gothic"/>
          <w:sz w:val="24"/>
          <w:szCs w:val="24"/>
        </w:rPr>
      </w:pPr>
    </w:p>
    <w:p w14:paraId="0140C46C" w14:textId="0ECDE295" w:rsidR="00FE590B" w:rsidRDefault="00ED136D" w:rsidP="00FE590B">
      <w:pPr>
        <w:spacing w:after="0" w:line="360" w:lineRule="auto"/>
        <w:jc w:val="both"/>
        <w:rPr>
          <w:rFonts w:ascii="Century Gothic" w:hAnsi="Century Gothic"/>
          <w:sz w:val="24"/>
          <w:szCs w:val="24"/>
        </w:rPr>
      </w:pPr>
      <w:r>
        <w:rPr>
          <w:rFonts w:ascii="Century Gothic" w:hAnsi="Century Gothic"/>
          <w:sz w:val="24"/>
          <w:szCs w:val="24"/>
        </w:rPr>
        <w:t>Vivimos una época de consolidación de la democracia, desarrollo profesional de la función pública, así como austeridad, racionalidad y transparencia en el gasto público.</w:t>
      </w:r>
    </w:p>
    <w:p w14:paraId="0B7A2847" w14:textId="6867DD78" w:rsidR="00ED136D" w:rsidRDefault="00ED136D" w:rsidP="00FE590B">
      <w:pPr>
        <w:spacing w:after="0" w:line="360" w:lineRule="auto"/>
        <w:jc w:val="both"/>
        <w:rPr>
          <w:rFonts w:ascii="Century Gothic" w:hAnsi="Century Gothic"/>
          <w:sz w:val="24"/>
          <w:szCs w:val="24"/>
        </w:rPr>
      </w:pPr>
    </w:p>
    <w:p w14:paraId="73A82ED7" w14:textId="6C74C51E" w:rsidR="00ED136D" w:rsidRDefault="00ED136D" w:rsidP="00FE590B">
      <w:pPr>
        <w:spacing w:after="0" w:line="360" w:lineRule="auto"/>
        <w:jc w:val="both"/>
        <w:rPr>
          <w:rFonts w:ascii="Century Gothic" w:hAnsi="Century Gothic"/>
          <w:sz w:val="24"/>
          <w:szCs w:val="24"/>
        </w:rPr>
      </w:pPr>
      <w:r>
        <w:rPr>
          <w:rFonts w:ascii="Century Gothic" w:hAnsi="Century Gothic"/>
          <w:sz w:val="24"/>
          <w:szCs w:val="24"/>
        </w:rPr>
        <w:t>Derivado de ello, nuestro país ha generado diversas reformas tanto legales como constitucionales, a fin de proteger, regular y fomentar el ejercicio del servicio público, a través de un pago honesto, justo y transparente de los sueldos y salarios que reciben cada una de las personas que dedican su vida al servicio del pueblo.</w:t>
      </w:r>
    </w:p>
    <w:p w14:paraId="56BB0BFB" w14:textId="60C76E3A" w:rsidR="00ED136D" w:rsidRDefault="00ED136D" w:rsidP="00FE590B">
      <w:pPr>
        <w:spacing w:after="0" w:line="360" w:lineRule="auto"/>
        <w:jc w:val="both"/>
        <w:rPr>
          <w:rFonts w:ascii="Century Gothic" w:hAnsi="Century Gothic"/>
          <w:sz w:val="24"/>
          <w:szCs w:val="24"/>
        </w:rPr>
      </w:pPr>
    </w:p>
    <w:p w14:paraId="5DDCA34D" w14:textId="21408096" w:rsidR="00ED136D" w:rsidRDefault="00ED136D" w:rsidP="00FE590B">
      <w:pPr>
        <w:spacing w:after="0" w:line="360" w:lineRule="auto"/>
        <w:jc w:val="both"/>
        <w:rPr>
          <w:rFonts w:ascii="Century Gothic" w:hAnsi="Century Gothic"/>
          <w:sz w:val="24"/>
          <w:szCs w:val="24"/>
        </w:rPr>
      </w:pPr>
      <w:r>
        <w:rPr>
          <w:rFonts w:ascii="Century Gothic" w:hAnsi="Century Gothic"/>
          <w:sz w:val="24"/>
          <w:szCs w:val="24"/>
        </w:rPr>
        <w:lastRenderedPageBreak/>
        <w:t>Derivado de ello, y para evitar el exceso en la asignación de sus propios salarios, se han establecido algunos candados de salario máximo a nivel federal.</w:t>
      </w:r>
    </w:p>
    <w:p w14:paraId="4291B024" w14:textId="6A1F3103" w:rsidR="00ED136D" w:rsidRDefault="00ED136D" w:rsidP="00FE590B">
      <w:pPr>
        <w:spacing w:after="0" w:line="360" w:lineRule="auto"/>
        <w:jc w:val="both"/>
        <w:rPr>
          <w:rFonts w:ascii="Century Gothic" w:hAnsi="Century Gothic"/>
          <w:sz w:val="24"/>
          <w:szCs w:val="24"/>
        </w:rPr>
      </w:pPr>
    </w:p>
    <w:p w14:paraId="7393D0E0" w14:textId="426D2532" w:rsidR="00587C2F" w:rsidRDefault="00587C2F" w:rsidP="00FE590B">
      <w:pPr>
        <w:spacing w:after="0" w:line="360" w:lineRule="auto"/>
        <w:jc w:val="both"/>
        <w:rPr>
          <w:rFonts w:ascii="Century Gothic" w:hAnsi="Century Gothic"/>
          <w:sz w:val="24"/>
          <w:szCs w:val="24"/>
        </w:rPr>
      </w:pPr>
      <w:r>
        <w:rPr>
          <w:rFonts w:ascii="Century Gothic" w:hAnsi="Century Gothic"/>
          <w:sz w:val="24"/>
          <w:szCs w:val="24"/>
        </w:rPr>
        <w:t>En este tenor, a partir del año 2016 se reformó el artículo 127 de la Constitución Federal, con el fin de que l</w:t>
      </w:r>
      <w:r w:rsidRPr="00587C2F">
        <w:rPr>
          <w:rFonts w:ascii="Century Gothic" w:hAnsi="Century Gothic"/>
          <w:sz w:val="24"/>
          <w:szCs w:val="24"/>
        </w:rPr>
        <w:t>os servidores públicos de la Federación, de las entidades federativas, de los Municipios y de las demarcaciones territoriales de la Ciudad de México, de sus entidades y dependencias, así como de sus administraciones paraestatales y paramunicipales, fideicomisos públicos, instituciones y organismos autónomos, y cualquier otro ente público, recib</w:t>
      </w:r>
      <w:r>
        <w:rPr>
          <w:rFonts w:ascii="Century Gothic" w:hAnsi="Century Gothic"/>
          <w:sz w:val="24"/>
          <w:szCs w:val="24"/>
        </w:rPr>
        <w:t>iese</w:t>
      </w:r>
      <w:r w:rsidRPr="00587C2F">
        <w:rPr>
          <w:rFonts w:ascii="Century Gothic" w:hAnsi="Century Gothic"/>
          <w:sz w:val="24"/>
          <w:szCs w:val="24"/>
        </w:rPr>
        <w:t xml:space="preserve">n una remuneración adecuada e irrenunciable por el desempeño de su función, empleo, cargo o comisión, que deberá ser proporcional a sus responsabilidades. </w:t>
      </w:r>
    </w:p>
    <w:p w14:paraId="70E4E288" w14:textId="77777777" w:rsidR="00587C2F" w:rsidRDefault="00587C2F" w:rsidP="00FE590B">
      <w:pPr>
        <w:spacing w:after="0" w:line="360" w:lineRule="auto"/>
        <w:jc w:val="both"/>
        <w:rPr>
          <w:rFonts w:ascii="Century Gothic" w:hAnsi="Century Gothic"/>
          <w:sz w:val="24"/>
          <w:szCs w:val="24"/>
        </w:rPr>
      </w:pPr>
    </w:p>
    <w:p w14:paraId="081DBFA9" w14:textId="1E4E5509" w:rsidR="00587C2F" w:rsidRDefault="00587C2F" w:rsidP="00FE590B">
      <w:pPr>
        <w:spacing w:after="0" w:line="360" w:lineRule="auto"/>
        <w:jc w:val="both"/>
        <w:rPr>
          <w:rFonts w:ascii="Century Gothic" w:hAnsi="Century Gothic"/>
          <w:sz w:val="24"/>
          <w:szCs w:val="24"/>
        </w:rPr>
      </w:pPr>
      <w:r w:rsidRPr="00587C2F">
        <w:rPr>
          <w:rFonts w:ascii="Century Gothic" w:hAnsi="Century Gothic"/>
          <w:sz w:val="24"/>
          <w:szCs w:val="24"/>
        </w:rPr>
        <w:t xml:space="preserve">Dicha remuneración </w:t>
      </w:r>
      <w:r>
        <w:rPr>
          <w:rFonts w:ascii="Century Gothic" w:hAnsi="Century Gothic"/>
          <w:sz w:val="24"/>
          <w:szCs w:val="24"/>
        </w:rPr>
        <w:t xml:space="preserve">quedó </w:t>
      </w:r>
      <w:r w:rsidRPr="00587C2F">
        <w:rPr>
          <w:rFonts w:ascii="Century Gothic" w:hAnsi="Century Gothic"/>
          <w:sz w:val="24"/>
          <w:szCs w:val="24"/>
        </w:rPr>
        <w:t xml:space="preserve">determinada anual y equitativamente en los presupuestos de egresos correspondientes, bajo las siguientes bases: </w:t>
      </w:r>
    </w:p>
    <w:p w14:paraId="7282AA37" w14:textId="77777777" w:rsidR="00587C2F" w:rsidRDefault="00587C2F" w:rsidP="00FE590B">
      <w:pPr>
        <w:spacing w:after="0" w:line="360" w:lineRule="auto"/>
        <w:jc w:val="both"/>
        <w:rPr>
          <w:rFonts w:ascii="Century Gothic" w:hAnsi="Century Gothic"/>
          <w:sz w:val="24"/>
          <w:szCs w:val="24"/>
        </w:rPr>
      </w:pPr>
    </w:p>
    <w:p w14:paraId="10A985EC" w14:textId="52837757" w:rsidR="00587C2F" w:rsidRPr="00587C2F" w:rsidRDefault="00587C2F" w:rsidP="00587C2F">
      <w:pPr>
        <w:pStyle w:val="Prrafodelista"/>
        <w:numPr>
          <w:ilvl w:val="0"/>
          <w:numId w:val="1"/>
        </w:numPr>
        <w:spacing w:after="0" w:line="360" w:lineRule="auto"/>
        <w:jc w:val="both"/>
        <w:rPr>
          <w:rFonts w:ascii="Century Gothic" w:hAnsi="Century Gothic"/>
          <w:sz w:val="24"/>
          <w:szCs w:val="24"/>
        </w:rPr>
      </w:pPr>
      <w:r w:rsidRPr="00587C2F">
        <w:rPr>
          <w:rFonts w:ascii="Century Gothic" w:hAnsi="Century Gothic"/>
          <w:sz w:val="24"/>
          <w:szCs w:val="24"/>
        </w:rPr>
        <w:t xml:space="preserve">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 </w:t>
      </w:r>
    </w:p>
    <w:p w14:paraId="786D7D32" w14:textId="5FFE57B9" w:rsidR="00587C2F" w:rsidRDefault="00587C2F" w:rsidP="00587C2F">
      <w:pPr>
        <w:pStyle w:val="Prrafodelista"/>
        <w:numPr>
          <w:ilvl w:val="0"/>
          <w:numId w:val="1"/>
        </w:numPr>
        <w:spacing w:after="0" w:line="360" w:lineRule="auto"/>
        <w:jc w:val="both"/>
        <w:rPr>
          <w:rFonts w:ascii="Century Gothic" w:hAnsi="Century Gothic"/>
          <w:sz w:val="24"/>
          <w:szCs w:val="24"/>
        </w:rPr>
      </w:pPr>
      <w:r w:rsidRPr="00587C2F">
        <w:rPr>
          <w:rFonts w:ascii="Century Gothic" w:hAnsi="Century Gothic"/>
          <w:sz w:val="24"/>
          <w:szCs w:val="24"/>
        </w:rPr>
        <w:t xml:space="preserve">Ningún servidor público podrá recibir remuneración, en términos de la fracción anterior, por el desempeño de su función, empleo, cargo o comisión, mayor a la establecida para el Presidente de la República en el presupuesto correspondiente. </w:t>
      </w:r>
    </w:p>
    <w:p w14:paraId="45EACC45" w14:textId="53CC67CF" w:rsidR="00587C2F" w:rsidRDefault="00587C2F" w:rsidP="00587C2F">
      <w:pPr>
        <w:pStyle w:val="Prrafodelista"/>
        <w:numPr>
          <w:ilvl w:val="0"/>
          <w:numId w:val="1"/>
        </w:numPr>
        <w:spacing w:after="0" w:line="360" w:lineRule="auto"/>
        <w:jc w:val="both"/>
        <w:rPr>
          <w:rFonts w:ascii="Century Gothic" w:hAnsi="Century Gothic"/>
          <w:sz w:val="24"/>
          <w:szCs w:val="24"/>
        </w:rPr>
      </w:pPr>
      <w:r w:rsidRPr="00587C2F">
        <w:rPr>
          <w:rFonts w:ascii="Century Gothic" w:hAnsi="Century Gothic"/>
          <w:sz w:val="24"/>
          <w:szCs w:val="24"/>
        </w:rPr>
        <w:lastRenderedPageBreak/>
        <w:t xml:space="preserve">Ningún servidor público podrá tener una remuneración igual o mayor que su superior jerárquico; salvo que el excedente sea consecuencia del desempeño de varios empleos públicos, que su remuneración sea producto de las condiciones generales de trabajo, derivado de un trabajo técnico calificado o por especialización en su función, la suma de dichas retribuciones no deberá exceder la mitad de la remuneración establecida para el presidente de la República en el presupuesto correspondiente. </w:t>
      </w:r>
    </w:p>
    <w:p w14:paraId="61DF30CC" w14:textId="77777777" w:rsidR="00587C2F" w:rsidRDefault="00587C2F" w:rsidP="00587C2F">
      <w:pPr>
        <w:pStyle w:val="Prrafodelista"/>
        <w:numPr>
          <w:ilvl w:val="0"/>
          <w:numId w:val="1"/>
        </w:numPr>
        <w:spacing w:after="0" w:line="360" w:lineRule="auto"/>
        <w:jc w:val="both"/>
        <w:rPr>
          <w:rFonts w:ascii="Century Gothic" w:hAnsi="Century Gothic"/>
          <w:sz w:val="24"/>
          <w:szCs w:val="24"/>
        </w:rPr>
      </w:pPr>
      <w:r w:rsidRPr="00587C2F">
        <w:rPr>
          <w:rFonts w:ascii="Century Gothic" w:hAnsi="Century Gothic"/>
          <w:sz w:val="24"/>
          <w:szCs w:val="24"/>
        </w:rPr>
        <w:t xml:space="preserve">No se concederán ni cubrirán jubilaciones, pensiones o haberes de retiro, ni liquidaciones por servicios prestados, como tampoco préstamos o créditos, sin que éstas se encuentren asignadas por la ley, decreto legislativo, contrato colectivo o condiciones generales de trabajo. Estos conceptos no formarán parte de la remuneración. Quedan excluidos los servicios de seguridad que requieran los servidores públicos por razón del cargo desempeñado. </w:t>
      </w:r>
    </w:p>
    <w:p w14:paraId="1E4AA59D" w14:textId="77777777" w:rsidR="00587C2F" w:rsidRDefault="00587C2F" w:rsidP="00587C2F">
      <w:pPr>
        <w:pStyle w:val="Prrafodelista"/>
        <w:numPr>
          <w:ilvl w:val="0"/>
          <w:numId w:val="1"/>
        </w:numPr>
        <w:spacing w:after="0" w:line="360" w:lineRule="auto"/>
        <w:jc w:val="both"/>
        <w:rPr>
          <w:rFonts w:ascii="Century Gothic" w:hAnsi="Century Gothic"/>
          <w:sz w:val="24"/>
          <w:szCs w:val="24"/>
        </w:rPr>
      </w:pPr>
      <w:r w:rsidRPr="00587C2F">
        <w:rPr>
          <w:rFonts w:ascii="Century Gothic" w:hAnsi="Century Gothic"/>
          <w:sz w:val="24"/>
          <w:szCs w:val="24"/>
        </w:rPr>
        <w:t xml:space="preserve">Las remuneraciones y sus tabuladores serán públicos, y deberán especificar y diferenciar la totalidad de sus elementos fijos y variables tanto en efectivo como en especie. </w:t>
      </w:r>
    </w:p>
    <w:p w14:paraId="49A83B6C" w14:textId="30C04BF5" w:rsidR="00ED136D" w:rsidRDefault="00587C2F" w:rsidP="00587C2F">
      <w:pPr>
        <w:pStyle w:val="Prrafodelista"/>
        <w:numPr>
          <w:ilvl w:val="0"/>
          <w:numId w:val="1"/>
        </w:numPr>
        <w:spacing w:after="0" w:line="360" w:lineRule="auto"/>
        <w:jc w:val="both"/>
        <w:rPr>
          <w:rFonts w:ascii="Century Gothic" w:hAnsi="Century Gothic"/>
          <w:sz w:val="24"/>
          <w:szCs w:val="24"/>
        </w:rPr>
      </w:pPr>
      <w:r w:rsidRPr="00587C2F">
        <w:rPr>
          <w:rFonts w:ascii="Century Gothic" w:hAnsi="Century Gothic"/>
          <w:sz w:val="24"/>
          <w:szCs w:val="24"/>
        </w:rPr>
        <w:t>El Congreso de la Unión y las Legislaturas de las entidades federativas, en el ámbito de sus competencias, expedirán las leyes para hacer efectivo el contenido del presente artículo y las disposiciones constitucionales relativas, y para sancionar penal y administrativamente las conductas que impliquen el incumplimiento o la elusión por simulación de lo establecido en este artículo.</w:t>
      </w:r>
    </w:p>
    <w:p w14:paraId="5C2EBA43" w14:textId="5AE233CF" w:rsidR="00587C2F" w:rsidRDefault="00587C2F" w:rsidP="00587C2F">
      <w:pPr>
        <w:spacing w:after="0" w:line="360" w:lineRule="auto"/>
        <w:jc w:val="both"/>
        <w:rPr>
          <w:rFonts w:ascii="Century Gothic" w:hAnsi="Century Gothic"/>
          <w:sz w:val="24"/>
          <w:szCs w:val="24"/>
        </w:rPr>
      </w:pPr>
    </w:p>
    <w:p w14:paraId="32EA7553" w14:textId="1E1A1905" w:rsidR="00587C2F" w:rsidRDefault="00587C2F" w:rsidP="00587C2F">
      <w:pPr>
        <w:spacing w:after="0" w:line="360" w:lineRule="auto"/>
        <w:jc w:val="both"/>
        <w:rPr>
          <w:rFonts w:ascii="Century Gothic" w:hAnsi="Century Gothic"/>
          <w:sz w:val="24"/>
          <w:szCs w:val="24"/>
        </w:rPr>
      </w:pPr>
      <w:r>
        <w:rPr>
          <w:rFonts w:ascii="Century Gothic" w:hAnsi="Century Gothic"/>
          <w:sz w:val="24"/>
          <w:szCs w:val="24"/>
        </w:rPr>
        <w:lastRenderedPageBreak/>
        <w:t xml:space="preserve">En lo concerniente a esta fracción VI del artículo 127 de la Constitución Federal, el Congreso Local incluyó un artículo </w:t>
      </w:r>
      <w:r w:rsidRPr="00587C2F">
        <w:rPr>
          <w:rFonts w:ascii="Century Gothic" w:hAnsi="Century Gothic"/>
          <w:sz w:val="24"/>
          <w:szCs w:val="24"/>
        </w:rPr>
        <w:t>165 bis</w:t>
      </w:r>
      <w:r>
        <w:rPr>
          <w:rFonts w:ascii="Century Gothic" w:hAnsi="Century Gothic"/>
          <w:sz w:val="24"/>
          <w:szCs w:val="24"/>
        </w:rPr>
        <w:t xml:space="preserve"> con dichos elementos. Quedando explícitamente en su fracción II que n</w:t>
      </w:r>
      <w:r w:rsidRPr="00587C2F">
        <w:rPr>
          <w:rFonts w:ascii="Century Gothic" w:hAnsi="Century Gothic"/>
          <w:sz w:val="24"/>
          <w:szCs w:val="24"/>
        </w:rPr>
        <w:t>ingún servidor público podrá recibir remuneración igual o superior al monto máximo autorizado</w:t>
      </w:r>
      <w:r>
        <w:rPr>
          <w:rFonts w:ascii="Century Gothic" w:hAnsi="Century Gothic"/>
          <w:sz w:val="24"/>
          <w:szCs w:val="24"/>
        </w:rPr>
        <w:t xml:space="preserve"> </w:t>
      </w:r>
      <w:r w:rsidRPr="00587C2F">
        <w:rPr>
          <w:rFonts w:ascii="Century Gothic" w:hAnsi="Century Gothic"/>
          <w:sz w:val="24"/>
          <w:szCs w:val="24"/>
        </w:rPr>
        <w:t>en el presupuesto estatal para la remuneración del Gobernador del Estado; y la remuneración de</w:t>
      </w:r>
      <w:r>
        <w:rPr>
          <w:rFonts w:ascii="Century Gothic" w:hAnsi="Century Gothic"/>
          <w:sz w:val="24"/>
          <w:szCs w:val="24"/>
        </w:rPr>
        <w:t xml:space="preserve"> </w:t>
      </w:r>
      <w:r w:rsidRPr="00587C2F">
        <w:rPr>
          <w:rFonts w:ascii="Century Gothic" w:hAnsi="Century Gothic"/>
          <w:sz w:val="24"/>
          <w:szCs w:val="24"/>
        </w:rPr>
        <w:t>éste, a su vez no será igual o superior que la del presidente de la República.</w:t>
      </w:r>
    </w:p>
    <w:p w14:paraId="00B366EA" w14:textId="7D7FD33B" w:rsidR="00587C2F" w:rsidRDefault="00587C2F" w:rsidP="00587C2F">
      <w:pPr>
        <w:spacing w:after="0" w:line="360" w:lineRule="auto"/>
        <w:jc w:val="both"/>
        <w:rPr>
          <w:rFonts w:ascii="Century Gothic" w:hAnsi="Century Gothic"/>
          <w:sz w:val="24"/>
          <w:szCs w:val="24"/>
        </w:rPr>
      </w:pPr>
    </w:p>
    <w:p w14:paraId="2BD76F6E" w14:textId="5683F33B" w:rsidR="00587C2F" w:rsidRDefault="00587C2F" w:rsidP="00587C2F">
      <w:pPr>
        <w:spacing w:after="0" w:line="360" w:lineRule="auto"/>
        <w:jc w:val="both"/>
        <w:rPr>
          <w:rFonts w:ascii="Century Gothic" w:hAnsi="Century Gothic"/>
          <w:sz w:val="24"/>
          <w:szCs w:val="24"/>
        </w:rPr>
      </w:pPr>
      <w:r>
        <w:rPr>
          <w:rFonts w:ascii="Century Gothic" w:hAnsi="Century Gothic"/>
          <w:sz w:val="24"/>
          <w:szCs w:val="24"/>
        </w:rPr>
        <w:t>En este tenor, creemos convenientes hacer una modificación a este precepto, por elementos más objetivos acerca de la determinación del salario, que vinculen las remuneraciones de los servidores públicos a las de cualquier trabajador, a saber, el salario mínimo diario vigente.</w:t>
      </w:r>
    </w:p>
    <w:p w14:paraId="1F170191" w14:textId="50A3D710" w:rsidR="00587C2F" w:rsidRDefault="00587C2F" w:rsidP="00587C2F">
      <w:pPr>
        <w:spacing w:after="0" w:line="360" w:lineRule="auto"/>
        <w:jc w:val="both"/>
        <w:rPr>
          <w:rFonts w:ascii="Century Gothic" w:hAnsi="Century Gothic"/>
          <w:sz w:val="24"/>
          <w:szCs w:val="24"/>
        </w:rPr>
      </w:pPr>
    </w:p>
    <w:p w14:paraId="779C54D1" w14:textId="79CA72BC" w:rsidR="006234D6" w:rsidRDefault="00587C2F" w:rsidP="00587C2F">
      <w:pPr>
        <w:spacing w:after="0" w:line="360" w:lineRule="auto"/>
        <w:jc w:val="both"/>
        <w:rPr>
          <w:rFonts w:ascii="Century Gothic" w:hAnsi="Century Gothic"/>
          <w:sz w:val="24"/>
          <w:szCs w:val="24"/>
        </w:rPr>
      </w:pPr>
      <w:r>
        <w:rPr>
          <w:rFonts w:ascii="Century Gothic" w:hAnsi="Century Gothic"/>
          <w:sz w:val="24"/>
          <w:szCs w:val="24"/>
        </w:rPr>
        <w:t xml:space="preserve">En este entendido, proponemos que </w:t>
      </w:r>
      <w:r w:rsidR="006234D6">
        <w:rPr>
          <w:rFonts w:ascii="Century Gothic" w:hAnsi="Century Gothic"/>
          <w:sz w:val="24"/>
          <w:szCs w:val="24"/>
        </w:rPr>
        <w:t>el artículo 165 bis, en su fracción segunda diga:</w:t>
      </w:r>
    </w:p>
    <w:p w14:paraId="0C9B3304" w14:textId="77777777" w:rsidR="006234D6" w:rsidRDefault="006234D6" w:rsidP="00587C2F">
      <w:pPr>
        <w:spacing w:after="0" w:line="360" w:lineRule="auto"/>
        <w:jc w:val="both"/>
        <w:rPr>
          <w:rFonts w:ascii="Century Gothic" w:hAnsi="Century Gothic"/>
          <w:sz w:val="24"/>
          <w:szCs w:val="24"/>
        </w:rPr>
      </w:pPr>
    </w:p>
    <w:p w14:paraId="06F0AAFC" w14:textId="12AADC05" w:rsidR="006234D6" w:rsidRDefault="006234D6" w:rsidP="00587C2F">
      <w:pPr>
        <w:spacing w:after="0" w:line="360" w:lineRule="auto"/>
        <w:jc w:val="both"/>
        <w:rPr>
          <w:rFonts w:ascii="Century Gothic" w:hAnsi="Century Gothic"/>
          <w:sz w:val="24"/>
          <w:szCs w:val="24"/>
        </w:rPr>
      </w:pPr>
      <w:r w:rsidRPr="006234D6">
        <w:rPr>
          <w:rFonts w:ascii="Century Gothic" w:hAnsi="Century Gothic"/>
          <w:sz w:val="24"/>
          <w:szCs w:val="24"/>
        </w:rPr>
        <w:t>II. Ningún servidor público podrá recibir remuneración igual o superior que la del presidente de la República</w:t>
      </w:r>
      <w:r>
        <w:rPr>
          <w:rFonts w:ascii="Century Gothic" w:hAnsi="Century Gothic"/>
          <w:sz w:val="24"/>
          <w:szCs w:val="24"/>
        </w:rPr>
        <w:t>, así como nunca podrá exceder de los 30 salarios mínimos diarios vigentes.</w:t>
      </w:r>
    </w:p>
    <w:p w14:paraId="72E8B14D" w14:textId="29D3A66A" w:rsidR="006234D6" w:rsidRDefault="006234D6" w:rsidP="00587C2F">
      <w:pPr>
        <w:spacing w:after="0" w:line="360" w:lineRule="auto"/>
        <w:jc w:val="both"/>
        <w:rPr>
          <w:rFonts w:ascii="Century Gothic" w:hAnsi="Century Gothic"/>
          <w:sz w:val="24"/>
          <w:szCs w:val="24"/>
        </w:rPr>
      </w:pPr>
    </w:p>
    <w:p w14:paraId="37A3FB23" w14:textId="37671B7F" w:rsidR="006234D6" w:rsidRDefault="006234D6" w:rsidP="00587C2F">
      <w:pPr>
        <w:spacing w:after="0" w:line="360" w:lineRule="auto"/>
        <w:jc w:val="both"/>
        <w:rPr>
          <w:rFonts w:ascii="Century Gothic" w:hAnsi="Century Gothic"/>
          <w:sz w:val="24"/>
          <w:szCs w:val="24"/>
        </w:rPr>
      </w:pPr>
      <w:r>
        <w:rPr>
          <w:rFonts w:ascii="Century Gothic" w:hAnsi="Century Gothic"/>
          <w:sz w:val="24"/>
          <w:szCs w:val="24"/>
        </w:rPr>
        <w:t>Asimismo, incluimos una fracción III que aclare el supuesto de los salarios de los titulares de los Poderes Públicos del Estado:</w:t>
      </w:r>
    </w:p>
    <w:p w14:paraId="594F556C" w14:textId="77777777" w:rsidR="006234D6" w:rsidRDefault="006234D6" w:rsidP="00587C2F">
      <w:pPr>
        <w:spacing w:after="0" w:line="360" w:lineRule="auto"/>
        <w:jc w:val="both"/>
        <w:rPr>
          <w:rFonts w:ascii="Century Gothic" w:hAnsi="Century Gothic"/>
          <w:sz w:val="24"/>
          <w:szCs w:val="24"/>
        </w:rPr>
      </w:pPr>
    </w:p>
    <w:p w14:paraId="226B8790" w14:textId="660D0688" w:rsidR="006234D6" w:rsidRDefault="006234D6" w:rsidP="00587C2F">
      <w:pPr>
        <w:spacing w:after="0" w:line="360" w:lineRule="auto"/>
        <w:jc w:val="both"/>
        <w:rPr>
          <w:rFonts w:ascii="Century Gothic" w:hAnsi="Century Gothic"/>
          <w:sz w:val="24"/>
          <w:szCs w:val="24"/>
        </w:rPr>
      </w:pPr>
      <w:r>
        <w:rPr>
          <w:rFonts w:ascii="Century Gothic" w:hAnsi="Century Gothic"/>
          <w:sz w:val="24"/>
          <w:szCs w:val="24"/>
        </w:rPr>
        <w:t xml:space="preserve">III. Las personas titulares de la Gubernatura del Estado, de organismos públicos autónomos, Diputadas y Diputados, así como Magistrados y Magistradas estarán impedidos para recibir una </w:t>
      </w:r>
      <w:r w:rsidRPr="006234D6">
        <w:rPr>
          <w:rFonts w:ascii="Century Gothic" w:hAnsi="Century Gothic"/>
          <w:sz w:val="24"/>
          <w:szCs w:val="24"/>
        </w:rPr>
        <w:t>remuneración igual o superior que la del presidente de la República</w:t>
      </w:r>
      <w:r>
        <w:rPr>
          <w:rFonts w:ascii="Century Gothic" w:hAnsi="Century Gothic"/>
          <w:sz w:val="24"/>
          <w:szCs w:val="24"/>
        </w:rPr>
        <w:t>, así como que esta nunca podrá exceder de los 34 salarios mínimos diarios vigentes.</w:t>
      </w:r>
    </w:p>
    <w:p w14:paraId="1CC070F7" w14:textId="1DBA7A3E" w:rsidR="006234D6" w:rsidRDefault="006234D6" w:rsidP="00587C2F">
      <w:pPr>
        <w:spacing w:after="0" w:line="360" w:lineRule="auto"/>
        <w:jc w:val="both"/>
        <w:rPr>
          <w:rFonts w:ascii="Century Gothic" w:hAnsi="Century Gothic"/>
          <w:sz w:val="24"/>
          <w:szCs w:val="24"/>
        </w:rPr>
      </w:pPr>
    </w:p>
    <w:p w14:paraId="15F04D14" w14:textId="0E7789FF" w:rsidR="006234D6" w:rsidRDefault="006234D6" w:rsidP="00587C2F">
      <w:pPr>
        <w:spacing w:after="0" w:line="360" w:lineRule="auto"/>
        <w:jc w:val="both"/>
        <w:rPr>
          <w:rFonts w:ascii="Century Gothic" w:hAnsi="Century Gothic"/>
          <w:sz w:val="24"/>
          <w:szCs w:val="24"/>
        </w:rPr>
      </w:pPr>
      <w:r>
        <w:rPr>
          <w:rFonts w:ascii="Century Gothic" w:hAnsi="Century Gothic"/>
          <w:sz w:val="24"/>
          <w:szCs w:val="24"/>
        </w:rPr>
        <w:t>Con lo anterior se busca establecer un doble criterio de austeridad y orden en el pago de salarios.</w:t>
      </w:r>
    </w:p>
    <w:p w14:paraId="1AF5B183" w14:textId="5EA7B911" w:rsidR="006234D6" w:rsidRDefault="006234D6" w:rsidP="00587C2F">
      <w:pPr>
        <w:spacing w:after="0" w:line="360" w:lineRule="auto"/>
        <w:jc w:val="both"/>
        <w:rPr>
          <w:rFonts w:ascii="Century Gothic" w:hAnsi="Century Gothic"/>
          <w:sz w:val="24"/>
          <w:szCs w:val="24"/>
        </w:rPr>
      </w:pPr>
    </w:p>
    <w:p w14:paraId="3400F391" w14:textId="77777777" w:rsidR="004F1082" w:rsidRDefault="006234D6" w:rsidP="00587C2F">
      <w:pPr>
        <w:spacing w:after="0" w:line="360" w:lineRule="auto"/>
        <w:jc w:val="both"/>
        <w:rPr>
          <w:rFonts w:ascii="Century Gothic" w:hAnsi="Century Gothic"/>
          <w:sz w:val="24"/>
          <w:szCs w:val="24"/>
        </w:rPr>
      </w:pPr>
      <w:r>
        <w:rPr>
          <w:rFonts w:ascii="Century Gothic" w:hAnsi="Century Gothic"/>
          <w:sz w:val="24"/>
          <w:szCs w:val="24"/>
        </w:rPr>
        <w:t>En primera, se determina la obligación constitucional de no recibir sueldos mayores a los del presidente de la República por un lado. Pero aún así, para evitar que en caso que el salario del presidente fuese mayor</w:t>
      </w:r>
      <w:r w:rsidR="004F1082">
        <w:rPr>
          <w:rFonts w:ascii="Century Gothic" w:hAnsi="Century Gothic"/>
          <w:sz w:val="24"/>
          <w:szCs w:val="24"/>
        </w:rPr>
        <w:t>, los funcionarios se vean impedidos por recibir un sueldo estratosférico, poniendo como un segundo límite los 30 salarios mínimos diarios vigentes.</w:t>
      </w:r>
    </w:p>
    <w:p w14:paraId="6EF63B4D" w14:textId="77777777" w:rsidR="004F1082" w:rsidRDefault="004F1082" w:rsidP="00587C2F">
      <w:pPr>
        <w:spacing w:after="0" w:line="360" w:lineRule="auto"/>
        <w:jc w:val="both"/>
        <w:rPr>
          <w:rFonts w:ascii="Century Gothic" w:hAnsi="Century Gothic"/>
          <w:sz w:val="24"/>
          <w:szCs w:val="24"/>
        </w:rPr>
      </w:pPr>
    </w:p>
    <w:p w14:paraId="2462FDFE" w14:textId="77777777" w:rsidR="004F1082" w:rsidRDefault="004F1082" w:rsidP="00587C2F">
      <w:pPr>
        <w:spacing w:after="0" w:line="360" w:lineRule="auto"/>
        <w:jc w:val="both"/>
        <w:rPr>
          <w:rFonts w:ascii="Century Gothic" w:hAnsi="Century Gothic"/>
          <w:sz w:val="24"/>
          <w:szCs w:val="24"/>
        </w:rPr>
      </w:pPr>
      <w:r>
        <w:rPr>
          <w:rFonts w:ascii="Century Gothic" w:hAnsi="Century Gothic"/>
          <w:sz w:val="24"/>
          <w:szCs w:val="24"/>
        </w:rPr>
        <w:t>Al día de hoy, el salario del Presidente de la República equivale a 34.5 salarios mínimos vigentes. Si con el paso del tiempo el salario del presidente llegara a subir a 40 salarios mínimos, este precepto impediría que el salario subiera indiscriminadamente a los 39 salarios mínimos, para el caso de cualquier servidor público.</w:t>
      </w:r>
    </w:p>
    <w:p w14:paraId="709221F6" w14:textId="77777777" w:rsidR="004F1082" w:rsidRDefault="004F1082" w:rsidP="00587C2F">
      <w:pPr>
        <w:spacing w:after="0" w:line="360" w:lineRule="auto"/>
        <w:jc w:val="both"/>
        <w:rPr>
          <w:rFonts w:ascii="Century Gothic" w:hAnsi="Century Gothic"/>
          <w:sz w:val="24"/>
          <w:szCs w:val="24"/>
        </w:rPr>
      </w:pPr>
    </w:p>
    <w:p w14:paraId="18FF0DBA" w14:textId="77777777" w:rsidR="004F1082" w:rsidRDefault="004F1082" w:rsidP="00587C2F">
      <w:pPr>
        <w:spacing w:after="0" w:line="360" w:lineRule="auto"/>
        <w:jc w:val="both"/>
        <w:rPr>
          <w:rFonts w:ascii="Century Gothic" w:hAnsi="Century Gothic"/>
          <w:sz w:val="24"/>
          <w:szCs w:val="24"/>
        </w:rPr>
      </w:pPr>
      <w:r>
        <w:rPr>
          <w:rFonts w:ascii="Century Gothic" w:hAnsi="Century Gothic"/>
          <w:sz w:val="24"/>
          <w:szCs w:val="24"/>
        </w:rPr>
        <w:t>Misma hipótesis se plantea al determinar los salarios de los titulares de los otros poderes. En primera instancia se reconoce que titulares de poderes y organismos públicos autónomos se encuentran en un mismo nivel jerárquico, por lo que económicamente hablando no debería existir una diferenciación que subordina salarialmente dichas funciones.</w:t>
      </w:r>
    </w:p>
    <w:p w14:paraId="20722346" w14:textId="77777777" w:rsidR="004F1082" w:rsidRDefault="004F1082" w:rsidP="00587C2F">
      <w:pPr>
        <w:spacing w:after="0" w:line="360" w:lineRule="auto"/>
        <w:jc w:val="both"/>
        <w:rPr>
          <w:rFonts w:ascii="Century Gothic" w:hAnsi="Century Gothic"/>
          <w:sz w:val="24"/>
          <w:szCs w:val="24"/>
        </w:rPr>
      </w:pPr>
    </w:p>
    <w:p w14:paraId="6373B025" w14:textId="05473479" w:rsidR="006234D6" w:rsidRDefault="004F1082" w:rsidP="00587C2F">
      <w:pPr>
        <w:spacing w:after="0" w:line="360" w:lineRule="auto"/>
        <w:jc w:val="both"/>
        <w:rPr>
          <w:rFonts w:ascii="Century Gothic" w:hAnsi="Century Gothic"/>
          <w:sz w:val="24"/>
          <w:szCs w:val="24"/>
        </w:rPr>
      </w:pPr>
      <w:r>
        <w:rPr>
          <w:rFonts w:ascii="Century Gothic" w:hAnsi="Century Gothic"/>
          <w:sz w:val="24"/>
          <w:szCs w:val="24"/>
        </w:rPr>
        <w:t>Es por lo que, se aclara que tanto las personas titulares de la Gubernatura del Estado, de organismos públicos autónomos, Diputadas y Diputados, así como Magistrados y Magistradas, recibirán el mismo sueldo, y se regularán bajo las mismas reglas. Es decir, bajo la doble hipótesis de no ganar más que el presidente de la república, que en su sueldo se encuentra en 34.5 salarios mínimos, y en caso que este llegara a ser mayor, nunca podrán exceder los 34 salarios mínimos diarios vigentes.</w:t>
      </w:r>
    </w:p>
    <w:p w14:paraId="60ACCB41" w14:textId="77777777" w:rsidR="00587C2F" w:rsidRPr="00587C2F" w:rsidRDefault="00587C2F" w:rsidP="00587C2F">
      <w:pPr>
        <w:spacing w:after="0" w:line="360" w:lineRule="auto"/>
        <w:jc w:val="both"/>
        <w:rPr>
          <w:rFonts w:ascii="Century Gothic" w:hAnsi="Century Gothic"/>
          <w:sz w:val="24"/>
          <w:szCs w:val="24"/>
        </w:rPr>
      </w:pPr>
    </w:p>
    <w:p w14:paraId="775EEC98" w14:textId="339574A7" w:rsidR="008C736F" w:rsidRDefault="008C736F" w:rsidP="008C736F">
      <w:pPr>
        <w:spacing w:after="0" w:line="360" w:lineRule="auto"/>
        <w:jc w:val="both"/>
        <w:rPr>
          <w:rFonts w:ascii="Century Gothic" w:hAnsi="Century Gothic"/>
          <w:sz w:val="24"/>
          <w:szCs w:val="24"/>
        </w:rPr>
      </w:pPr>
      <w:r>
        <w:rPr>
          <w:rFonts w:ascii="Century Gothic" w:hAnsi="Century Gothic"/>
          <w:sz w:val="24"/>
          <w:szCs w:val="24"/>
        </w:rPr>
        <w:t>Ahora bien, y en pleno conocimiento de los trabajos iniciados por la M</w:t>
      </w:r>
      <w:r w:rsidRPr="00040FD2">
        <w:rPr>
          <w:rFonts w:ascii="Century Gothic" w:hAnsi="Century Gothic"/>
          <w:sz w:val="24"/>
          <w:szCs w:val="24"/>
        </w:rPr>
        <w:t>esa Técnica Interinstitucional para la Reforma Integral de la Constitución Política del Estado</w:t>
      </w:r>
      <w:r>
        <w:rPr>
          <w:rFonts w:ascii="Century Gothic" w:hAnsi="Century Gothic"/>
          <w:sz w:val="24"/>
          <w:szCs w:val="24"/>
        </w:rPr>
        <w:t xml:space="preserve">, es pertinente reconocer que este artículo </w:t>
      </w:r>
      <w:r w:rsidR="00626A95">
        <w:rPr>
          <w:rFonts w:ascii="Century Gothic" w:hAnsi="Century Gothic"/>
          <w:sz w:val="24"/>
          <w:szCs w:val="24"/>
        </w:rPr>
        <w:t>156 BIS</w:t>
      </w:r>
      <w:r>
        <w:rPr>
          <w:rFonts w:ascii="Century Gothic" w:hAnsi="Century Gothic"/>
          <w:sz w:val="24"/>
          <w:szCs w:val="24"/>
        </w:rPr>
        <w:t xml:space="preserve"> no será precisamente el artículo final en el que se incluirá dichos preceptos. </w:t>
      </w:r>
    </w:p>
    <w:p w14:paraId="0FA77590" w14:textId="77777777" w:rsidR="008C736F" w:rsidRDefault="008C736F" w:rsidP="008C736F">
      <w:pPr>
        <w:spacing w:after="0" w:line="360" w:lineRule="auto"/>
        <w:jc w:val="both"/>
        <w:rPr>
          <w:rFonts w:ascii="Century Gothic" w:hAnsi="Century Gothic"/>
          <w:sz w:val="24"/>
          <w:szCs w:val="24"/>
        </w:rPr>
      </w:pPr>
    </w:p>
    <w:p w14:paraId="2655CFFC" w14:textId="77777777" w:rsidR="008C736F" w:rsidRDefault="008C736F" w:rsidP="008C736F">
      <w:pPr>
        <w:spacing w:after="0" w:line="360" w:lineRule="auto"/>
        <w:jc w:val="both"/>
        <w:rPr>
          <w:rFonts w:ascii="Century Gothic" w:hAnsi="Century Gothic"/>
          <w:sz w:val="24"/>
          <w:szCs w:val="24"/>
        </w:rPr>
      </w:pPr>
      <w:r>
        <w:rPr>
          <w:rFonts w:ascii="Century Gothic" w:hAnsi="Century Gothic"/>
          <w:sz w:val="24"/>
          <w:szCs w:val="24"/>
        </w:rPr>
        <w:t xml:space="preserve">Para ello, la Comisión </w:t>
      </w:r>
      <w:r w:rsidRPr="00040FD2">
        <w:rPr>
          <w:rFonts w:ascii="Century Gothic" w:hAnsi="Century Gothic"/>
          <w:sz w:val="24"/>
          <w:szCs w:val="24"/>
        </w:rPr>
        <w:t>Especial para la Reforma Integral de la Constitución Política del Estado de Chihuahua</w:t>
      </w:r>
      <w:r>
        <w:rPr>
          <w:rFonts w:ascii="Century Gothic" w:hAnsi="Century Gothic"/>
          <w:sz w:val="24"/>
          <w:szCs w:val="24"/>
        </w:rPr>
        <w:t xml:space="preserve"> presentó una iniciativa base para los trabajos de la reforma constitucional: el </w:t>
      </w:r>
      <w:r w:rsidRPr="00B7574B">
        <w:rPr>
          <w:rFonts w:ascii="Century Gothic" w:hAnsi="Century Gothic"/>
          <w:sz w:val="24"/>
          <w:szCs w:val="24"/>
        </w:rPr>
        <w:t>Asunto 1097</w:t>
      </w:r>
      <w:r>
        <w:rPr>
          <w:rFonts w:ascii="Century Gothic" w:hAnsi="Century Gothic"/>
          <w:sz w:val="24"/>
          <w:szCs w:val="24"/>
        </w:rPr>
        <w:t xml:space="preserve"> </w:t>
      </w:r>
      <w:r w:rsidRPr="00B7574B">
        <w:rPr>
          <w:rFonts w:ascii="Century Gothic" w:hAnsi="Century Gothic"/>
          <w:sz w:val="24"/>
          <w:szCs w:val="24"/>
        </w:rPr>
        <w:t>Iniciativa con carácter de decreto, a efecto de reformar de manera integral la Constitución Política del Estado Libre y Soberano de Chihuahua.</w:t>
      </w:r>
    </w:p>
    <w:p w14:paraId="4518B2A4" w14:textId="77777777" w:rsidR="008C736F" w:rsidRDefault="008C736F" w:rsidP="008C736F">
      <w:pPr>
        <w:spacing w:after="0" w:line="360" w:lineRule="auto"/>
        <w:jc w:val="both"/>
        <w:rPr>
          <w:rFonts w:ascii="Century Gothic" w:hAnsi="Century Gothic"/>
          <w:sz w:val="24"/>
          <w:szCs w:val="24"/>
        </w:rPr>
      </w:pPr>
    </w:p>
    <w:p w14:paraId="5F8A0AFA" w14:textId="66C50CAE" w:rsidR="008C736F" w:rsidRDefault="008C736F" w:rsidP="008C736F">
      <w:pPr>
        <w:spacing w:after="0" w:line="360" w:lineRule="auto"/>
        <w:jc w:val="both"/>
        <w:rPr>
          <w:rFonts w:ascii="Century Gothic" w:hAnsi="Century Gothic"/>
          <w:sz w:val="24"/>
          <w:szCs w:val="24"/>
        </w:rPr>
      </w:pPr>
      <w:r>
        <w:rPr>
          <w:rFonts w:ascii="Century Gothic" w:hAnsi="Century Gothic"/>
          <w:sz w:val="24"/>
          <w:szCs w:val="24"/>
        </w:rPr>
        <w:t xml:space="preserve">Este asunto sabemos es la base para la reforma, por lo que, a manera de guía metodológica y para facilitar el estudio de la presente iniciativa, debemos decir que la temática que se aborda en el presente documento, de </w:t>
      </w:r>
      <w:r w:rsidR="008E171C">
        <w:rPr>
          <w:rFonts w:ascii="Century Gothic" w:hAnsi="Century Gothic"/>
          <w:sz w:val="24"/>
          <w:szCs w:val="24"/>
        </w:rPr>
        <w:t xml:space="preserve">modificar el artículo 156 bis </w:t>
      </w:r>
      <w:r>
        <w:rPr>
          <w:rFonts w:ascii="Century Gothic" w:hAnsi="Century Gothic"/>
          <w:sz w:val="24"/>
          <w:szCs w:val="24"/>
        </w:rPr>
        <w:t xml:space="preserve">de la Constitución Vigente, tiene su equivalente en el proyecto dentro de su artículo </w:t>
      </w:r>
      <w:r w:rsidR="00767344">
        <w:rPr>
          <w:rFonts w:ascii="Century Gothic" w:hAnsi="Century Gothic"/>
          <w:sz w:val="24"/>
          <w:szCs w:val="24"/>
        </w:rPr>
        <w:t>173</w:t>
      </w:r>
      <w:r>
        <w:rPr>
          <w:rFonts w:ascii="Century Gothic" w:hAnsi="Century Gothic"/>
          <w:sz w:val="24"/>
          <w:szCs w:val="24"/>
        </w:rPr>
        <w:t>.</w:t>
      </w:r>
    </w:p>
    <w:p w14:paraId="26CBE6B8" w14:textId="77777777" w:rsidR="008C736F" w:rsidRDefault="008C736F" w:rsidP="00FE590B">
      <w:pPr>
        <w:spacing w:after="0" w:line="360" w:lineRule="auto"/>
        <w:jc w:val="both"/>
        <w:rPr>
          <w:rFonts w:ascii="Century Gothic" w:hAnsi="Century Gothic"/>
          <w:sz w:val="24"/>
          <w:szCs w:val="24"/>
        </w:rPr>
      </w:pPr>
    </w:p>
    <w:p w14:paraId="2CBC195F" w14:textId="16C53696" w:rsidR="00FE590B" w:rsidRPr="00C53488" w:rsidRDefault="00FE590B" w:rsidP="00FE590B">
      <w:pPr>
        <w:spacing w:after="0" w:line="360" w:lineRule="auto"/>
        <w:jc w:val="both"/>
        <w:rPr>
          <w:rFonts w:ascii="Century Gothic" w:hAnsi="Century Gothic" w:cs="Arial"/>
          <w:b/>
          <w:bCs/>
          <w:sz w:val="24"/>
          <w:szCs w:val="24"/>
        </w:rPr>
      </w:pPr>
      <w:r>
        <w:rPr>
          <w:rFonts w:ascii="Century Gothic" w:hAnsi="Century Gothic"/>
          <w:sz w:val="24"/>
          <w:szCs w:val="24"/>
        </w:rPr>
        <w:t>Por lo anteriormente expuesto, me permito someter a consideración de este alto cuerpo colegiado, el presente proyecto con carácter de:</w:t>
      </w:r>
    </w:p>
    <w:p w14:paraId="47262133" w14:textId="77777777" w:rsidR="00FE590B" w:rsidRDefault="00FE590B" w:rsidP="00FE590B">
      <w:pPr>
        <w:spacing w:after="0" w:line="360" w:lineRule="auto"/>
        <w:jc w:val="both"/>
        <w:rPr>
          <w:rFonts w:ascii="Century Gothic" w:hAnsi="Century Gothic"/>
          <w:sz w:val="24"/>
          <w:szCs w:val="24"/>
        </w:rPr>
      </w:pPr>
    </w:p>
    <w:p w14:paraId="1CD47A65" w14:textId="77777777" w:rsidR="00FE590B" w:rsidRDefault="00FE590B" w:rsidP="00FE590B">
      <w:pPr>
        <w:spacing w:after="0" w:line="360" w:lineRule="auto"/>
        <w:jc w:val="center"/>
        <w:rPr>
          <w:rFonts w:ascii="Century Gothic" w:hAnsi="Century Gothic"/>
          <w:b/>
          <w:bCs/>
          <w:sz w:val="24"/>
          <w:szCs w:val="24"/>
          <w:lang w:val="es-ES"/>
        </w:rPr>
      </w:pPr>
      <w:r>
        <w:rPr>
          <w:rFonts w:ascii="Century Gothic" w:hAnsi="Century Gothic"/>
          <w:b/>
          <w:bCs/>
          <w:sz w:val="24"/>
          <w:szCs w:val="24"/>
          <w:lang w:val="es-ES"/>
        </w:rPr>
        <w:t>DECRETO</w:t>
      </w:r>
    </w:p>
    <w:p w14:paraId="1E683881" w14:textId="77777777" w:rsidR="00FE590B" w:rsidRDefault="00FE590B" w:rsidP="00FE590B">
      <w:pPr>
        <w:spacing w:after="0" w:line="360" w:lineRule="auto"/>
        <w:jc w:val="center"/>
        <w:rPr>
          <w:rFonts w:ascii="Century Gothic" w:hAnsi="Century Gothic"/>
          <w:b/>
          <w:bCs/>
          <w:sz w:val="24"/>
          <w:szCs w:val="24"/>
          <w:lang w:val="es-ES"/>
        </w:rPr>
      </w:pPr>
    </w:p>
    <w:p w14:paraId="1F4C6F1A" w14:textId="0035ABE7" w:rsidR="00FE590B" w:rsidRPr="00733C08" w:rsidRDefault="00FE590B" w:rsidP="00FE590B">
      <w:pPr>
        <w:spacing w:after="0" w:line="360" w:lineRule="auto"/>
        <w:jc w:val="both"/>
        <w:rPr>
          <w:rFonts w:ascii="Century Gothic" w:hAnsi="Century Gothic"/>
          <w:sz w:val="24"/>
          <w:szCs w:val="24"/>
          <w:lang w:val="es-ES"/>
        </w:rPr>
      </w:pPr>
      <w:r>
        <w:rPr>
          <w:rFonts w:ascii="Century Gothic" w:hAnsi="Century Gothic"/>
          <w:b/>
          <w:bCs/>
          <w:sz w:val="24"/>
          <w:szCs w:val="24"/>
          <w:lang w:val="es-ES"/>
        </w:rPr>
        <w:t xml:space="preserve">ARTÍCULO ÚNICO. </w:t>
      </w:r>
      <w:r>
        <w:rPr>
          <w:rFonts w:ascii="Century Gothic" w:hAnsi="Century Gothic"/>
          <w:sz w:val="24"/>
          <w:szCs w:val="24"/>
          <w:lang w:val="es-ES"/>
        </w:rPr>
        <w:t xml:space="preserve">Se </w:t>
      </w:r>
      <w:r w:rsidR="00ED136D">
        <w:rPr>
          <w:rFonts w:ascii="Century Gothic" w:hAnsi="Century Gothic"/>
          <w:sz w:val="24"/>
          <w:szCs w:val="24"/>
          <w:lang w:val="es-ES"/>
        </w:rPr>
        <w:t xml:space="preserve">reforma </w:t>
      </w:r>
      <w:r w:rsidR="00D22C6D">
        <w:rPr>
          <w:rFonts w:ascii="Century Gothic" w:hAnsi="Century Gothic"/>
          <w:sz w:val="24"/>
          <w:szCs w:val="24"/>
          <w:lang w:val="es-ES"/>
        </w:rPr>
        <w:t>las fracciones II, III, IV</w:t>
      </w:r>
      <w:r w:rsidR="0038709B">
        <w:rPr>
          <w:rFonts w:ascii="Century Gothic" w:hAnsi="Century Gothic"/>
          <w:sz w:val="24"/>
          <w:szCs w:val="24"/>
          <w:lang w:val="es-ES"/>
        </w:rPr>
        <w:t xml:space="preserve"> y </w:t>
      </w:r>
      <w:r w:rsidR="00D22C6D">
        <w:rPr>
          <w:rFonts w:ascii="Century Gothic" w:hAnsi="Century Gothic"/>
          <w:sz w:val="24"/>
          <w:szCs w:val="24"/>
          <w:lang w:val="es-ES"/>
        </w:rPr>
        <w:t>V</w:t>
      </w:r>
      <w:r w:rsidR="0038709B">
        <w:rPr>
          <w:rFonts w:ascii="Century Gothic" w:hAnsi="Century Gothic"/>
          <w:sz w:val="24"/>
          <w:szCs w:val="24"/>
          <w:lang w:val="es-ES"/>
        </w:rPr>
        <w:t xml:space="preserve">, y se adiciona una VI al </w:t>
      </w:r>
      <w:r>
        <w:rPr>
          <w:rFonts w:ascii="Century Gothic" w:hAnsi="Century Gothic"/>
          <w:sz w:val="24"/>
          <w:szCs w:val="24"/>
          <w:lang w:val="es-ES"/>
        </w:rPr>
        <w:t xml:space="preserve">artículo </w:t>
      </w:r>
      <w:r w:rsidR="004F1082">
        <w:rPr>
          <w:rFonts w:ascii="Century Gothic" w:hAnsi="Century Gothic"/>
          <w:sz w:val="24"/>
          <w:szCs w:val="24"/>
          <w:lang w:val="es-ES"/>
        </w:rPr>
        <w:t>165</w:t>
      </w:r>
      <w:r>
        <w:rPr>
          <w:rFonts w:ascii="Century Gothic" w:hAnsi="Century Gothic"/>
          <w:sz w:val="24"/>
          <w:szCs w:val="24"/>
          <w:lang w:val="es-ES"/>
        </w:rPr>
        <w:t xml:space="preserve"> de la Constitución Política del Estado de Chihuahua, para quedar redactados de la siguiente manera:</w:t>
      </w:r>
    </w:p>
    <w:p w14:paraId="524F01CD" w14:textId="77777777" w:rsidR="00FE590B" w:rsidRDefault="00FE590B" w:rsidP="00FE590B">
      <w:pPr>
        <w:spacing w:after="0" w:line="360" w:lineRule="auto"/>
        <w:jc w:val="both"/>
        <w:rPr>
          <w:rFonts w:ascii="Century Gothic" w:hAnsi="Century Gothic"/>
          <w:sz w:val="24"/>
          <w:szCs w:val="24"/>
        </w:rPr>
      </w:pPr>
    </w:p>
    <w:p w14:paraId="03A3568C" w14:textId="386F26C8" w:rsidR="004F1082" w:rsidRDefault="004F1082" w:rsidP="004F1082">
      <w:pPr>
        <w:spacing w:after="0" w:line="360" w:lineRule="auto"/>
        <w:rPr>
          <w:rFonts w:ascii="Century Gothic" w:hAnsi="Century Gothic"/>
          <w:b/>
          <w:bCs/>
          <w:sz w:val="24"/>
          <w:szCs w:val="24"/>
        </w:rPr>
      </w:pPr>
      <w:r w:rsidRPr="004F1082">
        <w:rPr>
          <w:rFonts w:ascii="Century Gothic" w:hAnsi="Century Gothic"/>
          <w:b/>
          <w:bCs/>
          <w:sz w:val="24"/>
          <w:szCs w:val="24"/>
        </w:rPr>
        <w:t xml:space="preserve">ARTÍCULO 165 bis. </w:t>
      </w:r>
      <w:r>
        <w:rPr>
          <w:rFonts w:ascii="Century Gothic" w:hAnsi="Century Gothic"/>
          <w:b/>
          <w:bCs/>
          <w:sz w:val="24"/>
          <w:szCs w:val="24"/>
        </w:rPr>
        <w:t>…</w:t>
      </w:r>
    </w:p>
    <w:p w14:paraId="1B2F99AE" w14:textId="5B7B9697" w:rsidR="004F1082" w:rsidRDefault="004F1082" w:rsidP="004F1082">
      <w:pPr>
        <w:spacing w:after="0" w:line="360" w:lineRule="auto"/>
        <w:rPr>
          <w:rFonts w:ascii="Century Gothic" w:hAnsi="Century Gothic"/>
          <w:b/>
          <w:bCs/>
          <w:sz w:val="24"/>
          <w:szCs w:val="24"/>
        </w:rPr>
      </w:pPr>
      <w:r>
        <w:rPr>
          <w:rFonts w:ascii="Century Gothic" w:hAnsi="Century Gothic"/>
          <w:b/>
          <w:bCs/>
          <w:sz w:val="24"/>
          <w:szCs w:val="24"/>
        </w:rPr>
        <w:t>…</w:t>
      </w:r>
    </w:p>
    <w:p w14:paraId="2F4D10D3" w14:textId="77777777" w:rsidR="004F1082" w:rsidRPr="004F1082" w:rsidRDefault="004F1082" w:rsidP="004F1082">
      <w:pPr>
        <w:spacing w:after="0" w:line="360" w:lineRule="auto"/>
        <w:rPr>
          <w:rFonts w:ascii="Century Gothic" w:hAnsi="Century Gothic"/>
          <w:b/>
          <w:bCs/>
          <w:sz w:val="24"/>
          <w:szCs w:val="24"/>
        </w:rPr>
      </w:pPr>
    </w:p>
    <w:p w14:paraId="4C29E2DE" w14:textId="0E5979C6" w:rsidR="00FE590B" w:rsidRPr="004F1082" w:rsidRDefault="004F1082" w:rsidP="004F1082">
      <w:pPr>
        <w:pStyle w:val="Prrafodelista"/>
        <w:numPr>
          <w:ilvl w:val="0"/>
          <w:numId w:val="2"/>
        </w:numPr>
        <w:spacing w:after="0" w:line="360" w:lineRule="auto"/>
        <w:rPr>
          <w:rFonts w:ascii="Century Gothic" w:hAnsi="Century Gothic"/>
          <w:b/>
          <w:bCs/>
          <w:sz w:val="24"/>
          <w:szCs w:val="24"/>
        </w:rPr>
      </w:pPr>
      <w:r w:rsidRPr="004F1082">
        <w:rPr>
          <w:rFonts w:ascii="Century Gothic" w:hAnsi="Century Gothic"/>
          <w:b/>
          <w:bCs/>
          <w:sz w:val="24"/>
          <w:szCs w:val="24"/>
        </w:rPr>
        <w:t>…</w:t>
      </w:r>
    </w:p>
    <w:p w14:paraId="021AE107" w14:textId="08196621" w:rsidR="004F1082" w:rsidRPr="004F1082" w:rsidRDefault="004F1082" w:rsidP="004F1082">
      <w:pPr>
        <w:pStyle w:val="Prrafodelista"/>
        <w:numPr>
          <w:ilvl w:val="0"/>
          <w:numId w:val="2"/>
        </w:numPr>
        <w:spacing w:after="0" w:line="360" w:lineRule="auto"/>
        <w:jc w:val="both"/>
        <w:rPr>
          <w:rFonts w:ascii="Century Gothic" w:hAnsi="Century Gothic"/>
          <w:b/>
          <w:bCs/>
          <w:sz w:val="24"/>
          <w:szCs w:val="24"/>
        </w:rPr>
      </w:pPr>
      <w:r w:rsidRPr="004F1082">
        <w:rPr>
          <w:rFonts w:ascii="Century Gothic" w:hAnsi="Century Gothic"/>
          <w:b/>
          <w:bCs/>
          <w:sz w:val="24"/>
          <w:szCs w:val="24"/>
        </w:rPr>
        <w:t>Ningún servidor público podrá recibir remuneración igual o superior que la del presidente de la República, así como nunca podrá exceder de los 30 salarios mínimos diarios vigentes.</w:t>
      </w:r>
    </w:p>
    <w:p w14:paraId="3E3B544B" w14:textId="195F8E5E" w:rsidR="004F1082" w:rsidRPr="004F1082" w:rsidRDefault="004F1082" w:rsidP="004F1082">
      <w:pPr>
        <w:pStyle w:val="Prrafodelista"/>
        <w:numPr>
          <w:ilvl w:val="0"/>
          <w:numId w:val="2"/>
        </w:numPr>
        <w:spacing w:after="0" w:line="360" w:lineRule="auto"/>
        <w:jc w:val="both"/>
        <w:rPr>
          <w:rFonts w:ascii="Century Gothic" w:hAnsi="Century Gothic"/>
          <w:b/>
          <w:bCs/>
          <w:sz w:val="24"/>
          <w:szCs w:val="24"/>
        </w:rPr>
      </w:pPr>
      <w:r w:rsidRPr="004F1082">
        <w:rPr>
          <w:rFonts w:ascii="Century Gothic" w:hAnsi="Century Gothic"/>
          <w:b/>
          <w:bCs/>
          <w:sz w:val="24"/>
          <w:szCs w:val="24"/>
        </w:rPr>
        <w:t>Las personas titulares de la Gubernatura del Estado, de organismos públicos autónomos, Diputadas y Diputados, así como Magistrados y Magistradas estarán impedidos para recibir una remuneración igual o superior que la del presidente de la República, así como que esta nunca podrá exceder de los 34 salarios mínimos diarios vigentes.</w:t>
      </w:r>
    </w:p>
    <w:p w14:paraId="450765EE" w14:textId="77777777" w:rsidR="004F1082" w:rsidRPr="004F1082" w:rsidRDefault="004F1082" w:rsidP="004F1082">
      <w:pPr>
        <w:pStyle w:val="Prrafodelista"/>
        <w:numPr>
          <w:ilvl w:val="0"/>
          <w:numId w:val="2"/>
        </w:numPr>
        <w:spacing w:after="0" w:line="360" w:lineRule="auto"/>
        <w:jc w:val="both"/>
        <w:rPr>
          <w:rFonts w:ascii="Century Gothic" w:hAnsi="Century Gothic"/>
          <w:b/>
          <w:sz w:val="24"/>
          <w:szCs w:val="24"/>
          <w:lang w:val="es-ES_tradnl"/>
        </w:rPr>
      </w:pPr>
      <w:r w:rsidRPr="004F1082">
        <w:rPr>
          <w:rFonts w:ascii="Century Gothic" w:hAnsi="Century Gothic"/>
          <w:b/>
          <w:sz w:val="24"/>
          <w:szCs w:val="24"/>
        </w:rPr>
        <w:t>Ningún servidor público podrá tener una remuneración igual o mayor que su superior jerárquico; salvo que el excedente sea consecuencia del desempeño de varios empleos públicos, que su</w:t>
      </w:r>
      <w:r>
        <w:rPr>
          <w:rFonts w:ascii="Century Gothic" w:hAnsi="Century Gothic"/>
          <w:b/>
          <w:sz w:val="24"/>
          <w:szCs w:val="24"/>
        </w:rPr>
        <w:t xml:space="preserve"> </w:t>
      </w:r>
      <w:r w:rsidRPr="004F1082">
        <w:rPr>
          <w:rFonts w:ascii="Century Gothic" w:hAnsi="Century Gothic"/>
          <w:b/>
          <w:sz w:val="24"/>
          <w:szCs w:val="24"/>
        </w:rPr>
        <w:t>remuneración sea producto de las condiciones generales de trabajo, derivado de un trabajo</w:t>
      </w:r>
      <w:r>
        <w:rPr>
          <w:rFonts w:ascii="Century Gothic" w:hAnsi="Century Gothic"/>
          <w:b/>
          <w:sz w:val="24"/>
          <w:szCs w:val="24"/>
        </w:rPr>
        <w:t xml:space="preserve"> </w:t>
      </w:r>
      <w:r w:rsidRPr="004F1082">
        <w:rPr>
          <w:rFonts w:ascii="Century Gothic" w:hAnsi="Century Gothic"/>
          <w:b/>
          <w:sz w:val="24"/>
          <w:szCs w:val="24"/>
        </w:rPr>
        <w:t>técnico calificado o por especialización en su función, la suma de dichas retribuciones no deberá</w:t>
      </w:r>
      <w:r>
        <w:rPr>
          <w:rFonts w:ascii="Century Gothic" w:hAnsi="Century Gothic"/>
          <w:b/>
          <w:sz w:val="24"/>
          <w:szCs w:val="24"/>
        </w:rPr>
        <w:t xml:space="preserve"> </w:t>
      </w:r>
      <w:r w:rsidRPr="004F1082">
        <w:rPr>
          <w:rFonts w:ascii="Century Gothic" w:hAnsi="Century Gothic"/>
          <w:b/>
          <w:sz w:val="24"/>
          <w:szCs w:val="24"/>
        </w:rPr>
        <w:t xml:space="preserve">exceder la mitad de la remuneración establecida para el Gobernador del Estado en el presupuesto correspondiente. </w:t>
      </w:r>
    </w:p>
    <w:p w14:paraId="6B9AF064" w14:textId="77777777" w:rsidR="004F1082" w:rsidRPr="004F1082" w:rsidRDefault="004F1082" w:rsidP="004F1082">
      <w:pPr>
        <w:pStyle w:val="Prrafodelista"/>
        <w:numPr>
          <w:ilvl w:val="0"/>
          <w:numId w:val="2"/>
        </w:numPr>
        <w:spacing w:after="0" w:line="360" w:lineRule="auto"/>
        <w:jc w:val="both"/>
        <w:rPr>
          <w:rFonts w:ascii="Century Gothic" w:hAnsi="Century Gothic"/>
          <w:b/>
          <w:sz w:val="24"/>
          <w:szCs w:val="24"/>
          <w:lang w:val="es-ES_tradnl"/>
        </w:rPr>
      </w:pPr>
      <w:r w:rsidRPr="004F1082">
        <w:rPr>
          <w:rFonts w:ascii="Century Gothic" w:hAnsi="Century Gothic"/>
          <w:b/>
          <w:sz w:val="24"/>
          <w:szCs w:val="24"/>
        </w:rPr>
        <w:t>No se concederán ni cubrirán jubilaciones, pensiones o haberes de retiro, ni liquidaciones por servicios prestados, como tampoco préstamos o créditos, sin que éstas se encuentren asignadas por la ley, decreto legislativo, contrato colectivo o condiciones generales de trabajo. Estos conceptos no formarán parte de la remuneración. Quedan excluidos los servicios de seguridad</w:t>
      </w:r>
      <w:r>
        <w:rPr>
          <w:rFonts w:ascii="Century Gothic" w:hAnsi="Century Gothic"/>
          <w:b/>
          <w:sz w:val="24"/>
          <w:szCs w:val="24"/>
        </w:rPr>
        <w:t xml:space="preserve"> </w:t>
      </w:r>
      <w:r w:rsidRPr="004F1082">
        <w:rPr>
          <w:rFonts w:ascii="Century Gothic" w:hAnsi="Century Gothic"/>
          <w:b/>
          <w:sz w:val="24"/>
          <w:szCs w:val="24"/>
        </w:rPr>
        <w:t>que requieran los servidores públicos por razón del cargo desempeñado.</w:t>
      </w:r>
    </w:p>
    <w:p w14:paraId="2058EBC4" w14:textId="4C7D33E3" w:rsidR="004F1082" w:rsidRPr="004F1082" w:rsidRDefault="004F1082" w:rsidP="004F1082">
      <w:pPr>
        <w:pStyle w:val="Prrafodelista"/>
        <w:numPr>
          <w:ilvl w:val="0"/>
          <w:numId w:val="2"/>
        </w:numPr>
        <w:spacing w:after="0" w:line="360" w:lineRule="auto"/>
        <w:jc w:val="both"/>
        <w:rPr>
          <w:rFonts w:ascii="Century Gothic" w:hAnsi="Century Gothic"/>
          <w:b/>
          <w:sz w:val="24"/>
          <w:szCs w:val="24"/>
          <w:lang w:val="es-ES_tradnl"/>
        </w:rPr>
      </w:pPr>
      <w:r w:rsidRPr="004F1082">
        <w:rPr>
          <w:rFonts w:ascii="Century Gothic" w:hAnsi="Century Gothic"/>
          <w:b/>
          <w:sz w:val="24"/>
          <w:szCs w:val="24"/>
        </w:rPr>
        <w:t>Las remuneraciones y sus tabuladores serán públicos, y deberán especificar y diferenciar la</w:t>
      </w:r>
      <w:r>
        <w:rPr>
          <w:rFonts w:ascii="Century Gothic" w:hAnsi="Century Gothic"/>
          <w:b/>
          <w:sz w:val="24"/>
          <w:szCs w:val="24"/>
        </w:rPr>
        <w:t xml:space="preserve"> </w:t>
      </w:r>
      <w:r w:rsidRPr="004F1082">
        <w:rPr>
          <w:rFonts w:ascii="Century Gothic" w:hAnsi="Century Gothic"/>
          <w:b/>
          <w:sz w:val="24"/>
          <w:szCs w:val="24"/>
        </w:rPr>
        <w:t>totalidad de sus elementos fijos y variables tanto en efectivo como en especie</w:t>
      </w:r>
      <w:r>
        <w:rPr>
          <w:rFonts w:ascii="Century Gothic" w:hAnsi="Century Gothic"/>
          <w:b/>
          <w:sz w:val="24"/>
          <w:szCs w:val="24"/>
        </w:rPr>
        <w:t>.</w:t>
      </w:r>
    </w:p>
    <w:p w14:paraId="7A3C781C" w14:textId="77777777" w:rsidR="004F1082" w:rsidRPr="004F1082" w:rsidRDefault="004F1082" w:rsidP="004F1082">
      <w:pPr>
        <w:spacing w:after="0" w:line="360" w:lineRule="auto"/>
        <w:jc w:val="both"/>
        <w:rPr>
          <w:rFonts w:ascii="Century Gothic" w:hAnsi="Century Gothic"/>
          <w:b/>
          <w:sz w:val="24"/>
          <w:szCs w:val="24"/>
          <w:lang w:val="es-ES_tradnl"/>
        </w:rPr>
      </w:pPr>
    </w:p>
    <w:p w14:paraId="36A4861E" w14:textId="417BF9C5" w:rsidR="00FE590B" w:rsidRDefault="00FE590B" w:rsidP="00FE590B">
      <w:pPr>
        <w:spacing w:after="0" w:line="360" w:lineRule="auto"/>
        <w:jc w:val="center"/>
        <w:rPr>
          <w:rFonts w:ascii="Century Gothic" w:hAnsi="Century Gothic"/>
          <w:b/>
          <w:sz w:val="24"/>
          <w:szCs w:val="24"/>
          <w:lang w:val="es-ES_tradnl"/>
        </w:rPr>
      </w:pPr>
      <w:r>
        <w:rPr>
          <w:rFonts w:ascii="Century Gothic" w:hAnsi="Century Gothic"/>
          <w:b/>
          <w:sz w:val="24"/>
          <w:szCs w:val="24"/>
          <w:lang w:val="es-ES_tradnl"/>
        </w:rPr>
        <w:t>TRANSITORIOS</w:t>
      </w:r>
    </w:p>
    <w:p w14:paraId="60B9FF2B" w14:textId="77777777" w:rsidR="00FE590B" w:rsidRDefault="00FE590B" w:rsidP="00FE590B">
      <w:pPr>
        <w:spacing w:after="0" w:line="360" w:lineRule="auto"/>
        <w:jc w:val="center"/>
        <w:rPr>
          <w:rFonts w:ascii="Century Gothic" w:hAnsi="Century Gothic"/>
          <w:b/>
          <w:sz w:val="24"/>
          <w:szCs w:val="24"/>
          <w:lang w:val="es-ES_tradnl"/>
        </w:rPr>
      </w:pPr>
    </w:p>
    <w:p w14:paraId="45CEF4FA" w14:textId="5272FD31" w:rsidR="00F421C3" w:rsidRPr="00F421C3" w:rsidRDefault="00F421C3" w:rsidP="00F421C3">
      <w:pPr>
        <w:spacing w:after="0" w:line="360" w:lineRule="auto"/>
        <w:jc w:val="both"/>
        <w:rPr>
          <w:rFonts w:ascii="Century Gothic" w:hAnsi="Century Gothic"/>
          <w:b/>
          <w:sz w:val="24"/>
          <w:szCs w:val="24"/>
          <w:lang w:val="es-ES_tradnl"/>
        </w:rPr>
      </w:pPr>
      <w:r w:rsidRPr="00F421C3">
        <w:rPr>
          <w:rFonts w:ascii="Century Gothic" w:hAnsi="Century Gothic"/>
          <w:b/>
          <w:sz w:val="24"/>
          <w:szCs w:val="24"/>
          <w:lang w:val="es-ES_tradnl"/>
        </w:rPr>
        <w:t xml:space="preserve">PRIMERO. </w:t>
      </w:r>
      <w:r w:rsidRPr="00F421C3">
        <w:rPr>
          <w:rFonts w:ascii="Century Gothic" w:hAnsi="Century Gothic"/>
          <w:bCs/>
          <w:sz w:val="24"/>
          <w:szCs w:val="24"/>
          <w:lang w:val="es-ES_tradnl"/>
        </w:rPr>
        <w:t>Conforme a lo dispuesto por el artículo 202 fracción I y II de la Constitución Política del Estado, envíese copia de la iniciativa, del dictamen y del Diario de los Debates del Congreso, a los Ayuntamientos de los sesenta y siete Municipios que integran la entidad y en su oportunidad, hágase por el Congreso del Estado o por la Diputación Permanente, en su caso el computo de los votos de los Ayuntamientos y la declaración de haber sido aprobada la reforma Constitucional prevista en el Artículo primero de este Decreto.</w:t>
      </w:r>
      <w:r w:rsidRPr="00F421C3">
        <w:rPr>
          <w:rFonts w:ascii="Century Gothic" w:hAnsi="Century Gothic"/>
          <w:b/>
          <w:sz w:val="24"/>
          <w:szCs w:val="24"/>
          <w:lang w:val="es-ES_tradnl"/>
        </w:rPr>
        <w:t xml:space="preserve"> </w:t>
      </w:r>
    </w:p>
    <w:p w14:paraId="2F98F988" w14:textId="77777777" w:rsidR="00F421C3" w:rsidRPr="00F421C3" w:rsidRDefault="00F421C3" w:rsidP="00F421C3">
      <w:pPr>
        <w:spacing w:after="0" w:line="360" w:lineRule="auto"/>
        <w:jc w:val="both"/>
        <w:rPr>
          <w:rFonts w:ascii="Century Gothic" w:hAnsi="Century Gothic"/>
          <w:b/>
          <w:sz w:val="24"/>
          <w:szCs w:val="24"/>
          <w:lang w:val="es-ES_tradnl"/>
        </w:rPr>
      </w:pPr>
    </w:p>
    <w:p w14:paraId="5518994F" w14:textId="20681326" w:rsidR="00FE590B" w:rsidRDefault="00F421C3" w:rsidP="00F421C3">
      <w:pPr>
        <w:spacing w:after="0" w:line="360" w:lineRule="auto"/>
        <w:jc w:val="both"/>
        <w:rPr>
          <w:rFonts w:ascii="Century Gothic" w:hAnsi="Century Gothic"/>
          <w:bCs/>
          <w:sz w:val="24"/>
          <w:szCs w:val="24"/>
          <w:lang w:val="es-ES_tradnl"/>
        </w:rPr>
      </w:pPr>
      <w:r w:rsidRPr="00F421C3">
        <w:rPr>
          <w:rFonts w:ascii="Century Gothic" w:hAnsi="Century Gothic"/>
          <w:b/>
          <w:sz w:val="24"/>
          <w:szCs w:val="24"/>
          <w:lang w:val="es-ES_tradnl"/>
        </w:rPr>
        <w:t xml:space="preserve">SEGUNDO. </w:t>
      </w:r>
      <w:r w:rsidRPr="00F421C3">
        <w:rPr>
          <w:rFonts w:ascii="Century Gothic" w:hAnsi="Century Gothic"/>
          <w:bCs/>
          <w:sz w:val="24"/>
          <w:szCs w:val="24"/>
          <w:lang w:val="es-ES_tradnl"/>
        </w:rPr>
        <w:t xml:space="preserve">El presente Decreto entrará en vigor al día siguiente de su publicación en el Periódico Oficial del Estado. </w:t>
      </w:r>
    </w:p>
    <w:p w14:paraId="24172E93" w14:textId="77777777" w:rsidR="00F421C3" w:rsidRDefault="00F421C3" w:rsidP="00F421C3">
      <w:pPr>
        <w:spacing w:after="0" w:line="360" w:lineRule="auto"/>
        <w:jc w:val="both"/>
        <w:rPr>
          <w:rFonts w:ascii="Century Gothic" w:hAnsi="Century Gothic"/>
          <w:sz w:val="24"/>
          <w:szCs w:val="24"/>
          <w:lang w:val="es-ES_tradnl"/>
        </w:rPr>
      </w:pPr>
    </w:p>
    <w:p w14:paraId="2BBE60D0" w14:textId="77777777" w:rsidR="00FE590B" w:rsidRDefault="00FE590B" w:rsidP="00FE590B">
      <w:pPr>
        <w:spacing w:after="0" w:line="360" w:lineRule="auto"/>
        <w:jc w:val="both"/>
        <w:rPr>
          <w:rFonts w:ascii="Century Gothic" w:hAnsi="Century Gothic"/>
          <w:sz w:val="24"/>
          <w:szCs w:val="24"/>
          <w:lang w:val="es-ES"/>
        </w:rPr>
      </w:pPr>
      <w:r>
        <w:rPr>
          <w:rFonts w:ascii="Century Gothic" w:hAnsi="Century Gothic"/>
          <w:sz w:val="24"/>
          <w:szCs w:val="24"/>
          <w:lang w:val="es-ES"/>
        </w:rPr>
        <w:t>D A D O vía oficialía de partes del Poder Legislativo, a los veintisiete días de enero de dos mil veintitrés.</w:t>
      </w:r>
    </w:p>
    <w:p w14:paraId="4194E1BB" w14:textId="77777777" w:rsidR="00FE590B" w:rsidRDefault="00FE590B" w:rsidP="00FE590B">
      <w:pPr>
        <w:spacing w:after="0"/>
        <w:jc w:val="both"/>
        <w:rPr>
          <w:rFonts w:ascii="Century Gothic" w:hAnsi="Century Gothic" w:cs="Times New Roman"/>
          <w:b/>
          <w:bCs/>
          <w:color w:val="000000"/>
          <w:sz w:val="24"/>
          <w:szCs w:val="24"/>
        </w:rPr>
      </w:pPr>
    </w:p>
    <w:p w14:paraId="07A4986E" w14:textId="77777777" w:rsidR="00FE590B" w:rsidRDefault="00FE590B" w:rsidP="00FE590B">
      <w:pPr>
        <w:jc w:val="center"/>
        <w:rPr>
          <w:rFonts w:ascii="Century Gothic" w:hAnsi="Century Gothic" w:cs="Times New Roman"/>
          <w:b/>
          <w:bCs/>
          <w:color w:val="000000"/>
          <w:sz w:val="24"/>
          <w:szCs w:val="24"/>
        </w:rPr>
      </w:pPr>
      <w:r>
        <w:rPr>
          <w:rFonts w:ascii="Century Gothic" w:hAnsi="Century Gothic" w:cs="Times New Roman"/>
          <w:b/>
          <w:bCs/>
          <w:color w:val="000000"/>
          <w:sz w:val="24"/>
          <w:szCs w:val="24"/>
        </w:rPr>
        <w:t>ATENTAMENTE,</w:t>
      </w:r>
    </w:p>
    <w:p w14:paraId="5078711A" w14:textId="2ED3DB34" w:rsidR="00FE590B" w:rsidRDefault="00FE590B" w:rsidP="00FE590B">
      <w:pPr>
        <w:spacing w:after="240"/>
        <w:jc w:val="center"/>
        <w:rPr>
          <w:rFonts w:ascii="Times New Roman" w:eastAsia="Times New Roman" w:hAnsi="Times New Roman" w:cs="Times New Roman"/>
          <w:sz w:val="24"/>
          <w:szCs w:val="24"/>
        </w:rPr>
      </w:pPr>
    </w:p>
    <w:p w14:paraId="108D34EF" w14:textId="77777777" w:rsidR="004F1082" w:rsidRDefault="004F1082" w:rsidP="00FE590B">
      <w:pPr>
        <w:spacing w:after="240"/>
        <w:jc w:val="center"/>
        <w:rPr>
          <w:rFonts w:ascii="Times New Roman" w:eastAsia="Times New Roman" w:hAnsi="Times New Roman" w:cs="Times New Roman"/>
          <w:sz w:val="24"/>
          <w:szCs w:val="24"/>
        </w:rPr>
      </w:pPr>
    </w:p>
    <w:tbl>
      <w:tblPr>
        <w:tblW w:w="9640" w:type="dxa"/>
        <w:tblInd w:w="-318" w:type="dxa"/>
        <w:tblLook w:val="04A0" w:firstRow="1" w:lastRow="0" w:firstColumn="1" w:lastColumn="0" w:noHBand="0" w:noVBand="1"/>
      </w:tblPr>
      <w:tblGrid>
        <w:gridCol w:w="4537"/>
        <w:gridCol w:w="5103"/>
      </w:tblGrid>
      <w:tr w:rsidR="00FE590B" w:rsidRPr="00967422" w14:paraId="241B2AF2" w14:textId="77777777" w:rsidTr="006E0DA8">
        <w:tc>
          <w:tcPr>
            <w:tcW w:w="4537" w:type="dxa"/>
          </w:tcPr>
          <w:p w14:paraId="3797D4AD" w14:textId="77777777" w:rsidR="00FE590B" w:rsidRPr="00967422" w:rsidRDefault="00FE590B" w:rsidP="006E0DA8">
            <w:pPr>
              <w:spacing w:after="0"/>
              <w:ind w:left="-2" w:hanging="2"/>
              <w:jc w:val="center"/>
              <w:rPr>
                <w:rFonts w:ascii="Century Gothic" w:hAnsi="Century Gothic" w:cs="Times New Roman"/>
                <w:b/>
                <w:bCs/>
                <w:color w:val="000000"/>
                <w:sz w:val="24"/>
                <w:szCs w:val="24"/>
              </w:rPr>
            </w:pPr>
            <w:r w:rsidRPr="00967422">
              <w:rPr>
                <w:rFonts w:ascii="Century Gothic" w:hAnsi="Century Gothic" w:cs="Times New Roman"/>
                <w:b/>
                <w:bCs/>
                <w:color w:val="000000"/>
                <w:sz w:val="24"/>
                <w:szCs w:val="24"/>
              </w:rPr>
              <w:t>DIP. ILSE AMÉRICA GARCÍA SOTO.</w:t>
            </w:r>
          </w:p>
        </w:tc>
        <w:tc>
          <w:tcPr>
            <w:tcW w:w="5103" w:type="dxa"/>
          </w:tcPr>
          <w:p w14:paraId="56C6CFB5" w14:textId="77777777" w:rsidR="00FE590B" w:rsidRPr="00967422" w:rsidRDefault="00FE590B" w:rsidP="006E0DA8">
            <w:pPr>
              <w:spacing w:after="0"/>
              <w:ind w:left="-2" w:hanging="2"/>
              <w:jc w:val="center"/>
              <w:rPr>
                <w:rFonts w:ascii="Century Gothic" w:hAnsi="Century Gothic" w:cs="Times New Roman"/>
                <w:b/>
                <w:bCs/>
                <w:color w:val="000000"/>
                <w:sz w:val="24"/>
                <w:szCs w:val="24"/>
              </w:rPr>
            </w:pPr>
            <w:r w:rsidRPr="00967422">
              <w:rPr>
                <w:rFonts w:ascii="Century Gothic" w:hAnsi="Century Gothic" w:cs="Times New Roman"/>
                <w:b/>
                <w:bCs/>
                <w:color w:val="000000"/>
                <w:sz w:val="24"/>
                <w:szCs w:val="24"/>
              </w:rPr>
              <w:t>DIP. EDIN CUAUHTÉMOC ESTRADA SOTELO.</w:t>
            </w:r>
          </w:p>
        </w:tc>
      </w:tr>
      <w:tr w:rsidR="00FE590B" w:rsidRPr="00967422" w14:paraId="56283E75" w14:textId="77777777" w:rsidTr="006E0DA8">
        <w:tc>
          <w:tcPr>
            <w:tcW w:w="4537" w:type="dxa"/>
            <w:hideMark/>
          </w:tcPr>
          <w:p w14:paraId="414B57BC" w14:textId="77777777" w:rsidR="00FE590B" w:rsidRPr="00967422" w:rsidRDefault="00FE590B" w:rsidP="006E0DA8">
            <w:pPr>
              <w:spacing w:after="0"/>
              <w:ind w:left="-2" w:hanging="2"/>
              <w:jc w:val="center"/>
              <w:rPr>
                <w:rFonts w:ascii="Century Gothic" w:hAnsi="Century Gothic" w:cs="Times New Roman"/>
                <w:b/>
                <w:bCs/>
                <w:color w:val="000000"/>
                <w:sz w:val="24"/>
                <w:szCs w:val="24"/>
              </w:rPr>
            </w:pPr>
          </w:p>
          <w:p w14:paraId="0271AEA1" w14:textId="77777777" w:rsidR="00FE590B" w:rsidRDefault="00FE590B" w:rsidP="006E0DA8">
            <w:pPr>
              <w:spacing w:after="0"/>
              <w:ind w:left="-2" w:hanging="2"/>
              <w:jc w:val="center"/>
              <w:rPr>
                <w:rFonts w:ascii="Century Gothic" w:hAnsi="Century Gothic" w:cs="Times New Roman"/>
                <w:b/>
                <w:bCs/>
                <w:color w:val="000000"/>
                <w:sz w:val="24"/>
                <w:szCs w:val="24"/>
              </w:rPr>
            </w:pPr>
          </w:p>
          <w:p w14:paraId="5E44F61B" w14:textId="77777777" w:rsidR="00FE590B" w:rsidRPr="00967422" w:rsidRDefault="00FE590B" w:rsidP="006E0DA8">
            <w:pPr>
              <w:spacing w:after="0"/>
              <w:ind w:left="-2" w:hanging="2"/>
              <w:jc w:val="center"/>
              <w:rPr>
                <w:rFonts w:ascii="Century Gothic" w:hAnsi="Century Gothic" w:cs="Times New Roman"/>
                <w:b/>
                <w:bCs/>
                <w:color w:val="000000"/>
                <w:sz w:val="24"/>
                <w:szCs w:val="24"/>
              </w:rPr>
            </w:pPr>
          </w:p>
          <w:p w14:paraId="16A25CAE" w14:textId="77777777" w:rsidR="00FE590B" w:rsidRPr="00967422" w:rsidRDefault="00FE590B" w:rsidP="006E0DA8">
            <w:pPr>
              <w:spacing w:after="0"/>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BENJAMÍN CARRERA CHÁVEZ.</w:t>
            </w:r>
          </w:p>
        </w:tc>
        <w:tc>
          <w:tcPr>
            <w:tcW w:w="5103" w:type="dxa"/>
            <w:hideMark/>
          </w:tcPr>
          <w:p w14:paraId="6DCA34C8" w14:textId="77777777" w:rsidR="00FE590B" w:rsidRDefault="00FE590B" w:rsidP="006E0DA8">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0157D7FE" w14:textId="77777777" w:rsidR="00FE590B" w:rsidRPr="00967422" w:rsidRDefault="00FE590B" w:rsidP="006E0DA8">
            <w:pPr>
              <w:spacing w:after="0"/>
              <w:jc w:val="center"/>
              <w:rPr>
                <w:rFonts w:ascii="Century Gothic" w:eastAsia="Times New Roman" w:hAnsi="Century Gothic" w:cs="Times New Roman"/>
                <w:sz w:val="24"/>
                <w:szCs w:val="24"/>
              </w:rPr>
            </w:pPr>
          </w:p>
          <w:p w14:paraId="2205DE27" w14:textId="77777777" w:rsidR="00FE590B" w:rsidRPr="00967422" w:rsidRDefault="00FE590B" w:rsidP="006E0DA8">
            <w:pPr>
              <w:spacing w:after="0"/>
              <w:ind w:left="-2" w:hanging="2"/>
              <w:jc w:val="center"/>
              <w:rPr>
                <w:rFonts w:ascii="Century Gothic" w:hAnsi="Century Gothic" w:cs="Times New Roman"/>
                <w:sz w:val="24"/>
                <w:szCs w:val="24"/>
              </w:rPr>
            </w:pPr>
            <w:r w:rsidRPr="00967422">
              <w:rPr>
                <w:rFonts w:ascii="Century Gothic" w:hAnsi="Century Gothic" w:cs="Times New Roman"/>
                <w:b/>
                <w:bCs/>
                <w:color w:val="000000"/>
                <w:sz w:val="24"/>
                <w:szCs w:val="24"/>
              </w:rPr>
              <w:t>DIP. OSCAR DANIEL AVITIA ARELLANES.</w:t>
            </w:r>
          </w:p>
        </w:tc>
      </w:tr>
      <w:tr w:rsidR="00FE590B" w:rsidRPr="00967422" w14:paraId="26AB116C" w14:textId="77777777" w:rsidTr="006E0DA8">
        <w:tc>
          <w:tcPr>
            <w:tcW w:w="4537" w:type="dxa"/>
            <w:hideMark/>
          </w:tcPr>
          <w:p w14:paraId="60F0EE00" w14:textId="77777777" w:rsidR="00FE590B" w:rsidRDefault="00FE590B" w:rsidP="006E0DA8">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15E74FEB" w14:textId="77777777" w:rsidR="00FE590B" w:rsidRPr="00967422" w:rsidRDefault="00FE590B" w:rsidP="006E0DA8">
            <w:pPr>
              <w:spacing w:after="0"/>
              <w:jc w:val="center"/>
              <w:rPr>
                <w:rFonts w:ascii="Century Gothic" w:eastAsia="Times New Roman" w:hAnsi="Century Gothic" w:cs="Times New Roman"/>
                <w:sz w:val="24"/>
                <w:szCs w:val="24"/>
              </w:rPr>
            </w:pPr>
          </w:p>
          <w:p w14:paraId="65F19CA5" w14:textId="77777777" w:rsidR="00FE590B" w:rsidRPr="00967422" w:rsidRDefault="00FE590B" w:rsidP="006E0DA8">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LETICIA ORTEGA MÁYNEZ.</w:t>
            </w:r>
          </w:p>
        </w:tc>
        <w:tc>
          <w:tcPr>
            <w:tcW w:w="5103" w:type="dxa"/>
            <w:hideMark/>
          </w:tcPr>
          <w:p w14:paraId="01136194" w14:textId="77777777" w:rsidR="00FE590B" w:rsidRDefault="00FE590B" w:rsidP="006E0DA8">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5F931300" w14:textId="77777777" w:rsidR="00FE590B" w:rsidRPr="00967422" w:rsidRDefault="00FE590B" w:rsidP="006E0DA8">
            <w:pPr>
              <w:spacing w:after="0"/>
              <w:jc w:val="center"/>
              <w:rPr>
                <w:rFonts w:ascii="Century Gothic" w:eastAsia="Times New Roman" w:hAnsi="Century Gothic" w:cs="Times New Roman"/>
                <w:sz w:val="24"/>
                <w:szCs w:val="24"/>
              </w:rPr>
            </w:pPr>
          </w:p>
          <w:p w14:paraId="284CD599" w14:textId="77777777" w:rsidR="00FE590B" w:rsidRPr="00967422" w:rsidRDefault="00FE590B" w:rsidP="006E0DA8">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GUSTAVO DE LA ROSA HICKERSON.</w:t>
            </w:r>
          </w:p>
        </w:tc>
      </w:tr>
      <w:tr w:rsidR="00FE590B" w:rsidRPr="00967422" w14:paraId="55AA52D1" w14:textId="77777777" w:rsidTr="006E0DA8">
        <w:tc>
          <w:tcPr>
            <w:tcW w:w="4537" w:type="dxa"/>
          </w:tcPr>
          <w:p w14:paraId="0BC8109D" w14:textId="77777777" w:rsidR="00FE590B" w:rsidRDefault="00FE590B" w:rsidP="006E0DA8">
            <w:pPr>
              <w:spacing w:after="0"/>
              <w:jc w:val="center"/>
              <w:rPr>
                <w:rFonts w:ascii="Century Gothic" w:eastAsiaTheme="minorHAnsi" w:hAnsi="Century Gothic" w:cs="Times New Roman"/>
                <w:b/>
                <w:bCs/>
                <w:color w:val="000000"/>
                <w:sz w:val="24"/>
                <w:szCs w:val="24"/>
              </w:rPr>
            </w:pPr>
            <w:r w:rsidRPr="00967422">
              <w:rPr>
                <w:rFonts w:ascii="Century Gothic" w:eastAsia="Times New Roman" w:hAnsi="Century Gothic" w:cs="Times New Roman"/>
                <w:sz w:val="24"/>
                <w:szCs w:val="24"/>
              </w:rPr>
              <w:br/>
            </w:r>
          </w:p>
          <w:p w14:paraId="1532093D" w14:textId="77777777" w:rsidR="00FE590B" w:rsidRPr="00967422" w:rsidRDefault="00FE590B" w:rsidP="006E0DA8">
            <w:pPr>
              <w:spacing w:after="0"/>
              <w:ind w:left="-2" w:hanging="2"/>
              <w:jc w:val="center"/>
              <w:rPr>
                <w:rFonts w:ascii="Century Gothic" w:eastAsiaTheme="minorHAnsi" w:hAnsi="Century Gothic" w:cs="Times New Roman"/>
                <w:b/>
                <w:bCs/>
                <w:color w:val="000000"/>
                <w:sz w:val="24"/>
                <w:szCs w:val="24"/>
              </w:rPr>
            </w:pPr>
          </w:p>
          <w:p w14:paraId="3B993776" w14:textId="77777777" w:rsidR="00FE590B" w:rsidRPr="00967422" w:rsidRDefault="00FE590B" w:rsidP="006E0DA8">
            <w:pPr>
              <w:spacing w:after="0"/>
              <w:ind w:left="-2" w:hanging="2"/>
              <w:jc w:val="center"/>
              <w:rPr>
                <w:rFonts w:ascii="Century Gothic" w:hAnsi="Century Gothic" w:cs="Times New Roman"/>
                <w:sz w:val="24"/>
                <w:szCs w:val="24"/>
              </w:rPr>
            </w:pPr>
            <w:r w:rsidRPr="00967422">
              <w:rPr>
                <w:rFonts w:ascii="Century Gothic" w:hAnsi="Century Gothic" w:cs="Times New Roman"/>
                <w:b/>
                <w:bCs/>
                <w:color w:val="000000"/>
                <w:sz w:val="24"/>
                <w:szCs w:val="24"/>
              </w:rPr>
              <w:t>DIP. ROSANA DÍAZ REYES.</w:t>
            </w:r>
          </w:p>
        </w:tc>
        <w:tc>
          <w:tcPr>
            <w:tcW w:w="5103" w:type="dxa"/>
          </w:tcPr>
          <w:p w14:paraId="7FF17C96" w14:textId="77777777" w:rsidR="00FE590B" w:rsidRPr="00967422" w:rsidRDefault="00FE590B" w:rsidP="006E0DA8">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6E4574B6" w14:textId="77777777" w:rsidR="00FE590B" w:rsidRPr="00967422" w:rsidRDefault="00FE590B" w:rsidP="006E0DA8">
            <w:pPr>
              <w:spacing w:after="0"/>
              <w:jc w:val="center"/>
              <w:rPr>
                <w:rFonts w:ascii="Century Gothic" w:eastAsia="Times New Roman" w:hAnsi="Century Gothic" w:cs="Times New Roman"/>
                <w:sz w:val="24"/>
                <w:szCs w:val="24"/>
              </w:rPr>
            </w:pPr>
          </w:p>
          <w:p w14:paraId="799B4B72" w14:textId="77777777" w:rsidR="00FE590B" w:rsidRPr="00967422" w:rsidRDefault="00FE590B" w:rsidP="006E0DA8">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MARÍA ANTONIETA PÉREZ REYES.</w:t>
            </w:r>
          </w:p>
        </w:tc>
      </w:tr>
      <w:tr w:rsidR="00FE590B" w:rsidRPr="00967422" w14:paraId="7A356C90" w14:textId="77777777" w:rsidTr="006E0DA8">
        <w:tc>
          <w:tcPr>
            <w:tcW w:w="4537" w:type="dxa"/>
          </w:tcPr>
          <w:p w14:paraId="02380641" w14:textId="77777777" w:rsidR="00FE590B" w:rsidRDefault="00FE590B" w:rsidP="006E0DA8">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3A54956D" w14:textId="77777777" w:rsidR="00FE590B" w:rsidRDefault="00FE590B" w:rsidP="006E0DA8">
            <w:pPr>
              <w:spacing w:after="0"/>
              <w:jc w:val="center"/>
              <w:rPr>
                <w:rFonts w:ascii="Century Gothic" w:eastAsia="Times New Roman" w:hAnsi="Century Gothic" w:cs="Times New Roman"/>
                <w:sz w:val="24"/>
                <w:szCs w:val="24"/>
              </w:rPr>
            </w:pPr>
          </w:p>
          <w:p w14:paraId="59F537B6" w14:textId="77777777" w:rsidR="00FE590B" w:rsidRPr="00967422" w:rsidRDefault="00FE590B" w:rsidP="006E0DA8">
            <w:pPr>
              <w:spacing w:after="0"/>
              <w:jc w:val="center"/>
              <w:rPr>
                <w:rFonts w:ascii="Century Gothic" w:eastAsia="Times New Roman" w:hAnsi="Century Gothic" w:cs="Times New Roman"/>
                <w:sz w:val="24"/>
                <w:szCs w:val="24"/>
              </w:rPr>
            </w:pPr>
            <w:r w:rsidRPr="00967422">
              <w:rPr>
                <w:rFonts w:ascii="Century Gothic" w:hAnsi="Century Gothic" w:cs="Times New Roman"/>
                <w:b/>
                <w:bCs/>
                <w:color w:val="000000"/>
                <w:sz w:val="24"/>
                <w:szCs w:val="24"/>
              </w:rPr>
              <w:t>DIP. MAGDALENA RENTERÍA PÉREZ.</w:t>
            </w:r>
          </w:p>
          <w:p w14:paraId="2F672C0B" w14:textId="77777777" w:rsidR="00FE590B" w:rsidRPr="00967422" w:rsidRDefault="00FE590B" w:rsidP="006E0DA8">
            <w:pPr>
              <w:spacing w:after="0"/>
              <w:jc w:val="center"/>
              <w:rPr>
                <w:rFonts w:ascii="Century Gothic" w:eastAsia="Times New Roman" w:hAnsi="Century Gothic" w:cs="Times New Roman"/>
                <w:sz w:val="24"/>
                <w:szCs w:val="24"/>
              </w:rPr>
            </w:pPr>
          </w:p>
          <w:p w14:paraId="24115D31" w14:textId="77777777" w:rsidR="00FE590B" w:rsidRPr="00967422" w:rsidRDefault="00FE590B" w:rsidP="006E0DA8">
            <w:pPr>
              <w:spacing w:after="0"/>
              <w:ind w:left="-2" w:hanging="2"/>
              <w:jc w:val="center"/>
              <w:rPr>
                <w:rFonts w:ascii="Century Gothic" w:eastAsiaTheme="minorHAnsi" w:hAnsi="Century Gothic" w:cs="Times New Roman"/>
                <w:sz w:val="24"/>
                <w:szCs w:val="24"/>
              </w:rPr>
            </w:pPr>
          </w:p>
        </w:tc>
        <w:tc>
          <w:tcPr>
            <w:tcW w:w="5103" w:type="dxa"/>
          </w:tcPr>
          <w:p w14:paraId="4930E74F" w14:textId="77777777" w:rsidR="00FE590B" w:rsidRDefault="00FE590B" w:rsidP="006E0DA8">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7426989D" w14:textId="77777777" w:rsidR="00FE590B" w:rsidRPr="00967422" w:rsidRDefault="00FE590B" w:rsidP="006E0DA8">
            <w:pPr>
              <w:spacing w:after="0"/>
              <w:jc w:val="center"/>
              <w:rPr>
                <w:rFonts w:ascii="Century Gothic" w:eastAsia="Times New Roman" w:hAnsi="Century Gothic" w:cs="Times New Roman"/>
                <w:sz w:val="24"/>
                <w:szCs w:val="24"/>
              </w:rPr>
            </w:pPr>
          </w:p>
          <w:p w14:paraId="07B9B3DA" w14:textId="77777777" w:rsidR="00FE590B" w:rsidRPr="00967422" w:rsidRDefault="00FE590B" w:rsidP="006E0DA8">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DAVID OSCAR CASTREJÓN RIVAS.</w:t>
            </w:r>
          </w:p>
        </w:tc>
      </w:tr>
    </w:tbl>
    <w:p w14:paraId="6E92BD41" w14:textId="214F71CC" w:rsidR="00FE590B" w:rsidRPr="0056749F" w:rsidRDefault="00FE590B" w:rsidP="00FE590B">
      <w:pPr>
        <w:spacing w:after="0" w:line="240" w:lineRule="auto"/>
        <w:jc w:val="center"/>
        <w:rPr>
          <w:sz w:val="16"/>
          <w:szCs w:val="16"/>
        </w:rPr>
      </w:pPr>
      <w:r w:rsidRPr="0056749F">
        <w:rPr>
          <w:rFonts w:ascii="Century Gothic" w:eastAsia="Arial Unicode MS" w:hAnsi="Century Gothic" w:cs="Arial"/>
          <w:bCs/>
          <w:i/>
          <w:iCs/>
          <w:sz w:val="16"/>
          <w:szCs w:val="16"/>
        </w:rPr>
        <w:t xml:space="preserve">La </w:t>
      </w:r>
      <w:r w:rsidRPr="0056749F">
        <w:rPr>
          <w:rFonts w:ascii="Century Gothic" w:eastAsia="Arial Unicode MS" w:hAnsi="Century Gothic" w:cs="Arial"/>
          <w:bCs/>
          <w:sz w:val="16"/>
          <w:szCs w:val="16"/>
        </w:rPr>
        <w:t xml:space="preserve">presente hoja de firmas corresponde a la </w:t>
      </w:r>
      <w:r w:rsidRPr="0056749F">
        <w:rPr>
          <w:sz w:val="16"/>
          <w:szCs w:val="16"/>
        </w:rPr>
        <w:t xml:space="preserve">Iniciativa con carácter de Decreto con la intención de reformar el </w:t>
      </w:r>
      <w:r>
        <w:rPr>
          <w:sz w:val="16"/>
          <w:szCs w:val="16"/>
        </w:rPr>
        <w:t xml:space="preserve">artículo </w:t>
      </w:r>
      <w:r w:rsidR="004F1082">
        <w:rPr>
          <w:sz w:val="16"/>
          <w:szCs w:val="16"/>
        </w:rPr>
        <w:t>156 bis</w:t>
      </w:r>
      <w:r>
        <w:rPr>
          <w:sz w:val="16"/>
          <w:szCs w:val="16"/>
        </w:rPr>
        <w:t xml:space="preserve"> de la Constitución Política de los Estados Unidos Mexicanos.</w:t>
      </w:r>
    </w:p>
    <w:p w14:paraId="0E736B04" w14:textId="77777777" w:rsidR="00FE590B" w:rsidRDefault="00FE590B" w:rsidP="00FE590B"/>
    <w:p w14:paraId="7CDD2A6D" w14:textId="77777777" w:rsidR="00FE590B" w:rsidRDefault="00FE590B" w:rsidP="00FE590B"/>
    <w:p w14:paraId="23AD1B34" w14:textId="77777777" w:rsidR="00F0125B" w:rsidRDefault="00F0125B"/>
    <w:sectPr w:rsidR="00F0125B" w:rsidSect="0056749F">
      <w:headerReference w:type="default" r:id="rId8"/>
      <w:footerReference w:type="default" r:id="rId9"/>
      <w:pgSz w:w="11906" w:h="16838"/>
      <w:pgMar w:top="2694" w:right="1701" w:bottom="1417"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B3828F" w14:textId="77777777" w:rsidR="00000000" w:rsidRDefault="0042677E">
      <w:pPr>
        <w:spacing w:after="0" w:line="240" w:lineRule="auto"/>
      </w:pPr>
      <w:r>
        <w:separator/>
      </w:r>
    </w:p>
  </w:endnote>
  <w:endnote w:type="continuationSeparator" w:id="0">
    <w:p w14:paraId="60E2EE7B" w14:textId="77777777" w:rsidR="00000000" w:rsidRDefault="00426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2825341"/>
      <w:docPartObj>
        <w:docPartGallery w:val="Page Numbers (Bottom of Page)"/>
        <w:docPartUnique/>
      </w:docPartObj>
    </w:sdtPr>
    <w:sdtEndPr/>
    <w:sdtContent>
      <w:p w14:paraId="57F331EB" w14:textId="77777777" w:rsidR="00D76FF1" w:rsidRDefault="00767344">
        <w:pPr>
          <w:pStyle w:val="Piedepgina"/>
          <w:jc w:val="center"/>
        </w:pPr>
        <w:r>
          <w:fldChar w:fldCharType="begin"/>
        </w:r>
        <w:r>
          <w:instrText>PAGE   \* MERGEFORMAT</w:instrText>
        </w:r>
        <w:r>
          <w:fldChar w:fldCharType="separate"/>
        </w:r>
        <w:r w:rsidR="0042677E" w:rsidRPr="0042677E">
          <w:rPr>
            <w:noProof/>
            <w:lang w:val="es-ES"/>
          </w:rPr>
          <w:t>1</w:t>
        </w:r>
        <w:r>
          <w:fldChar w:fldCharType="end"/>
        </w:r>
      </w:p>
    </w:sdtContent>
  </w:sdt>
  <w:p w14:paraId="27CEDDB0" w14:textId="77777777" w:rsidR="00D76FF1" w:rsidRDefault="004267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3DE777" w14:textId="77777777" w:rsidR="00000000" w:rsidRDefault="0042677E">
      <w:pPr>
        <w:spacing w:after="0" w:line="240" w:lineRule="auto"/>
      </w:pPr>
      <w:r>
        <w:separator/>
      </w:r>
    </w:p>
  </w:footnote>
  <w:footnote w:type="continuationSeparator" w:id="0">
    <w:p w14:paraId="60AC0D37" w14:textId="77777777" w:rsidR="00000000" w:rsidRDefault="004267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19DB8" w14:textId="77777777" w:rsidR="00D76FF1" w:rsidRDefault="00767344" w:rsidP="00D76FF1">
    <w:pPr>
      <w:pStyle w:val="Encabezado"/>
      <w:jc w:val="center"/>
    </w:pPr>
    <w:r w:rsidRPr="005A101D">
      <w:rPr>
        <w:noProof/>
        <w:lang w:val="es-MX" w:eastAsia="es-MX"/>
      </w:rPr>
      <w:drawing>
        <wp:anchor distT="0" distB="0" distL="114300" distR="114300" simplePos="0" relativeHeight="251659264" behindDoc="1" locked="0" layoutInCell="1" allowOverlap="1" wp14:anchorId="25ABFE0A" wp14:editId="523D913C">
          <wp:simplePos x="0" y="0"/>
          <wp:positionH relativeFrom="column">
            <wp:posOffset>-756285</wp:posOffset>
          </wp:positionH>
          <wp:positionV relativeFrom="paragraph">
            <wp:posOffset>-268605</wp:posOffset>
          </wp:positionV>
          <wp:extent cx="1066800" cy="1152525"/>
          <wp:effectExtent l="0" t="0" r="0" b="9525"/>
          <wp:wrapNone/>
          <wp:docPr id="4" name="Imagen 4"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w:t>
    </w:r>
    <w:r w:rsidRPr="00D06AFE">
      <w:t>2022, Año del Centenario de la llegada de la Comunidad Menonita a Chihuahua</w:t>
    </w:r>
    <w:r w:rsidRPr="00625047">
      <w:t>”</w:t>
    </w:r>
    <w:r>
      <w:t xml:space="preserve"> </w:t>
    </w:r>
  </w:p>
  <w:p w14:paraId="77FC7B13" w14:textId="77777777" w:rsidR="00D76FF1" w:rsidRDefault="00767344" w:rsidP="00D76FF1">
    <w:pPr>
      <w:pStyle w:val="Encabezado"/>
      <w:jc w:val="right"/>
    </w:pPr>
    <w:r>
      <w:rPr>
        <w:noProof/>
        <w:lang w:val="es-MX" w:eastAsia="es-MX"/>
      </w:rPr>
      <w:drawing>
        <wp:anchor distT="0" distB="0" distL="114300" distR="114300" simplePos="0" relativeHeight="251660288" behindDoc="0" locked="0" layoutInCell="1" allowOverlap="1" wp14:anchorId="1EF98F34" wp14:editId="66F780A6">
          <wp:simplePos x="0" y="0"/>
          <wp:positionH relativeFrom="margin">
            <wp:posOffset>2266950</wp:posOffset>
          </wp:positionH>
          <wp:positionV relativeFrom="paragraph">
            <wp:posOffset>111760</wp:posOffset>
          </wp:positionV>
          <wp:extent cx="981075" cy="428701"/>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81075" cy="428701"/>
                  </a:xfrm>
                  <a:prstGeom prst="rect">
                    <a:avLst/>
                  </a:prstGeom>
                </pic:spPr>
              </pic:pic>
            </a:graphicData>
          </a:graphic>
          <wp14:sizeRelH relativeFrom="margin">
            <wp14:pctWidth>0</wp14:pctWidth>
          </wp14:sizeRelH>
          <wp14:sizeRelV relativeFrom="margin">
            <wp14:pctHeight>0</wp14:pctHeight>
          </wp14:sizeRelV>
        </wp:anchor>
      </w:drawing>
    </w:r>
  </w:p>
  <w:p w14:paraId="2C0A82F0" w14:textId="77777777" w:rsidR="00D76FF1" w:rsidRDefault="00767344" w:rsidP="00D76FF1">
    <w:pPr>
      <w:pStyle w:val="Encabezado"/>
      <w:jc w:val="right"/>
    </w:pPr>
    <w:r>
      <w:rPr>
        <w:noProof/>
        <w:lang w:val="es-MX" w:eastAsia="es-MX"/>
      </w:rPr>
      <w:drawing>
        <wp:inline distT="0" distB="0" distL="0" distR="0" wp14:anchorId="400F5A70" wp14:editId="280D5760">
          <wp:extent cx="700405" cy="133985"/>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00405" cy="133985"/>
                  </a:xfrm>
                  <a:prstGeom prst="rect">
                    <a:avLst/>
                  </a:prstGeom>
                </pic:spPr>
              </pic:pic>
            </a:graphicData>
          </a:graphic>
        </wp:inline>
      </w:drawing>
    </w:r>
  </w:p>
  <w:p w14:paraId="2A4DEE8E" w14:textId="77777777" w:rsidR="00D76FF1" w:rsidRDefault="0042677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856C58"/>
    <w:multiLevelType w:val="hybridMultilevel"/>
    <w:tmpl w:val="C136D636"/>
    <w:lvl w:ilvl="0" w:tplc="41C47F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D577CB1"/>
    <w:multiLevelType w:val="hybridMultilevel"/>
    <w:tmpl w:val="7B6EC948"/>
    <w:lvl w:ilvl="0" w:tplc="AB2C3C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90B"/>
    <w:rsid w:val="0038709B"/>
    <w:rsid w:val="0042677E"/>
    <w:rsid w:val="004F1082"/>
    <w:rsid w:val="00587C2F"/>
    <w:rsid w:val="006234D6"/>
    <w:rsid w:val="00626A95"/>
    <w:rsid w:val="00767344"/>
    <w:rsid w:val="008C736F"/>
    <w:rsid w:val="008E171C"/>
    <w:rsid w:val="00D22C6D"/>
    <w:rsid w:val="00ED136D"/>
    <w:rsid w:val="00F0125B"/>
    <w:rsid w:val="00F07E50"/>
    <w:rsid w:val="00F421C3"/>
    <w:rsid w:val="00FE59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269B9"/>
  <w15:chartTrackingRefBased/>
  <w15:docId w15:val="{1BE361DE-257E-4011-919B-66D2292D3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90B"/>
    <w:pPr>
      <w:spacing w:after="160"/>
      <w:jc w:val="left"/>
    </w:pPr>
    <w:rPr>
      <w:rFonts w:eastAsiaTheme="minorEastAsia"/>
      <w:lang w:val="es-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E59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590B"/>
    <w:rPr>
      <w:rFonts w:eastAsiaTheme="minorEastAsia"/>
      <w:lang w:val="es-US" w:eastAsia="es-ES"/>
    </w:rPr>
  </w:style>
  <w:style w:type="paragraph" w:styleId="Piedepgina">
    <w:name w:val="footer"/>
    <w:basedOn w:val="Normal"/>
    <w:link w:val="PiedepginaCar"/>
    <w:uiPriority w:val="99"/>
    <w:unhideWhenUsed/>
    <w:rsid w:val="00FE59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590B"/>
    <w:rPr>
      <w:rFonts w:eastAsiaTheme="minorEastAsia"/>
      <w:lang w:val="es-US" w:eastAsia="es-ES"/>
    </w:rPr>
  </w:style>
  <w:style w:type="paragraph" w:styleId="Prrafodelista">
    <w:name w:val="List Paragraph"/>
    <w:basedOn w:val="Normal"/>
    <w:uiPriority w:val="34"/>
    <w:qFormat/>
    <w:rsid w:val="00587C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75256-E126-407B-8263-A897DE8DD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1823</Words>
  <Characters>10031</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Brenda Sarahi Gonzalez Dominguez</cp:lastModifiedBy>
  <cp:revision>2</cp:revision>
  <dcterms:created xsi:type="dcterms:W3CDTF">2023-01-30T17:10:00Z</dcterms:created>
  <dcterms:modified xsi:type="dcterms:W3CDTF">2023-01-30T17:10:00Z</dcterms:modified>
</cp:coreProperties>
</file>