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56B2" w14:textId="77777777" w:rsidR="00AD5AB6" w:rsidRDefault="00AD5AB6">
      <w:pPr>
        <w:spacing w:before="0" w:line="360" w:lineRule="auto"/>
        <w:ind w:left="0" w:hanging="2"/>
        <w:rPr>
          <w:rFonts w:ascii="Century Gothic" w:eastAsia="Century Gothic" w:hAnsi="Century Gothic" w:cs="Century Gothic"/>
          <w:sz w:val="24"/>
          <w:szCs w:val="24"/>
        </w:rPr>
      </w:pPr>
    </w:p>
    <w:p w14:paraId="7AEF8B8E" w14:textId="77777777" w:rsidR="00AD5AB6" w:rsidRDefault="00AD5AB6">
      <w:pPr>
        <w:spacing w:before="0" w:line="360" w:lineRule="auto"/>
        <w:ind w:left="0" w:hanging="2"/>
        <w:rPr>
          <w:rFonts w:ascii="Century Gothic" w:eastAsia="Century Gothic" w:hAnsi="Century Gothic" w:cs="Century Gothic"/>
          <w:sz w:val="24"/>
          <w:szCs w:val="24"/>
        </w:rPr>
      </w:pPr>
    </w:p>
    <w:p w14:paraId="52C9BCD2"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H. CONGRESO DEL ESTADO.</w:t>
      </w:r>
    </w:p>
    <w:p w14:paraId="205DB668"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PRESENTE.-</w:t>
      </w:r>
    </w:p>
    <w:p w14:paraId="462B7FC2" w14:textId="77777777" w:rsidR="00AD5AB6" w:rsidRDefault="00497535" w:rsidP="00E342D4">
      <w:pPr>
        <w:tabs>
          <w:tab w:val="left" w:pos="825"/>
          <w:tab w:val="left" w:pos="7515"/>
        </w:tabs>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Quien suscribe,</w:t>
      </w:r>
      <w:r w:rsidR="00973B64">
        <w:rPr>
          <w:rFonts w:ascii="Century Gothic" w:eastAsia="Century Gothic" w:hAnsi="Century Gothic" w:cs="Century Gothic"/>
          <w:b/>
          <w:color w:val="000000"/>
          <w:sz w:val="24"/>
          <w:szCs w:val="24"/>
        </w:rPr>
        <w:t xml:space="preserve"> Benjamín Carrera Chávez</w:t>
      </w:r>
      <w:r>
        <w:rPr>
          <w:rFonts w:ascii="Century Gothic" w:eastAsia="Century Gothic" w:hAnsi="Century Gothic" w:cs="Century Gothic"/>
          <w:b/>
          <w:sz w:val="24"/>
          <w:szCs w:val="24"/>
        </w:rPr>
        <w:t xml:space="preserve">, </w:t>
      </w:r>
      <w:r w:rsidR="00973B64">
        <w:rPr>
          <w:rFonts w:ascii="Century Gothic" w:eastAsia="Century Gothic" w:hAnsi="Century Gothic" w:cs="Century Gothic"/>
          <w:sz w:val="24"/>
          <w:szCs w:val="24"/>
        </w:rPr>
        <w:t>en mi carácter de Diputado de</w:t>
      </w:r>
      <w:r>
        <w:rPr>
          <w:rFonts w:ascii="Century Gothic" w:eastAsia="Century Gothic" w:hAnsi="Century Gothic" w:cs="Century Gothic"/>
          <w:sz w:val="24"/>
          <w:szCs w:val="24"/>
        </w:rPr>
        <w:t xml:space="preserve"> la Sexagésima Séptima Legislatura del Honorable Congreso del Estado, integrante del Grupo Pa</w:t>
      </w:r>
      <w:r w:rsidR="00E342D4">
        <w:rPr>
          <w:rFonts w:ascii="Century Gothic" w:eastAsia="Century Gothic" w:hAnsi="Century Gothic" w:cs="Century Gothic"/>
          <w:sz w:val="24"/>
          <w:szCs w:val="24"/>
        </w:rPr>
        <w:t xml:space="preserve">rlamentario de MORENA, </w:t>
      </w:r>
      <w:r>
        <w:rPr>
          <w:rFonts w:ascii="Century Gothic" w:eastAsia="Century Gothic" w:hAnsi="Century Gothic" w:cs="Century Gothic"/>
          <w:sz w:val="24"/>
          <w:szCs w:val="24"/>
        </w:rPr>
        <w:t xml:space="preserve"> en uso de las atribuciones conferidas por los artículos 68 fracción I, de la Constitución Política del Estado de Chihuahua; 167, fracción I, de la Ley Orgánica del Poder Legislativo; así como los numerales 75 y 76 del Reglamento Interior y de Prácticas Parlamentarias del Poder Legislativo. Comparezco ante esta Honorable Representación Popular para presentar iniciativa con carácter de Decreto a efecto de reformar el Decreto LXVII/RFCOD/0486/2022 I P.O,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que tipifica el delito de Desplazamiento Forzado Interno, en el artículo 206. Quater, del Código Penal del Estado de Chihuahua, al tenor de la siguiente:</w:t>
      </w:r>
    </w:p>
    <w:p w14:paraId="0DD1165D" w14:textId="77777777" w:rsidR="00AD5AB6" w:rsidRDefault="00497535">
      <w:pPr>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EXPOSICIÓN DE MOTIVOS</w:t>
      </w:r>
    </w:p>
    <w:p w14:paraId="29539BF1" w14:textId="77777777" w:rsidR="00AD5AB6" w:rsidRDefault="00AD5AB6">
      <w:pPr>
        <w:ind w:left="0" w:hanging="2"/>
        <w:jc w:val="center"/>
        <w:rPr>
          <w:rFonts w:ascii="Century Gothic" w:eastAsia="Century Gothic" w:hAnsi="Century Gothic" w:cs="Century Gothic"/>
          <w:sz w:val="24"/>
          <w:szCs w:val="24"/>
        </w:rPr>
      </w:pPr>
    </w:p>
    <w:p w14:paraId="07924233"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El día 05 de octubre de 2021, el Grupo Parlamentario del Partido Morena, presentó una iniciativa con carácter de Decreto, a efecto de reformar el Título Décimo Segundo del Código Penal del Estado de Chihuahua, adicionando un capítulo VI, en materia de desplazamiento forzado de personas.</w:t>
      </w:r>
    </w:p>
    <w:p w14:paraId="1102433F" w14:textId="77777777" w:rsidR="00AD5AB6" w:rsidRDefault="00AD5AB6">
      <w:pPr>
        <w:spacing w:before="0" w:line="360" w:lineRule="auto"/>
        <w:ind w:left="0" w:hanging="2"/>
        <w:rPr>
          <w:rFonts w:ascii="Century Gothic" w:eastAsia="Century Gothic" w:hAnsi="Century Gothic" w:cs="Century Gothic"/>
          <w:sz w:val="24"/>
          <w:szCs w:val="24"/>
        </w:rPr>
      </w:pPr>
    </w:p>
    <w:p w14:paraId="1EDA7B84"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Dicha propuesta fue turnada a la Comisión de Justicia el día 07 de octubre de 2021, la cual, solicitó la participación de la Mesa Técnica Interinstitucional en Materia Penal para su análisis y comentarios respecto a la inclusión o no de esta nueva figura penal. </w:t>
      </w:r>
    </w:p>
    <w:p w14:paraId="3EC13033" w14:textId="77777777" w:rsidR="00AD5AB6" w:rsidRDefault="00AD5AB6">
      <w:pPr>
        <w:spacing w:before="0" w:line="360" w:lineRule="auto"/>
        <w:ind w:left="0" w:hanging="2"/>
        <w:rPr>
          <w:rFonts w:ascii="Century Gothic" w:eastAsia="Century Gothic" w:hAnsi="Century Gothic" w:cs="Century Gothic"/>
          <w:sz w:val="24"/>
          <w:szCs w:val="24"/>
        </w:rPr>
      </w:pPr>
    </w:p>
    <w:p w14:paraId="1462E5AD"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Después de varias reuniones de la Mesa, se analizó en Comisión de Justicia el tema, concluyendo con un dictamen aprobado el 19 de diciembre de 2022 y aprobado por el Pleno del H. Congreso del Estado el día 20 de diciembre de 2022. </w:t>
      </w:r>
    </w:p>
    <w:p w14:paraId="3111ECD3" w14:textId="77777777" w:rsidR="00AD5AB6" w:rsidRDefault="00AD5AB6">
      <w:pPr>
        <w:spacing w:before="0" w:line="360" w:lineRule="auto"/>
        <w:ind w:left="0" w:hanging="2"/>
        <w:rPr>
          <w:rFonts w:ascii="Century Gothic" w:eastAsia="Century Gothic" w:hAnsi="Century Gothic" w:cs="Century Gothic"/>
          <w:sz w:val="24"/>
          <w:szCs w:val="24"/>
        </w:rPr>
      </w:pPr>
    </w:p>
    <w:p w14:paraId="17B71F5D"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 La iniciativa de MORENA refiere que “</w:t>
      </w:r>
      <w:r>
        <w:rPr>
          <w:rFonts w:ascii="Century Gothic" w:eastAsia="Century Gothic" w:hAnsi="Century Gothic" w:cs="Century Gothic"/>
          <w:i/>
          <w:sz w:val="24"/>
          <w:szCs w:val="24"/>
        </w:rPr>
        <w:t>Un desplazamiento interno forzado, de acuerdo con la Organización de las Naciones Unidas, sucede cuando una persona se ha visto en la necesidad de huir de su lugar de residencia por acontecimientos que ponen en peligro su integridad tales como la violencia, conflictos armados y catástrofes naturales”</w:t>
      </w:r>
      <w:r>
        <w:rPr>
          <w:rFonts w:ascii="Century Gothic" w:eastAsia="Century Gothic" w:hAnsi="Century Gothic" w:cs="Century Gothic"/>
          <w:sz w:val="24"/>
          <w:szCs w:val="24"/>
        </w:rPr>
        <w:t>.</w:t>
      </w:r>
    </w:p>
    <w:p w14:paraId="673AFBEA" w14:textId="77777777" w:rsidR="00AD5AB6" w:rsidRDefault="00AD5AB6">
      <w:pPr>
        <w:spacing w:before="0" w:line="360" w:lineRule="auto"/>
        <w:ind w:left="0" w:hanging="2"/>
        <w:rPr>
          <w:rFonts w:ascii="Century Gothic" w:eastAsia="Century Gothic" w:hAnsi="Century Gothic" w:cs="Century Gothic"/>
          <w:sz w:val="24"/>
          <w:szCs w:val="24"/>
        </w:rPr>
      </w:pPr>
    </w:p>
    <w:p w14:paraId="5CDF24A3"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dictamen de la Comisión de Justicia, toma de base lo referido por La Corte Interamericana de Derechos Humanos en el Caso </w:t>
      </w:r>
      <w:proofErr w:type="spellStart"/>
      <w:r>
        <w:rPr>
          <w:rFonts w:ascii="Century Gothic" w:eastAsia="Century Gothic" w:hAnsi="Century Gothic" w:cs="Century Gothic"/>
          <w:i/>
          <w:sz w:val="24"/>
          <w:szCs w:val="24"/>
        </w:rPr>
        <w:t>Chitay</w:t>
      </w:r>
      <w:proofErr w:type="spellEnd"/>
      <w:r>
        <w:rPr>
          <w:rFonts w:ascii="Century Gothic" w:eastAsia="Century Gothic" w:hAnsi="Century Gothic" w:cs="Century Gothic"/>
          <w:i/>
          <w:sz w:val="24"/>
          <w:szCs w:val="24"/>
        </w:rPr>
        <w:t xml:space="preserve"> </w:t>
      </w:r>
      <w:proofErr w:type="spellStart"/>
      <w:r>
        <w:rPr>
          <w:rFonts w:ascii="Century Gothic" w:eastAsia="Century Gothic" w:hAnsi="Century Gothic" w:cs="Century Gothic"/>
          <w:i/>
          <w:sz w:val="24"/>
          <w:szCs w:val="24"/>
        </w:rPr>
        <w:t>Nech</w:t>
      </w:r>
      <w:proofErr w:type="spellEnd"/>
      <w:r>
        <w:rPr>
          <w:rFonts w:ascii="Century Gothic" w:eastAsia="Century Gothic" w:hAnsi="Century Gothic" w:cs="Century Gothic"/>
          <w:i/>
          <w:sz w:val="24"/>
          <w:szCs w:val="24"/>
        </w:rPr>
        <w:t xml:space="preserve"> y otros vs. Guatemala</w:t>
      </w:r>
      <w:r>
        <w:rPr>
          <w:rFonts w:ascii="Century Gothic" w:eastAsia="Century Gothic" w:hAnsi="Century Gothic" w:cs="Century Gothic"/>
          <w:sz w:val="24"/>
          <w:szCs w:val="24"/>
        </w:rPr>
        <w:t>, al mencionar que: “</w:t>
      </w:r>
      <w:r>
        <w:rPr>
          <w:rFonts w:ascii="Century Gothic" w:eastAsia="Century Gothic" w:hAnsi="Century Gothic" w:cs="Century Gothic"/>
          <w:i/>
          <w:sz w:val="24"/>
          <w:szCs w:val="24"/>
        </w:rPr>
        <w:t xml:space="preserve">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violaciones </w:t>
      </w:r>
      <w:r>
        <w:rPr>
          <w:rFonts w:ascii="Century Gothic" w:eastAsia="Century Gothic" w:hAnsi="Century Gothic" w:cs="Century Gothic"/>
          <w:i/>
          <w:sz w:val="24"/>
          <w:szCs w:val="24"/>
        </w:rPr>
        <w:lastRenderedPageBreak/>
        <w:t>de los derechos humanos, y que no han cruzado una frontera estatal internacionalmente reconocida</w:t>
      </w:r>
      <w:r>
        <w:rPr>
          <w:rFonts w:ascii="Century Gothic" w:eastAsia="Century Gothic" w:hAnsi="Century Gothic" w:cs="Century Gothic"/>
          <w:sz w:val="24"/>
          <w:szCs w:val="24"/>
        </w:rPr>
        <w:t>”</w:t>
      </w:r>
      <w:r>
        <w:rPr>
          <w:rFonts w:ascii="Century Gothic" w:eastAsia="Century Gothic" w:hAnsi="Century Gothic" w:cs="Century Gothic"/>
          <w:sz w:val="24"/>
          <w:szCs w:val="24"/>
          <w:vertAlign w:val="superscript"/>
        </w:rPr>
        <w:footnoteReference w:id="1"/>
      </w:r>
    </w:p>
    <w:p w14:paraId="778D58E1" w14:textId="77777777" w:rsidR="00AD5AB6" w:rsidRDefault="00AD5AB6">
      <w:pPr>
        <w:spacing w:before="0" w:line="360" w:lineRule="auto"/>
        <w:ind w:left="0" w:hanging="2"/>
        <w:rPr>
          <w:rFonts w:ascii="Century Gothic" w:eastAsia="Century Gothic" w:hAnsi="Century Gothic" w:cs="Century Gothic"/>
          <w:sz w:val="24"/>
          <w:szCs w:val="24"/>
        </w:rPr>
      </w:pPr>
    </w:p>
    <w:p w14:paraId="04979D83"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Dicho dictamen refiere una parte que se considera fundamental para el estudio y entendimiento del tema, es decir, </w:t>
      </w:r>
      <w:r>
        <w:rPr>
          <w:rFonts w:ascii="Century Gothic" w:eastAsia="Century Gothic" w:hAnsi="Century Gothic" w:cs="Century Gothic"/>
          <w:i/>
          <w:sz w:val="24"/>
          <w:szCs w:val="24"/>
        </w:rPr>
        <w:t>los elementos descriptivos que integran el fenómeno del desplazamiento interno; mismo que los podemos englobar…, en dos ejes centrales</w:t>
      </w:r>
      <w:r>
        <w:rPr>
          <w:rFonts w:ascii="Century Gothic" w:eastAsia="Century Gothic" w:hAnsi="Century Gothic" w:cs="Century Gothic"/>
          <w:sz w:val="24"/>
          <w:szCs w:val="24"/>
        </w:rPr>
        <w:t xml:space="preserve">. </w:t>
      </w:r>
    </w:p>
    <w:p w14:paraId="4782621D" w14:textId="77777777" w:rsidR="00AD5AB6" w:rsidRDefault="00AD5AB6">
      <w:pPr>
        <w:spacing w:before="0" w:line="360" w:lineRule="auto"/>
        <w:ind w:left="0" w:hanging="2"/>
        <w:rPr>
          <w:rFonts w:ascii="Century Gothic" w:eastAsia="Century Gothic" w:hAnsi="Century Gothic" w:cs="Century Gothic"/>
          <w:sz w:val="24"/>
          <w:szCs w:val="24"/>
        </w:rPr>
      </w:pPr>
    </w:p>
    <w:p w14:paraId="6FFABCDD"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i/>
          <w:sz w:val="24"/>
          <w:szCs w:val="24"/>
        </w:rPr>
        <w:t>En la primera hipótesis descriptiva, la intención de la persona generadora de violencia, no es apropiarse de la residencia de la persona desplazada, pero su conducta genera miedo suficiente en las víctimas, que se ven forzadas a dejar sus hogares para evitar un probable daño</w:t>
      </w:r>
      <w:r>
        <w:rPr>
          <w:rFonts w:ascii="Century Gothic" w:eastAsia="Century Gothic" w:hAnsi="Century Gothic" w:cs="Century Gothic"/>
          <w:sz w:val="24"/>
          <w:szCs w:val="24"/>
        </w:rPr>
        <w:t xml:space="preserve">. </w:t>
      </w:r>
    </w:p>
    <w:p w14:paraId="012C4B52" w14:textId="77777777" w:rsidR="00AD5AB6" w:rsidRDefault="00AD5AB6">
      <w:pPr>
        <w:spacing w:before="0" w:line="360" w:lineRule="auto"/>
        <w:ind w:left="0" w:hanging="2"/>
        <w:rPr>
          <w:rFonts w:ascii="Century Gothic" w:eastAsia="Century Gothic" w:hAnsi="Century Gothic" w:cs="Century Gothic"/>
          <w:sz w:val="24"/>
          <w:szCs w:val="24"/>
        </w:rPr>
      </w:pPr>
    </w:p>
    <w:p w14:paraId="1B5244F6"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i/>
          <w:sz w:val="24"/>
          <w:szCs w:val="24"/>
        </w:rPr>
        <w:t xml:space="preserve">En la segunda hipótesis, la intención de la persona generadora de violencia es, que la población deje su hogar, dando como resultado el abandono de su residencia. </w:t>
      </w:r>
    </w:p>
    <w:p w14:paraId="3E2C3F60" w14:textId="77777777" w:rsidR="00AD5AB6" w:rsidRDefault="00AD5AB6">
      <w:pPr>
        <w:spacing w:before="0" w:line="360" w:lineRule="auto"/>
        <w:ind w:left="0" w:hanging="2"/>
        <w:rPr>
          <w:rFonts w:ascii="Century Gothic" w:eastAsia="Century Gothic" w:hAnsi="Century Gothic" w:cs="Century Gothic"/>
          <w:sz w:val="24"/>
          <w:szCs w:val="24"/>
        </w:rPr>
      </w:pPr>
    </w:p>
    <w:p w14:paraId="42881915"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i/>
          <w:sz w:val="24"/>
          <w:szCs w:val="24"/>
        </w:rPr>
        <w:t>Pero tanto en el primero como el segundo eje, el fenómeno se manifiesta internamente, esto es, al interior del Estado parte, por ende, no han cruzado una frontera estatal internacionalmente reconocida</w:t>
      </w:r>
      <w:r>
        <w:rPr>
          <w:rFonts w:ascii="Century Gothic" w:eastAsia="Century Gothic" w:hAnsi="Century Gothic" w:cs="Century Gothic"/>
          <w:i/>
          <w:sz w:val="24"/>
          <w:szCs w:val="24"/>
          <w:vertAlign w:val="superscript"/>
        </w:rPr>
        <w:footnoteReference w:id="2"/>
      </w:r>
      <w:r>
        <w:rPr>
          <w:rFonts w:ascii="Century Gothic" w:eastAsia="Century Gothic" w:hAnsi="Century Gothic" w:cs="Century Gothic"/>
          <w:i/>
          <w:sz w:val="24"/>
          <w:szCs w:val="24"/>
        </w:rPr>
        <w:t xml:space="preserve">. </w:t>
      </w:r>
    </w:p>
    <w:p w14:paraId="7A371CA2" w14:textId="77777777" w:rsidR="00AD5AB6" w:rsidRDefault="00AD5AB6">
      <w:pPr>
        <w:spacing w:before="0" w:line="360" w:lineRule="auto"/>
        <w:ind w:left="0" w:hanging="2"/>
        <w:rPr>
          <w:rFonts w:ascii="Century Gothic" w:eastAsia="Century Gothic" w:hAnsi="Century Gothic" w:cs="Century Gothic"/>
          <w:sz w:val="24"/>
          <w:szCs w:val="24"/>
        </w:rPr>
      </w:pPr>
    </w:p>
    <w:p w14:paraId="2F52632C"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Concluyendo con la aprobación del Dictamen por parte del Pleno del H. Congreso del Estado por medio del Decreto </w:t>
      </w:r>
      <w:r>
        <w:rPr>
          <w:rFonts w:ascii="Century Gothic" w:eastAsia="Century Gothic" w:hAnsi="Century Gothic" w:cs="Century Gothic"/>
          <w:b/>
          <w:sz w:val="24"/>
          <w:szCs w:val="24"/>
        </w:rPr>
        <w:t xml:space="preserve">LXVII/RFCOD/0486/2022  I P.O. </w:t>
      </w:r>
      <w:r>
        <w:rPr>
          <w:rFonts w:ascii="Century Gothic" w:eastAsia="Century Gothic" w:hAnsi="Century Gothic" w:cs="Century Gothic"/>
          <w:sz w:val="24"/>
          <w:szCs w:val="24"/>
        </w:rPr>
        <w:t xml:space="preserve">plasmado de la siguiente forma: </w:t>
      </w:r>
    </w:p>
    <w:p w14:paraId="06B34D41" w14:textId="77777777" w:rsidR="00AD5AB6" w:rsidRDefault="00AD5AB6">
      <w:pPr>
        <w:spacing w:before="0" w:line="360" w:lineRule="auto"/>
        <w:ind w:left="0" w:hanging="2"/>
        <w:rPr>
          <w:rFonts w:ascii="Century Gothic" w:eastAsia="Century Gothic" w:hAnsi="Century Gothic" w:cs="Century Gothic"/>
          <w:sz w:val="24"/>
          <w:szCs w:val="24"/>
        </w:rPr>
      </w:pPr>
    </w:p>
    <w:p w14:paraId="27A767EB" w14:textId="77777777" w:rsidR="00AD5AB6" w:rsidRDefault="00497535">
      <w:pPr>
        <w:spacing w:before="0" w:line="360" w:lineRule="auto"/>
        <w:ind w:left="0" w:right="900" w:hanging="2"/>
        <w:jc w:val="center"/>
        <w:rPr>
          <w:rFonts w:ascii="Century Gothic" w:eastAsia="Century Gothic" w:hAnsi="Century Gothic" w:cs="Century Gothic"/>
          <w:sz w:val="24"/>
          <w:szCs w:val="24"/>
        </w:rPr>
      </w:pPr>
      <w:r>
        <w:rPr>
          <w:rFonts w:ascii="Century Gothic" w:eastAsia="Century Gothic" w:hAnsi="Century Gothic" w:cs="Century Gothic"/>
          <w:b/>
          <w:i/>
          <w:sz w:val="24"/>
          <w:szCs w:val="24"/>
        </w:rPr>
        <w:t>CAPÍTULO VII</w:t>
      </w:r>
    </w:p>
    <w:p w14:paraId="5C4A69C7" w14:textId="77777777" w:rsidR="00AD5AB6" w:rsidRDefault="00497535">
      <w:pPr>
        <w:spacing w:before="0" w:line="360" w:lineRule="auto"/>
        <w:ind w:left="0" w:right="900" w:hanging="2"/>
        <w:jc w:val="center"/>
        <w:rPr>
          <w:rFonts w:ascii="Century Gothic" w:eastAsia="Century Gothic" w:hAnsi="Century Gothic" w:cs="Century Gothic"/>
          <w:sz w:val="24"/>
          <w:szCs w:val="24"/>
        </w:rPr>
      </w:pPr>
      <w:r>
        <w:rPr>
          <w:rFonts w:ascii="Century Gothic" w:eastAsia="Century Gothic" w:hAnsi="Century Gothic" w:cs="Century Gothic"/>
          <w:b/>
          <w:i/>
          <w:sz w:val="24"/>
          <w:szCs w:val="24"/>
        </w:rPr>
        <w:t>DESPLAZAMIENTO FORZADO INTERNO</w:t>
      </w:r>
    </w:p>
    <w:p w14:paraId="2DC8D51B" w14:textId="77777777" w:rsidR="00AD5AB6" w:rsidRDefault="00AD5AB6">
      <w:pPr>
        <w:spacing w:before="0" w:line="360" w:lineRule="auto"/>
        <w:ind w:left="0" w:right="900" w:hanging="2"/>
        <w:rPr>
          <w:rFonts w:ascii="Century Gothic" w:eastAsia="Century Gothic" w:hAnsi="Century Gothic" w:cs="Century Gothic"/>
          <w:sz w:val="24"/>
          <w:szCs w:val="24"/>
        </w:rPr>
      </w:pPr>
    </w:p>
    <w:p w14:paraId="0CA4302C" w14:textId="77777777" w:rsidR="00AD5AB6" w:rsidRDefault="00497535">
      <w:pPr>
        <w:spacing w:before="0" w:line="360" w:lineRule="auto"/>
        <w:ind w:left="0" w:right="900" w:hanging="2"/>
        <w:rPr>
          <w:rFonts w:ascii="Century Gothic" w:eastAsia="Century Gothic" w:hAnsi="Century Gothic" w:cs="Century Gothic"/>
          <w:sz w:val="24"/>
          <w:szCs w:val="24"/>
        </w:rPr>
      </w:pPr>
      <w:r>
        <w:rPr>
          <w:rFonts w:ascii="Century Gothic" w:eastAsia="Century Gothic" w:hAnsi="Century Gothic" w:cs="Century Gothic"/>
          <w:b/>
          <w:i/>
          <w:sz w:val="24"/>
          <w:szCs w:val="24"/>
        </w:rPr>
        <w:t xml:space="preserve">Artículo 206 Quater. </w:t>
      </w:r>
    </w:p>
    <w:p w14:paraId="11D8C6C7" w14:textId="77777777" w:rsidR="00AD5AB6" w:rsidRDefault="00497535">
      <w:pPr>
        <w:spacing w:before="0" w:line="360" w:lineRule="auto"/>
        <w:ind w:left="0" w:right="900" w:hanging="2"/>
        <w:rPr>
          <w:rFonts w:ascii="Century Gothic" w:eastAsia="Century Gothic" w:hAnsi="Century Gothic" w:cs="Century Gothic"/>
          <w:sz w:val="24"/>
          <w:szCs w:val="24"/>
        </w:rPr>
      </w:pPr>
      <w:r>
        <w:rPr>
          <w:rFonts w:ascii="Century Gothic" w:eastAsia="Century Gothic" w:hAnsi="Century Gothic" w:cs="Century Gothic"/>
          <w:b/>
          <w:i/>
          <w:sz w:val="24"/>
          <w:szCs w:val="24"/>
        </w:rPr>
        <w:t>A quien, por medio de la violencia física o moral, ocasione que una persona o un grupo de personas abandone su lugar de residencia habitual, se le impondrá prisión de uno a siete años y de cien a cuatrocientos días multa.</w:t>
      </w:r>
    </w:p>
    <w:p w14:paraId="444E7C03" w14:textId="77777777" w:rsidR="00AD5AB6" w:rsidRDefault="00AD5AB6">
      <w:pPr>
        <w:spacing w:before="0" w:line="360" w:lineRule="auto"/>
        <w:ind w:left="0" w:right="900" w:hanging="2"/>
        <w:rPr>
          <w:rFonts w:ascii="Century Gothic" w:eastAsia="Century Gothic" w:hAnsi="Century Gothic" w:cs="Century Gothic"/>
          <w:sz w:val="24"/>
          <w:szCs w:val="24"/>
        </w:rPr>
      </w:pPr>
    </w:p>
    <w:p w14:paraId="11F85004" w14:textId="77777777" w:rsidR="00AD5AB6" w:rsidRDefault="00497535">
      <w:pPr>
        <w:spacing w:before="0" w:line="360" w:lineRule="auto"/>
        <w:ind w:left="0" w:right="900" w:hanging="2"/>
        <w:rPr>
          <w:rFonts w:ascii="Century Gothic" w:eastAsia="Century Gothic" w:hAnsi="Century Gothic" w:cs="Century Gothic"/>
          <w:sz w:val="24"/>
          <w:szCs w:val="24"/>
        </w:rPr>
      </w:pPr>
      <w:r>
        <w:rPr>
          <w:rFonts w:ascii="Century Gothic" w:eastAsia="Century Gothic" w:hAnsi="Century Gothic" w:cs="Century Gothic"/>
          <w:b/>
          <w:i/>
          <w:sz w:val="24"/>
          <w:szCs w:val="24"/>
        </w:rPr>
        <w:t>La pena prevista se aumentará en un tercio, cuando el agente tenga el propósito de ejercer el control o dominio del territorio en que se asienta la residencia de la víctima</w:t>
      </w:r>
      <w:r>
        <w:rPr>
          <w:rFonts w:ascii="Century Gothic" w:eastAsia="Century Gothic" w:hAnsi="Century Gothic" w:cs="Century Gothic"/>
          <w:i/>
          <w:sz w:val="24"/>
          <w:szCs w:val="24"/>
        </w:rPr>
        <w:t>.</w:t>
      </w:r>
    </w:p>
    <w:p w14:paraId="7E226385" w14:textId="77777777" w:rsidR="00AD5AB6" w:rsidRDefault="00AD5AB6">
      <w:pPr>
        <w:spacing w:before="0" w:line="360" w:lineRule="auto"/>
        <w:ind w:left="0" w:hanging="2"/>
        <w:rPr>
          <w:rFonts w:ascii="Century Gothic" w:eastAsia="Century Gothic" w:hAnsi="Century Gothic" w:cs="Century Gothic"/>
          <w:sz w:val="24"/>
          <w:szCs w:val="24"/>
        </w:rPr>
      </w:pPr>
    </w:p>
    <w:p w14:paraId="0850DCC1"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 Como se puede apreciar, la descripción típica pretende diferenciar entre esas dos hipótesis visibilizadas en la sentencia de la Corte Interamericana, graduando la pena de acuerdo a su peligrosidad, es decir, agravando la punibilidad cuando la intención del agente sea causar ese miedo para que la víctima abandone su lugar de residencia; atenuando cuando no exista esa intencionalidad. </w:t>
      </w:r>
    </w:p>
    <w:p w14:paraId="2131A045" w14:textId="77777777" w:rsidR="00AD5AB6" w:rsidRDefault="00AD5AB6">
      <w:pPr>
        <w:spacing w:before="0" w:line="360" w:lineRule="auto"/>
        <w:ind w:left="0" w:hanging="2"/>
        <w:rPr>
          <w:rFonts w:ascii="Century Gothic" w:eastAsia="Century Gothic" w:hAnsi="Century Gothic" w:cs="Century Gothic"/>
          <w:sz w:val="24"/>
          <w:szCs w:val="24"/>
        </w:rPr>
      </w:pPr>
    </w:p>
    <w:p w14:paraId="07DE4DD6"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Sin embargo, se considera que debemos realizar una reflexión adicional, partiendo de que se entiende y comparte la intención del dictamen, empero, en la primera hipótesis, que se encuentra plasmada de elementos objetivos, se prescinde de la intencionalidad del agente, para convertir esta en una agravante. </w:t>
      </w:r>
    </w:p>
    <w:p w14:paraId="765CCB41" w14:textId="77777777" w:rsidR="00AD5AB6" w:rsidRDefault="00AD5AB6">
      <w:pPr>
        <w:spacing w:before="0" w:line="360" w:lineRule="auto"/>
        <w:ind w:left="0" w:hanging="2"/>
        <w:rPr>
          <w:rFonts w:ascii="Century Gothic" w:eastAsia="Century Gothic" w:hAnsi="Century Gothic" w:cs="Century Gothic"/>
          <w:sz w:val="24"/>
          <w:szCs w:val="24"/>
        </w:rPr>
      </w:pPr>
    </w:p>
    <w:p w14:paraId="60EE6583"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Esto si bien está encaminado a facilitar el trabajo de las personas operadoras del sistema, porque solamente tendrían que estar acreditando elementos objetivos, sin meterse al estudio respecto a la intención del agente, podría ser confundido con otras figuras, como el despojo. </w:t>
      </w:r>
    </w:p>
    <w:p w14:paraId="34B937D2" w14:textId="77777777" w:rsidR="00AD5AB6" w:rsidRDefault="00AD5AB6">
      <w:pPr>
        <w:spacing w:before="0" w:line="360" w:lineRule="auto"/>
        <w:ind w:left="0" w:hanging="2"/>
        <w:rPr>
          <w:rFonts w:ascii="Century Gothic" w:eastAsia="Century Gothic" w:hAnsi="Century Gothic" w:cs="Century Gothic"/>
          <w:sz w:val="24"/>
          <w:szCs w:val="24"/>
        </w:rPr>
      </w:pPr>
    </w:p>
    <w:p w14:paraId="409F35FA"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ahí que, esa intencionalidad o elemento subjetivo, no debe ser considerada como una agravante, sino como parte del tipo básico y de </w:t>
      </w:r>
      <w:r w:rsidR="00DC60D7">
        <w:rPr>
          <w:rFonts w:ascii="Century Gothic" w:eastAsia="Century Gothic" w:hAnsi="Century Gothic" w:cs="Century Gothic"/>
          <w:sz w:val="24"/>
          <w:szCs w:val="24"/>
        </w:rPr>
        <w:t>esta</w:t>
      </w:r>
      <w:r>
        <w:rPr>
          <w:rFonts w:ascii="Century Gothic" w:eastAsia="Century Gothic" w:hAnsi="Century Gothic" w:cs="Century Gothic"/>
          <w:sz w:val="24"/>
          <w:szCs w:val="24"/>
        </w:rPr>
        <w:t xml:space="preserve"> forma, que no exista la posibilidad de confundirse con el despojo u otra figura típica. </w:t>
      </w:r>
    </w:p>
    <w:p w14:paraId="36E6849F" w14:textId="77777777" w:rsidR="00AD5AB6" w:rsidRDefault="00AD5AB6">
      <w:pPr>
        <w:spacing w:before="0" w:line="360" w:lineRule="auto"/>
        <w:ind w:left="0" w:hanging="2"/>
        <w:rPr>
          <w:rFonts w:ascii="Century Gothic" w:eastAsia="Century Gothic" w:hAnsi="Century Gothic" w:cs="Century Gothic"/>
          <w:sz w:val="24"/>
          <w:szCs w:val="24"/>
        </w:rPr>
      </w:pPr>
    </w:p>
    <w:p w14:paraId="447AA892"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Aunado, se considera que la pena debería ser más alta, porque si ahora la agravante se integra al tipo básico, se debería incrementar la pena. </w:t>
      </w:r>
    </w:p>
    <w:p w14:paraId="30A1B697"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46E6989F" w14:textId="77777777" w:rsidR="00AD5AB6" w:rsidRPr="00E342D4" w:rsidRDefault="00497535" w:rsidP="00E342D4">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Por lo anteriormente expuesto, con fundamento en lo dispuesto por los artículos 57 y 58 de la Constitución Política del Estado, se somete a la consideración de esta Honorable Representación Popular, el siguiente proyecto de:</w:t>
      </w:r>
    </w:p>
    <w:p w14:paraId="1779D678" w14:textId="77777777" w:rsidR="00AD5AB6" w:rsidRDefault="00497535" w:rsidP="00E342D4">
      <w:pPr>
        <w:spacing w:before="0"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DECRETO</w:t>
      </w:r>
      <w:r w:rsidR="00E342D4">
        <w:rPr>
          <w:rFonts w:ascii="Century Gothic" w:eastAsia="Century Gothic" w:hAnsi="Century Gothic" w:cs="Century Gothic"/>
          <w:b/>
          <w:sz w:val="24"/>
          <w:szCs w:val="24"/>
        </w:rPr>
        <w:t>.</w:t>
      </w:r>
    </w:p>
    <w:p w14:paraId="382570BE" w14:textId="77777777" w:rsidR="00AD5AB6" w:rsidRDefault="00497535">
      <w:pPr>
        <w:spacing w:line="360" w:lineRule="auto"/>
        <w:ind w:left="1" w:hanging="3"/>
        <w:rPr>
          <w:rFonts w:ascii="Century Gothic" w:eastAsia="Century Gothic" w:hAnsi="Century Gothic" w:cs="Century Gothic"/>
          <w:sz w:val="24"/>
          <w:szCs w:val="24"/>
        </w:rPr>
      </w:pPr>
      <w:r>
        <w:rPr>
          <w:rFonts w:ascii="Century Gothic" w:eastAsia="Century Gothic" w:hAnsi="Century Gothic" w:cs="Century Gothic"/>
          <w:b/>
          <w:sz w:val="28"/>
          <w:szCs w:val="28"/>
        </w:rPr>
        <w:t>ARTÍCULO ÚNICO.-</w:t>
      </w:r>
      <w:r>
        <w:rPr>
          <w:rFonts w:ascii="Century Gothic" w:eastAsia="Century Gothic" w:hAnsi="Century Gothic" w:cs="Century Gothic"/>
          <w:sz w:val="28"/>
          <w:szCs w:val="28"/>
        </w:rPr>
        <w:t xml:space="preserve"> </w:t>
      </w:r>
      <w:r>
        <w:rPr>
          <w:rFonts w:ascii="Century Gothic" w:eastAsia="Century Gothic" w:hAnsi="Century Gothic" w:cs="Century Gothic"/>
          <w:sz w:val="24"/>
          <w:szCs w:val="24"/>
        </w:rPr>
        <w:t xml:space="preserve">Se reforma el artículo 206. Quater, del Código Penal del Estado de Chihuahua del Decreto </w:t>
      </w:r>
      <w:r>
        <w:rPr>
          <w:rFonts w:ascii="Century Gothic" w:eastAsia="Century Gothic" w:hAnsi="Century Gothic" w:cs="Century Gothic"/>
          <w:b/>
          <w:sz w:val="24"/>
          <w:szCs w:val="24"/>
        </w:rPr>
        <w:t>LXVII/RFCOD/0486/2022 I P.O</w:t>
      </w:r>
      <w:r>
        <w:rPr>
          <w:rFonts w:ascii="Century Gothic" w:eastAsia="Century Gothic" w:hAnsi="Century Gothic" w:cs="Century Gothic"/>
          <w:sz w:val="24"/>
          <w:szCs w:val="24"/>
        </w:rPr>
        <w:t xml:space="preserve">. por el que se creó el Capítulo VII, intitulado Desplazamiento Forzado Interno para quedar redactado de la siguiente manera: </w:t>
      </w:r>
    </w:p>
    <w:p w14:paraId="0F62F6E1" w14:textId="77777777" w:rsidR="00AD5AB6" w:rsidRDefault="00497535" w:rsidP="00DC60D7">
      <w:p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206 Quater. </w:t>
      </w:r>
      <w:r w:rsidR="00DC60D7">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A quien </w:t>
      </w:r>
      <w:r>
        <w:rPr>
          <w:rFonts w:ascii="Century Gothic" w:eastAsia="Century Gothic" w:hAnsi="Century Gothic" w:cs="Century Gothic"/>
          <w:b/>
          <w:sz w:val="24"/>
          <w:szCs w:val="24"/>
        </w:rPr>
        <w:t>o quienes</w:t>
      </w:r>
      <w:r>
        <w:rPr>
          <w:rFonts w:ascii="Century Gothic" w:eastAsia="Century Gothic" w:hAnsi="Century Gothic" w:cs="Century Gothic"/>
          <w:sz w:val="24"/>
          <w:szCs w:val="24"/>
        </w:rPr>
        <w:t xml:space="preserve"> por medio de la violencia física o moral, </w:t>
      </w:r>
      <w:r>
        <w:rPr>
          <w:rFonts w:ascii="Century Gothic" w:eastAsia="Century Gothic" w:hAnsi="Century Gothic" w:cs="Century Gothic"/>
          <w:b/>
          <w:sz w:val="24"/>
          <w:szCs w:val="24"/>
        </w:rPr>
        <w:t>o por sus actos de violencia reiterada</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con el propósito de ejercer el </w:t>
      </w:r>
      <w:r>
        <w:rPr>
          <w:rFonts w:ascii="Century Gothic" w:eastAsia="Century Gothic" w:hAnsi="Century Gothic" w:cs="Century Gothic"/>
          <w:b/>
          <w:sz w:val="24"/>
          <w:szCs w:val="24"/>
        </w:rPr>
        <w:lastRenderedPageBreak/>
        <w:t>control, dominio o alguna actividad ilícita,</w:t>
      </w:r>
      <w:r>
        <w:rPr>
          <w:rFonts w:ascii="Century Gothic" w:eastAsia="Century Gothic" w:hAnsi="Century Gothic" w:cs="Century Gothic"/>
          <w:sz w:val="24"/>
          <w:szCs w:val="24"/>
        </w:rPr>
        <w:t xml:space="preserve"> ocasione que una persona o grupo de personas </w:t>
      </w:r>
      <w:r>
        <w:rPr>
          <w:rFonts w:ascii="Century Gothic" w:eastAsia="Century Gothic" w:hAnsi="Century Gothic" w:cs="Century Gothic"/>
          <w:b/>
          <w:sz w:val="24"/>
          <w:szCs w:val="24"/>
        </w:rPr>
        <w:t>cambie, huya o</w:t>
      </w:r>
      <w:r>
        <w:rPr>
          <w:rFonts w:ascii="Century Gothic" w:eastAsia="Century Gothic" w:hAnsi="Century Gothic" w:cs="Century Gothic"/>
          <w:sz w:val="24"/>
          <w:szCs w:val="24"/>
        </w:rPr>
        <w:t xml:space="preserve"> abandone su lugar de residencia habitual, se le impondrá prisión de </w:t>
      </w:r>
      <w:r>
        <w:rPr>
          <w:rFonts w:ascii="Century Gothic" w:eastAsia="Century Gothic" w:hAnsi="Century Gothic" w:cs="Century Gothic"/>
          <w:b/>
          <w:sz w:val="24"/>
          <w:szCs w:val="24"/>
        </w:rPr>
        <w:t>tres</w:t>
      </w:r>
      <w:r>
        <w:rPr>
          <w:rFonts w:ascii="Century Gothic" w:eastAsia="Century Gothic" w:hAnsi="Century Gothic" w:cs="Century Gothic"/>
          <w:sz w:val="24"/>
          <w:szCs w:val="24"/>
        </w:rPr>
        <w:t xml:space="preserve"> a </w:t>
      </w:r>
      <w:r>
        <w:rPr>
          <w:rFonts w:ascii="Century Gothic" w:eastAsia="Century Gothic" w:hAnsi="Century Gothic" w:cs="Century Gothic"/>
          <w:b/>
          <w:sz w:val="24"/>
          <w:szCs w:val="24"/>
        </w:rPr>
        <w:t>diez</w:t>
      </w:r>
      <w:r>
        <w:rPr>
          <w:rFonts w:ascii="Century Gothic" w:eastAsia="Century Gothic" w:hAnsi="Century Gothic" w:cs="Century Gothic"/>
          <w:sz w:val="24"/>
          <w:szCs w:val="24"/>
        </w:rPr>
        <w:t xml:space="preserve"> años y de cien a cuatrocientos días multa. </w:t>
      </w:r>
    </w:p>
    <w:p w14:paraId="62A5BEA6" w14:textId="77777777" w:rsidR="00AD5AB6" w:rsidRDefault="00AD5AB6">
      <w:pPr>
        <w:spacing w:before="0" w:line="360" w:lineRule="auto"/>
        <w:ind w:left="0" w:hanging="2"/>
        <w:rPr>
          <w:rFonts w:ascii="Century Gothic" w:eastAsia="Century Gothic" w:hAnsi="Century Gothic" w:cs="Century Gothic"/>
          <w:sz w:val="24"/>
          <w:szCs w:val="24"/>
        </w:rPr>
      </w:pPr>
    </w:p>
    <w:p w14:paraId="0B8FC6E4"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No se considerará desplazamiento forzado interno si el sujeto pasivo propicia o participa en hechos de violencia contra el activo, con alguno de los propósitos descritos en el párrafo que antecede, con independencia de que se pueda cometer algún otro delito en su perjuicio.</w:t>
      </w:r>
    </w:p>
    <w:p w14:paraId="25CDD17A" w14:textId="77777777" w:rsidR="00AD5AB6" w:rsidRDefault="00AD5AB6">
      <w:pPr>
        <w:spacing w:before="0" w:line="360" w:lineRule="auto"/>
        <w:ind w:left="0" w:hanging="2"/>
        <w:rPr>
          <w:rFonts w:ascii="Century Gothic" w:eastAsia="Century Gothic" w:hAnsi="Century Gothic" w:cs="Century Gothic"/>
          <w:sz w:val="24"/>
          <w:szCs w:val="24"/>
        </w:rPr>
      </w:pPr>
    </w:p>
    <w:p w14:paraId="63E9F515" w14:textId="77777777" w:rsidR="00AD5AB6" w:rsidRDefault="00497535">
      <w:pPr>
        <w:spacing w:before="0"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TRANSITORIO</w:t>
      </w:r>
    </w:p>
    <w:p w14:paraId="216C1693" w14:textId="77777777" w:rsidR="00AD5AB6" w:rsidRDefault="00AD5AB6">
      <w:pPr>
        <w:spacing w:before="0" w:line="360" w:lineRule="auto"/>
        <w:ind w:left="0" w:hanging="2"/>
        <w:jc w:val="center"/>
        <w:rPr>
          <w:rFonts w:ascii="Century Gothic" w:eastAsia="Century Gothic" w:hAnsi="Century Gothic" w:cs="Century Gothic"/>
          <w:sz w:val="24"/>
          <w:szCs w:val="24"/>
        </w:rPr>
      </w:pPr>
    </w:p>
    <w:p w14:paraId="4AAAC71D"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PRIMERO. </w:t>
      </w:r>
      <w:r>
        <w:rPr>
          <w:rFonts w:ascii="Century Gothic" w:eastAsia="Century Gothic" w:hAnsi="Century Gothic" w:cs="Century Gothic"/>
          <w:sz w:val="24"/>
          <w:szCs w:val="24"/>
        </w:rPr>
        <w:t xml:space="preserve">El presente Decreto entrará en vigor al día siguiente de la Publicación del Decreto </w:t>
      </w:r>
      <w:r>
        <w:rPr>
          <w:rFonts w:ascii="Century Gothic" w:eastAsia="Century Gothic" w:hAnsi="Century Gothic" w:cs="Century Gothic"/>
          <w:b/>
          <w:sz w:val="24"/>
          <w:szCs w:val="24"/>
        </w:rPr>
        <w:t>LXVII/RFCOD/0486/2022 I P.O</w:t>
      </w:r>
      <w:r>
        <w:rPr>
          <w:rFonts w:ascii="Century Gothic" w:eastAsia="Century Gothic" w:hAnsi="Century Gothic" w:cs="Century Gothic"/>
          <w:sz w:val="24"/>
          <w:szCs w:val="24"/>
        </w:rPr>
        <w:t xml:space="preserve"> en el Periódico Oficial del Estado. </w:t>
      </w:r>
    </w:p>
    <w:p w14:paraId="14A588D7" w14:textId="77777777" w:rsidR="00AD5AB6" w:rsidRDefault="00AD5AB6">
      <w:pPr>
        <w:spacing w:before="0" w:line="360" w:lineRule="auto"/>
        <w:ind w:left="0" w:hanging="2"/>
        <w:rPr>
          <w:rFonts w:ascii="Century Gothic" w:eastAsia="Century Gothic" w:hAnsi="Century Gothic" w:cs="Century Gothic"/>
          <w:sz w:val="24"/>
          <w:szCs w:val="24"/>
        </w:rPr>
      </w:pPr>
    </w:p>
    <w:p w14:paraId="2D7F69C3"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ECONÓMICO. </w:t>
      </w:r>
      <w:r>
        <w:rPr>
          <w:rFonts w:ascii="Century Gothic" w:eastAsia="Century Gothic" w:hAnsi="Century Gothic" w:cs="Century Gothic"/>
          <w:sz w:val="24"/>
          <w:szCs w:val="24"/>
        </w:rPr>
        <w:t>Aprobado que sea, túrnese a la Secretaría para que elabore la Minuta de Decreto correspondiente.</w:t>
      </w:r>
    </w:p>
    <w:p w14:paraId="0C092686" w14:textId="77777777" w:rsidR="00AD5AB6" w:rsidRDefault="00AD5AB6">
      <w:pPr>
        <w:spacing w:before="0" w:line="360" w:lineRule="auto"/>
        <w:ind w:left="0" w:hanging="2"/>
        <w:rPr>
          <w:rFonts w:ascii="Century Gothic" w:eastAsia="Century Gothic" w:hAnsi="Century Gothic" w:cs="Century Gothic"/>
          <w:sz w:val="24"/>
          <w:szCs w:val="24"/>
        </w:rPr>
      </w:pPr>
    </w:p>
    <w:p w14:paraId="56179D7F" w14:textId="77777777" w:rsidR="00AD5AB6" w:rsidRDefault="00497535">
      <w:pPr>
        <w:spacing w:before="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Dado en el recinto oficial del Palacio del Poder Legislativo, en la Ciudad de C</w:t>
      </w:r>
      <w:r w:rsidR="00E342D4">
        <w:rPr>
          <w:rFonts w:ascii="Century Gothic" w:eastAsia="Century Gothic" w:hAnsi="Century Gothic" w:cs="Century Gothic"/>
          <w:sz w:val="24"/>
          <w:szCs w:val="24"/>
        </w:rPr>
        <w:t>hihuahua, Chihuahua, al día 18 del mes de enero del año 2022</w:t>
      </w:r>
      <w:r>
        <w:rPr>
          <w:rFonts w:ascii="Century Gothic" w:eastAsia="Century Gothic" w:hAnsi="Century Gothic" w:cs="Century Gothic"/>
          <w:sz w:val="24"/>
          <w:szCs w:val="24"/>
        </w:rPr>
        <w:t>.</w:t>
      </w:r>
    </w:p>
    <w:p w14:paraId="63020187" w14:textId="77777777" w:rsidR="00AD5AB6" w:rsidRDefault="00AD5AB6">
      <w:pPr>
        <w:spacing w:before="0" w:line="360" w:lineRule="auto"/>
        <w:ind w:left="0" w:hanging="2"/>
        <w:rPr>
          <w:rFonts w:ascii="Century Gothic" w:eastAsia="Century Gothic" w:hAnsi="Century Gothic" w:cs="Century Gothic"/>
          <w:sz w:val="24"/>
          <w:szCs w:val="24"/>
        </w:rPr>
      </w:pPr>
    </w:p>
    <w:p w14:paraId="5F018390" w14:textId="77777777" w:rsidR="00AD5AB6" w:rsidRDefault="00497535">
      <w:pPr>
        <w:spacing w:before="0"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ATENTAMENTE</w:t>
      </w:r>
    </w:p>
    <w:p w14:paraId="58211E40" w14:textId="77777777" w:rsidR="00AD5AB6" w:rsidRDefault="00DB0028">
      <w:pPr>
        <w:spacing w:before="0" w:line="360" w:lineRule="auto"/>
        <w:ind w:left="0" w:hanging="2"/>
        <w:jc w:val="center"/>
        <w:rPr>
          <w:rFonts w:ascii="Century Gothic" w:eastAsia="Century Gothic" w:hAnsi="Century Gothic" w:cs="Century Gothic"/>
          <w:sz w:val="24"/>
          <w:szCs w:val="24"/>
        </w:rPr>
      </w:pPr>
      <w:r>
        <w:rPr>
          <w:noProof/>
          <w:lang w:val="es-MX" w:eastAsia="es-MX"/>
        </w:rPr>
        <w:drawing>
          <wp:inline distT="0" distB="0" distL="0" distR="0" wp14:anchorId="51CCF4DE" wp14:editId="3EDAC14A">
            <wp:extent cx="1522730" cy="679450"/>
            <wp:effectExtent l="0" t="0" r="127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srcRect/>
                    <a:stretch>
                      <a:fillRect/>
                    </a:stretch>
                  </pic:blipFill>
                  <pic:spPr bwMode="auto">
                    <a:xfrm>
                      <a:off x="0" y="0"/>
                      <a:ext cx="1522730" cy="679450"/>
                    </a:xfrm>
                    <a:prstGeom prst="rect">
                      <a:avLst/>
                    </a:prstGeom>
                    <a:noFill/>
                    <a:ln w="9525">
                      <a:noFill/>
                      <a:miter lim="800000"/>
                      <a:headEnd/>
                      <a:tailEnd/>
                    </a:ln>
                  </pic:spPr>
                </pic:pic>
              </a:graphicData>
            </a:graphic>
          </wp:inline>
        </w:drawing>
      </w:r>
    </w:p>
    <w:p w14:paraId="09926F85" w14:textId="77777777" w:rsidR="00DB0028" w:rsidRPr="00DB0028" w:rsidRDefault="00DB0028">
      <w:pPr>
        <w:spacing w:before="0" w:line="360" w:lineRule="auto"/>
        <w:ind w:left="0" w:hanging="2"/>
        <w:jc w:val="center"/>
        <w:rPr>
          <w:rFonts w:ascii="Century Gothic" w:eastAsia="Century Gothic" w:hAnsi="Century Gothic" w:cs="Century Gothic"/>
          <w:sz w:val="24"/>
          <w:szCs w:val="24"/>
        </w:rPr>
      </w:pPr>
      <w:r w:rsidRPr="00DB0028">
        <w:rPr>
          <w:rFonts w:ascii="Century Gothic" w:hAnsi="Century Gothic" w:cs="Times New Roman"/>
          <w:b/>
          <w:bCs/>
          <w:color w:val="000000"/>
          <w:sz w:val="24"/>
          <w:szCs w:val="24"/>
        </w:rPr>
        <w:t>DIP. BENJAMÍN CARRERA CHÁVEZ.</w:t>
      </w:r>
    </w:p>
    <w:sectPr w:rsidR="00DB0028" w:rsidRPr="00DB0028">
      <w:headerReference w:type="even" r:id="rId7"/>
      <w:headerReference w:type="default" r:id="rId8"/>
      <w:footerReference w:type="even" r:id="rId9"/>
      <w:footerReference w:type="default" r:id="rId10"/>
      <w:headerReference w:type="first" r:id="rId11"/>
      <w:footerReference w:type="first" r:id="rId12"/>
      <w:pgSz w:w="12240" w:h="15840"/>
      <w:pgMar w:top="2835" w:right="1701" w:bottom="1134" w:left="1701" w:header="5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A04D" w14:textId="77777777" w:rsidR="00497535" w:rsidRDefault="00497535">
      <w:pPr>
        <w:spacing w:before="0" w:line="240" w:lineRule="auto"/>
        <w:ind w:left="0" w:hanging="2"/>
      </w:pPr>
      <w:r>
        <w:separator/>
      </w:r>
    </w:p>
  </w:endnote>
  <w:endnote w:type="continuationSeparator" w:id="0">
    <w:p w14:paraId="04B24FC9" w14:textId="77777777" w:rsidR="00497535" w:rsidRDefault="00497535">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33BB" w14:textId="77777777" w:rsidR="00DB0028" w:rsidRDefault="00DB0028">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ACE6" w14:textId="77777777" w:rsidR="00AD5AB6" w:rsidRDefault="00497535">
    <w:pPr>
      <w:pBdr>
        <w:top w:val="nil"/>
        <w:left w:val="nil"/>
        <w:bottom w:val="nil"/>
        <w:right w:val="nil"/>
        <w:between w:val="nil"/>
      </w:pBdr>
      <w:tabs>
        <w:tab w:val="center" w:pos="4419"/>
        <w:tab w:val="right" w:pos="8838"/>
      </w:tabs>
      <w:spacing w:before="0"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B49F2">
      <w:rPr>
        <w:noProof/>
        <w:color w:val="000000"/>
        <w:sz w:val="20"/>
        <w:szCs w:val="20"/>
      </w:rPr>
      <w:t>5</w:t>
    </w:r>
    <w:r>
      <w:rPr>
        <w:color w:val="000000"/>
        <w:sz w:val="20"/>
        <w:szCs w:val="20"/>
      </w:rPr>
      <w:fldChar w:fldCharType="end"/>
    </w:r>
  </w:p>
  <w:p w14:paraId="7861BE41" w14:textId="77777777" w:rsidR="00AD5AB6" w:rsidRDefault="00AD5AB6">
    <w:pPr>
      <w:pBdr>
        <w:top w:val="nil"/>
        <w:left w:val="nil"/>
        <w:bottom w:val="nil"/>
        <w:right w:val="nil"/>
        <w:between w:val="nil"/>
      </w:pBdr>
      <w:tabs>
        <w:tab w:val="center" w:pos="4419"/>
        <w:tab w:val="right" w:pos="8838"/>
      </w:tabs>
      <w:spacing w:before="0"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B09E" w14:textId="77777777" w:rsidR="00DB0028" w:rsidRDefault="00DB0028">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0926" w14:textId="77777777" w:rsidR="00497535" w:rsidRDefault="00497535">
      <w:pPr>
        <w:spacing w:before="0" w:line="240" w:lineRule="auto"/>
        <w:ind w:left="0" w:hanging="2"/>
      </w:pPr>
      <w:r>
        <w:separator/>
      </w:r>
    </w:p>
  </w:footnote>
  <w:footnote w:type="continuationSeparator" w:id="0">
    <w:p w14:paraId="6CA6ACCB" w14:textId="77777777" w:rsidR="00497535" w:rsidRDefault="00497535">
      <w:pPr>
        <w:spacing w:before="0" w:line="240" w:lineRule="auto"/>
        <w:ind w:left="0" w:hanging="2"/>
      </w:pPr>
      <w:r>
        <w:continuationSeparator/>
      </w:r>
    </w:p>
  </w:footnote>
  <w:footnote w:id="1">
    <w:p w14:paraId="0D79BF3A" w14:textId="77777777" w:rsidR="00AD5AB6" w:rsidRDefault="00497535">
      <w:pPr>
        <w:pBdr>
          <w:top w:val="nil"/>
          <w:left w:val="nil"/>
          <w:bottom w:val="nil"/>
          <w:right w:val="nil"/>
          <w:between w:val="nil"/>
        </w:pBdr>
        <w:spacing w:before="0" w:line="240" w:lineRule="auto"/>
        <w:ind w:left="0" w:hanging="2"/>
        <w:rPr>
          <w:color w:val="000000"/>
          <w:sz w:val="20"/>
          <w:szCs w:val="20"/>
        </w:rPr>
      </w:pPr>
      <w:r>
        <w:rPr>
          <w:vertAlign w:val="superscript"/>
        </w:rPr>
        <w:footnoteRef/>
      </w:r>
      <w:r>
        <w:rPr>
          <w:color w:val="000000"/>
          <w:sz w:val="20"/>
          <w:szCs w:val="20"/>
        </w:rPr>
        <w:t xml:space="preserve"> Corte Interamericana de Derechos Humanos. Caso Chitay Nech y otros vs. Guatemala. Sentencia de 25 de Mayo de 2010 Excepciones Preliminares, Fondo, Reparaciones y Costas. Párrafo 140.</w:t>
      </w:r>
    </w:p>
  </w:footnote>
  <w:footnote w:id="2">
    <w:p w14:paraId="12A9D5EF" w14:textId="77777777" w:rsidR="00AD5AB6" w:rsidRDefault="00497535">
      <w:pPr>
        <w:pBdr>
          <w:top w:val="nil"/>
          <w:left w:val="nil"/>
          <w:bottom w:val="nil"/>
          <w:right w:val="nil"/>
          <w:between w:val="nil"/>
        </w:pBdr>
        <w:spacing w:before="0" w:line="240" w:lineRule="auto"/>
        <w:ind w:left="0" w:hanging="2"/>
        <w:rPr>
          <w:color w:val="000000"/>
          <w:sz w:val="20"/>
          <w:szCs w:val="20"/>
        </w:rPr>
      </w:pPr>
      <w:r>
        <w:rPr>
          <w:vertAlign w:val="superscript"/>
        </w:rPr>
        <w:footnoteRef/>
      </w:r>
      <w:r>
        <w:rPr>
          <w:color w:val="000000"/>
          <w:sz w:val="20"/>
          <w:szCs w:val="20"/>
        </w:rPr>
        <w:t xml:space="preserve"> Dictamen de la Comisión de Justicia de fecha 19 de diciembre de 2022 p10 y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AA78" w14:textId="77777777" w:rsidR="00DB0028" w:rsidRDefault="00DB0028">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2CBF" w14:textId="77777777" w:rsidR="00AD5AB6" w:rsidRDefault="00AD5AB6">
    <w:pPr>
      <w:pBdr>
        <w:top w:val="nil"/>
        <w:left w:val="nil"/>
        <w:bottom w:val="nil"/>
        <w:right w:val="nil"/>
        <w:between w:val="nil"/>
      </w:pBdr>
      <w:tabs>
        <w:tab w:val="center" w:pos="4419"/>
        <w:tab w:val="right" w:pos="8838"/>
      </w:tabs>
      <w:spacing w:before="0" w:line="240" w:lineRule="auto"/>
      <w:ind w:left="0" w:hanging="2"/>
      <w:jc w:val="right"/>
      <w:rPr>
        <w:rFonts w:ascii="Arial" w:eastAsia="Arial" w:hAnsi="Arial" w:cs="Arial"/>
        <w:color w:val="000000"/>
        <w:sz w:val="20"/>
        <w:szCs w:val="20"/>
      </w:rPr>
    </w:pPr>
  </w:p>
  <w:p w14:paraId="3C1A432D" w14:textId="77777777" w:rsidR="00AD5AB6" w:rsidRDefault="00AD5AB6">
    <w:pPr>
      <w:pBdr>
        <w:top w:val="nil"/>
        <w:left w:val="nil"/>
        <w:bottom w:val="nil"/>
        <w:right w:val="nil"/>
        <w:between w:val="nil"/>
      </w:pBdr>
      <w:tabs>
        <w:tab w:val="center" w:pos="4419"/>
        <w:tab w:val="right" w:pos="8838"/>
      </w:tabs>
      <w:spacing w:before="0" w:line="240" w:lineRule="auto"/>
      <w:ind w:left="0" w:hanging="2"/>
      <w:jc w:val="right"/>
      <w:rPr>
        <w:rFonts w:ascii="Arial" w:eastAsia="Arial" w:hAnsi="Arial" w:cs="Arial"/>
        <w:color w:val="000000"/>
        <w:sz w:val="20"/>
        <w:szCs w:val="20"/>
      </w:rPr>
    </w:pPr>
  </w:p>
  <w:p w14:paraId="568FDA21" w14:textId="77777777" w:rsidR="00AD5AB6" w:rsidRDefault="00AD5AB6">
    <w:pPr>
      <w:pBdr>
        <w:top w:val="nil"/>
        <w:left w:val="nil"/>
        <w:bottom w:val="nil"/>
        <w:right w:val="nil"/>
        <w:between w:val="nil"/>
      </w:pBdr>
      <w:tabs>
        <w:tab w:val="center" w:pos="4419"/>
        <w:tab w:val="right" w:pos="8838"/>
      </w:tabs>
      <w:spacing w:before="0" w:line="240" w:lineRule="auto"/>
      <w:ind w:left="0" w:hanging="2"/>
      <w:rPr>
        <w:color w:val="000000"/>
        <w:sz w:val="20"/>
        <w:szCs w:val="20"/>
      </w:rPr>
    </w:pPr>
  </w:p>
  <w:p w14:paraId="67B01A73" w14:textId="77777777" w:rsidR="00AD5AB6" w:rsidRDefault="00AD5AB6">
    <w:pPr>
      <w:pBdr>
        <w:top w:val="nil"/>
        <w:left w:val="nil"/>
        <w:bottom w:val="nil"/>
        <w:right w:val="nil"/>
        <w:between w:val="nil"/>
      </w:pBdr>
      <w:tabs>
        <w:tab w:val="center" w:pos="4419"/>
        <w:tab w:val="right" w:pos="8838"/>
      </w:tabs>
      <w:spacing w:before="0" w:line="240" w:lineRule="auto"/>
      <w:ind w:left="0" w:hanging="2"/>
      <w:jc w:val="right"/>
      <w:rPr>
        <w:rFonts w:ascii="Arial" w:eastAsia="Arial" w:hAnsi="Arial" w:cs="Arial"/>
        <w:color w:val="000000"/>
        <w:sz w:val="20"/>
        <w:szCs w:val="20"/>
      </w:rPr>
    </w:pPr>
  </w:p>
  <w:p w14:paraId="69F38E48" w14:textId="77777777" w:rsidR="00AD5AB6" w:rsidRDefault="00AD5AB6">
    <w:pPr>
      <w:pBdr>
        <w:top w:val="nil"/>
        <w:left w:val="nil"/>
        <w:bottom w:val="nil"/>
        <w:right w:val="nil"/>
        <w:between w:val="nil"/>
      </w:pBdr>
      <w:tabs>
        <w:tab w:val="center" w:pos="4419"/>
        <w:tab w:val="right" w:pos="8838"/>
      </w:tabs>
      <w:spacing w:before="0" w:line="240" w:lineRule="auto"/>
      <w:ind w:left="0" w:hanging="2"/>
      <w:jc w:val="right"/>
      <w:rPr>
        <w:color w:val="000000"/>
        <w:sz w:val="20"/>
        <w:szCs w:val="20"/>
      </w:rPr>
    </w:pPr>
  </w:p>
  <w:p w14:paraId="3FA65E90" w14:textId="77777777" w:rsidR="00AD5AB6" w:rsidRDefault="00AD5AB6">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D443" w14:textId="77777777" w:rsidR="00DB0028" w:rsidRDefault="00DB0028">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B6"/>
    <w:rsid w:val="001B49F2"/>
    <w:rsid w:val="00497535"/>
    <w:rsid w:val="005D3D20"/>
    <w:rsid w:val="00973B64"/>
    <w:rsid w:val="00AD5AB6"/>
    <w:rsid w:val="00DB0028"/>
    <w:rsid w:val="00DC60D7"/>
    <w:rsid w:val="00E342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A844"/>
  <w15:docId w15:val="{F52E4CF9-57AF-4B0A-9CE5-0F5370C2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before="24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after="40"/>
      <w:outlineLvl w:val="3"/>
    </w:pPr>
    <w:rPr>
      <w:b/>
      <w:sz w:val="24"/>
      <w:szCs w:val="24"/>
    </w:rPr>
  </w:style>
  <w:style w:type="paragraph" w:styleId="Ttulo5">
    <w:name w:val="heading 5"/>
    <w:basedOn w:val="Normal"/>
    <w:next w:val="Normal"/>
    <w:pPr>
      <w:keepNext/>
      <w:spacing w:before="0" w:line="240" w:lineRule="auto"/>
      <w:outlineLvl w:val="4"/>
    </w:pPr>
    <w:rPr>
      <w:rFonts w:ascii="Times New Roman" w:eastAsia="Times New Roman" w:hAnsi="Times New Roman"/>
      <w:b/>
      <w:sz w:val="28"/>
      <w:szCs w:val="20"/>
      <w:lang w:eastAsia="es-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notapie">
    <w:name w:val="footnote text"/>
    <w:basedOn w:val="Normal"/>
    <w:qFormat/>
    <w:pPr>
      <w:spacing w:before="0" w:line="240" w:lineRule="auto"/>
    </w:pPr>
    <w:rPr>
      <w:sz w:val="20"/>
      <w:szCs w:val="20"/>
    </w:rPr>
  </w:style>
  <w:style w:type="character" w:customStyle="1" w:styleId="TextonotapieCar">
    <w:name w:val="Texto nota pie Car"/>
    <w:rPr>
      <w:rFonts w:ascii="Calibri" w:eastAsia="Calibri" w:hAnsi="Calibri" w:cs="Times New Roman"/>
      <w:w w:val="100"/>
      <w:position w:val="-1"/>
      <w:sz w:val="20"/>
      <w:szCs w:val="20"/>
      <w:effect w:val="none"/>
      <w:vertAlign w:val="baseline"/>
      <w:cs w:val="0"/>
      <w:em w:val="none"/>
    </w:rPr>
  </w:style>
  <w:style w:type="character" w:customStyle="1" w:styleId="Refdenotaalpie1">
    <w:name w:val="Ref. de nota al pie1"/>
    <w:aliases w:val="Ref. de nota al pie 2,Footnotes refss,Texto de nota al pie,Appel note de bas de page,referencia nota al pie,BVI fnr,Footnote number,f,4_G,16 Point,Superscript 6 Point,Texto nota al pie,Footnote Reference Char3,julio,Ref"/>
    <w:qFormat/>
    <w:rPr>
      <w:w w:val="100"/>
      <w:position w:val="-1"/>
      <w:effect w:val="none"/>
      <w:vertAlign w:val="superscript"/>
      <w:cs w:val="0"/>
      <w:em w:val="none"/>
    </w:rPr>
  </w:style>
  <w:style w:type="character" w:styleId="Hipervnculo">
    <w:name w:val="Hyperlink"/>
    <w:qFormat/>
    <w:rPr>
      <w:color w:val="0000FF"/>
      <w:w w:val="100"/>
      <w:position w:val="-1"/>
      <w:u w:val="single"/>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rFonts w:ascii="Calibri" w:eastAsia="Calibri" w:hAnsi="Calibri" w:cs="Times New Roman"/>
      <w:w w:val="100"/>
      <w:position w:val="-1"/>
      <w:sz w:val="20"/>
      <w:szCs w:val="20"/>
      <w:effect w:val="none"/>
      <w:vertAlign w:val="baseline"/>
      <w:cs w:val="0"/>
      <w:em w:val="none"/>
      <w:lang w:val="es-ES"/>
    </w:rPr>
  </w:style>
  <w:style w:type="paragraph" w:styleId="Textodeglobo">
    <w:name w:val="Balloon Text"/>
    <w:basedOn w:val="Normal"/>
    <w:qFormat/>
    <w:pPr>
      <w:spacing w:before="0" w:line="240" w:lineRule="auto"/>
    </w:pPr>
    <w:rPr>
      <w:rFonts w:ascii="Segoe UI" w:hAnsi="Segoe UI"/>
      <w:sz w:val="18"/>
      <w:szCs w:val="18"/>
    </w:rPr>
  </w:style>
  <w:style w:type="character" w:customStyle="1" w:styleId="TextodegloboCar">
    <w:name w:val="Texto de globo Car"/>
    <w:rPr>
      <w:rFonts w:ascii="Segoe UI" w:eastAsia="Calibri" w:hAnsi="Segoe UI" w:cs="Segoe UI"/>
      <w:w w:val="100"/>
      <w:position w:val="-1"/>
      <w:sz w:val="18"/>
      <w:szCs w:val="18"/>
      <w:effect w:val="none"/>
      <w:vertAlign w:val="baseline"/>
      <w:cs w:val="0"/>
      <w:em w:val="none"/>
      <w:lang w:val="es-ES"/>
    </w:rPr>
  </w:style>
  <w:style w:type="paragraph" w:styleId="HTMLconformatoprevio">
    <w:name w:val="HTML Preformatted"/>
    <w:basedOn w:val="Normal"/>
    <w:qFormat/>
    <w:pPr>
      <w:spacing w:before="0" w:line="240" w:lineRule="auto"/>
    </w:pPr>
    <w:rPr>
      <w:rFonts w:ascii="Consolas" w:hAnsi="Consolas"/>
      <w:sz w:val="20"/>
      <w:szCs w:val="20"/>
    </w:rPr>
  </w:style>
  <w:style w:type="character" w:customStyle="1" w:styleId="HTMLconformatoprevioCar">
    <w:name w:val="HTML con formato previo Car"/>
    <w:rPr>
      <w:rFonts w:ascii="Consolas" w:eastAsia="Calibri" w:hAnsi="Consolas" w:cs="Times New Roman"/>
      <w:w w:val="100"/>
      <w:position w:val="-1"/>
      <w:sz w:val="20"/>
      <w:szCs w:val="20"/>
      <w:effect w:val="none"/>
      <w:vertAlign w:val="baseline"/>
      <w:cs w:val="0"/>
      <w:em w:val="none"/>
      <w:lang w:val="es-ES"/>
    </w:rPr>
  </w:style>
  <w:style w:type="character" w:customStyle="1" w:styleId="ilfuvd">
    <w:name w:val="ilfuvd"/>
    <w:rPr>
      <w:w w:val="100"/>
      <w:position w:val="-1"/>
      <w:effect w:val="none"/>
      <w:vertAlign w:val="baseline"/>
      <w:cs w:val="0"/>
      <w:em w:val="none"/>
    </w:rPr>
  </w:style>
  <w:style w:type="paragraph" w:customStyle="1" w:styleId="Texto">
    <w:name w:val="Texto"/>
    <w:basedOn w:val="Normal"/>
    <w:pPr>
      <w:spacing w:before="0" w:after="101" w:line="216" w:lineRule="atLeast"/>
      <w:ind w:firstLine="288"/>
    </w:pPr>
    <w:rPr>
      <w:rFonts w:ascii="Arial" w:eastAsia="Times New Roman" w:hAnsi="Arial" w:cs="Arial"/>
      <w:sz w:val="18"/>
      <w:szCs w:val="18"/>
      <w:lang w:val="es-MX" w:eastAsia="es-ES"/>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Asuntodelcomentario">
    <w:name w:val="annotation subject"/>
    <w:basedOn w:val="Textocomentario"/>
    <w:next w:val="Textocomentario"/>
    <w:qFormat/>
    <w:pPr>
      <w:spacing w:line="240" w:lineRule="auto"/>
    </w:pPr>
    <w:rPr>
      <w:b/>
      <w:bCs/>
    </w:rPr>
  </w:style>
  <w:style w:type="character" w:customStyle="1" w:styleId="AsuntodelcomentarioCar">
    <w:name w:val="Asunto del comentario Car"/>
    <w:rPr>
      <w:rFonts w:ascii="Calibri" w:eastAsia="Calibri" w:hAnsi="Calibri" w:cs="Times New Roman"/>
      <w:b/>
      <w:bCs/>
      <w:w w:val="100"/>
      <w:position w:val="-1"/>
      <w:sz w:val="20"/>
      <w:szCs w:val="20"/>
      <w:effect w:val="none"/>
      <w:vertAlign w:val="baseline"/>
      <w:cs w:val="0"/>
      <w:em w:val="none"/>
      <w:lang w:val="es-ES"/>
    </w:rPr>
  </w:style>
  <w:style w:type="character" w:customStyle="1" w:styleId="Ttulo5Car">
    <w:name w:val="Título 5 Car"/>
    <w:rPr>
      <w:rFonts w:ascii="Times New Roman" w:eastAsia="Times New Roman" w:hAnsi="Times New Roman" w:cs="Times New Roman"/>
      <w:b/>
      <w:w w:val="100"/>
      <w:position w:val="-1"/>
      <w:sz w:val="28"/>
      <w:szCs w:val="20"/>
      <w:effect w:val="none"/>
      <w:vertAlign w:val="baseline"/>
      <w:cs w:val="0"/>
      <w:em w:val="none"/>
      <w:lang w:val="es-ES" w:eastAsia="es-ES"/>
    </w:rPr>
  </w:style>
  <w:style w:type="paragraph" w:styleId="Encabezado">
    <w:name w:val="header"/>
    <w:basedOn w:val="Normal"/>
    <w:qFormat/>
    <w:pPr>
      <w:tabs>
        <w:tab w:val="center" w:pos="4419"/>
        <w:tab w:val="right" w:pos="8838"/>
      </w:tabs>
      <w:spacing w:before="0" w:line="240" w:lineRule="auto"/>
    </w:pPr>
    <w:rPr>
      <w:sz w:val="20"/>
      <w:szCs w:val="20"/>
    </w:rPr>
  </w:style>
  <w:style w:type="character" w:customStyle="1" w:styleId="EncabezadoCar">
    <w:name w:val="Encabezado Car"/>
    <w:rPr>
      <w:rFonts w:ascii="Calibri" w:eastAsia="Calibri" w:hAnsi="Calibri" w:cs="Times New Roman"/>
      <w:w w:val="100"/>
      <w:position w:val="-1"/>
      <w:effect w:val="none"/>
      <w:vertAlign w:val="baseline"/>
      <w:cs w:val="0"/>
      <w:em w:val="none"/>
      <w:lang w:val="es-ES"/>
    </w:rPr>
  </w:style>
  <w:style w:type="paragraph" w:styleId="Piedepgina">
    <w:name w:val="footer"/>
    <w:basedOn w:val="Normal"/>
    <w:qFormat/>
    <w:pPr>
      <w:tabs>
        <w:tab w:val="center" w:pos="4419"/>
        <w:tab w:val="right" w:pos="8838"/>
      </w:tabs>
      <w:spacing w:before="0" w:line="240" w:lineRule="auto"/>
    </w:pPr>
    <w:rPr>
      <w:sz w:val="20"/>
      <w:szCs w:val="20"/>
    </w:rPr>
  </w:style>
  <w:style w:type="character" w:customStyle="1" w:styleId="PiedepginaCar">
    <w:name w:val="Pie de página Car"/>
    <w:rPr>
      <w:rFonts w:ascii="Calibri" w:eastAsia="Calibri" w:hAnsi="Calibri" w:cs="Times New Roman"/>
      <w:w w:val="100"/>
      <w:position w:val="-1"/>
      <w:effect w:val="none"/>
      <w:vertAlign w:val="baseline"/>
      <w:cs w:val="0"/>
      <w:em w:val="none"/>
      <w:lang w:val="es-ES"/>
    </w:rPr>
  </w:style>
  <w:style w:type="paragraph" w:styleId="Textoindependiente3">
    <w:name w:val="Body Text 3"/>
    <w:basedOn w:val="Normal"/>
    <w:pPr>
      <w:spacing w:before="0" w:line="240" w:lineRule="auto"/>
      <w:ind w:right="284"/>
    </w:pPr>
    <w:rPr>
      <w:rFonts w:ascii="Arial" w:eastAsia="Times New Roman" w:hAnsi="Arial"/>
      <w:b/>
      <w:sz w:val="24"/>
      <w:szCs w:val="20"/>
    </w:rPr>
  </w:style>
  <w:style w:type="character" w:customStyle="1" w:styleId="Textoindependiente3Car">
    <w:name w:val="Texto independiente 3 Car"/>
    <w:rPr>
      <w:rFonts w:ascii="Arial" w:eastAsia="Times New Roman" w:hAnsi="Arial"/>
      <w:b/>
      <w:w w:val="100"/>
      <w:position w:val="-1"/>
      <w:sz w:val="24"/>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cp:lastPrinted>2023-01-18T20:25:00Z</cp:lastPrinted>
  <dcterms:created xsi:type="dcterms:W3CDTF">2023-01-19T15:11:00Z</dcterms:created>
  <dcterms:modified xsi:type="dcterms:W3CDTF">2023-01-19T15:11:00Z</dcterms:modified>
</cp:coreProperties>
</file>