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66C9" w14:textId="77777777" w:rsidR="0077463D" w:rsidRPr="00CF22AB" w:rsidRDefault="0077463D" w:rsidP="0077463D">
      <w:pPr>
        <w:tabs>
          <w:tab w:val="left" w:pos="5123"/>
        </w:tabs>
        <w:spacing w:line="480" w:lineRule="auto"/>
        <w:ind w:left="720"/>
        <w:jc w:val="both"/>
        <w:rPr>
          <w:rFonts w:ascii="Century Gothic" w:eastAsia="Century Gothic" w:hAnsi="Century Gothic" w:cs="Century Gothic"/>
          <w:b/>
          <w:sz w:val="22"/>
          <w:szCs w:val="22"/>
        </w:rPr>
      </w:pPr>
      <w:r w:rsidRPr="00CF22AB">
        <w:rPr>
          <w:rFonts w:ascii="Century Gothic" w:eastAsia="Century Gothic" w:hAnsi="Century Gothic" w:cs="Century Gothic"/>
          <w:b/>
          <w:sz w:val="22"/>
          <w:szCs w:val="22"/>
        </w:rPr>
        <w:t>H. CONGRESO DEL ESTADO DE CHIHUAHUA</w:t>
      </w:r>
      <w:r w:rsidRPr="00CF22AB">
        <w:rPr>
          <w:rFonts w:ascii="Century Gothic" w:eastAsia="Century Gothic" w:hAnsi="Century Gothic" w:cs="Century Gothic"/>
          <w:b/>
          <w:sz w:val="22"/>
          <w:szCs w:val="22"/>
        </w:rPr>
        <w:tab/>
        <w:t xml:space="preserve"> </w:t>
      </w:r>
    </w:p>
    <w:p w14:paraId="569112D9" w14:textId="77777777" w:rsidR="0077463D" w:rsidRPr="00CF22AB" w:rsidRDefault="0077463D" w:rsidP="0077463D">
      <w:pPr>
        <w:spacing w:line="480" w:lineRule="auto"/>
        <w:ind w:left="720"/>
        <w:jc w:val="both"/>
        <w:rPr>
          <w:rFonts w:ascii="Century Gothic" w:eastAsia="Century Gothic" w:hAnsi="Century Gothic" w:cs="Century Gothic"/>
          <w:b/>
          <w:sz w:val="22"/>
          <w:szCs w:val="22"/>
        </w:rPr>
      </w:pPr>
      <w:r w:rsidRPr="00CF22AB">
        <w:rPr>
          <w:rFonts w:ascii="Century Gothic" w:eastAsia="Century Gothic" w:hAnsi="Century Gothic" w:cs="Century Gothic"/>
          <w:b/>
          <w:sz w:val="22"/>
          <w:szCs w:val="22"/>
        </w:rPr>
        <w:t>P R E S E N T E.</w:t>
      </w:r>
    </w:p>
    <w:p w14:paraId="168CE2E8" w14:textId="061B5729" w:rsidR="0077463D" w:rsidRPr="006035A1" w:rsidRDefault="0077463D" w:rsidP="0077463D">
      <w:pPr>
        <w:spacing w:line="360" w:lineRule="auto"/>
        <w:ind w:left="709"/>
        <w:jc w:val="both"/>
        <w:rPr>
          <w:rFonts w:ascii="Century Gothic" w:hAnsi="Century Gothic"/>
          <w:sz w:val="22"/>
          <w:szCs w:val="22"/>
        </w:rPr>
      </w:pPr>
      <w:r w:rsidRPr="006035A1">
        <w:rPr>
          <w:rFonts w:ascii="Century Gothic" w:eastAsia="Century Gothic" w:hAnsi="Century Gothic" w:cs="Century Gothic"/>
          <w:sz w:val="22"/>
          <w:szCs w:val="22"/>
        </w:rPr>
        <w:t xml:space="preserve">Los que suscriben, Edin Cuauhtémoc Estrada Sotelo, Óscar Daniel Avitia Arellanes, Rosana Díaz Reyes, Gustavo De la Rosa </w:t>
      </w:r>
      <w:proofErr w:type="spellStart"/>
      <w:r w:rsidRPr="006035A1">
        <w:rPr>
          <w:rFonts w:ascii="Century Gothic" w:eastAsia="Century Gothic" w:hAnsi="Century Gothic" w:cs="Century Gothic"/>
          <w:sz w:val="22"/>
          <w:szCs w:val="22"/>
        </w:rPr>
        <w:t>Hickerson</w:t>
      </w:r>
      <w:proofErr w:type="spellEnd"/>
      <w:r w:rsidRPr="006035A1">
        <w:rPr>
          <w:rFonts w:ascii="Century Gothic" w:eastAsia="Century Gothic" w:hAnsi="Century Gothic" w:cs="Century Gothic"/>
          <w:sz w:val="22"/>
          <w:szCs w:val="22"/>
        </w:rPr>
        <w:t xml:space="preserve">, Ilse América García Soto, Magdalena Rentería Pérez, María Antonieta Pérez Reyes, Benjamín Carrera Chávez, David Óscar Castrejón Rivas y Leticia Ortega Máynez,  en nuestro carácter de Diputadas y Diputados de la Sexagésima Séptima Legislatura del Honorable Congreso del Estado de Chihuahua e integrantes del Grupo Parlamentario de Morena, </w:t>
      </w:r>
      <w:r w:rsidRPr="006035A1">
        <w:rPr>
          <w:rFonts w:ascii="Century Gothic" w:eastAsia="Century Gothic" w:hAnsi="Century Gothic" w:cs="Century Gothic"/>
          <w:bCs/>
          <w:sz w:val="22"/>
          <w:szCs w:val="22"/>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Pr="006035A1">
        <w:rPr>
          <w:rFonts w:ascii="Century Gothic" w:eastAsia="Century Gothic" w:hAnsi="Century Gothic" w:cs="Century Gothic"/>
          <w:b/>
          <w:sz w:val="22"/>
          <w:szCs w:val="22"/>
        </w:rPr>
        <w:t xml:space="preserve">proposición con carácter de Punto de Acuerdo a efecto de exhortar </w:t>
      </w:r>
      <w:r w:rsidRPr="006035A1">
        <w:rPr>
          <w:rFonts w:ascii="Century Gothic" w:hAnsi="Century Gothic"/>
          <w:b/>
          <w:bCs/>
          <w:sz w:val="22"/>
          <w:szCs w:val="22"/>
        </w:rPr>
        <w:t xml:space="preserve">a la </w:t>
      </w:r>
      <w:r w:rsidR="00B07B70">
        <w:rPr>
          <w:rFonts w:ascii="Century Gothic" w:hAnsi="Century Gothic"/>
          <w:b/>
          <w:bCs/>
          <w:sz w:val="22"/>
          <w:szCs w:val="22"/>
        </w:rPr>
        <w:t xml:space="preserve">titular del Poder Ejecutivo del Estado </w:t>
      </w:r>
      <w:r w:rsidR="00211050">
        <w:rPr>
          <w:rFonts w:ascii="Century Gothic" w:hAnsi="Century Gothic"/>
          <w:b/>
          <w:bCs/>
          <w:sz w:val="22"/>
          <w:szCs w:val="22"/>
        </w:rPr>
        <w:t>así</w:t>
      </w:r>
      <w:r w:rsidR="00B07B70">
        <w:rPr>
          <w:rFonts w:ascii="Century Gothic" w:hAnsi="Century Gothic"/>
          <w:b/>
          <w:bCs/>
          <w:sz w:val="22"/>
          <w:szCs w:val="22"/>
        </w:rPr>
        <w:t xml:space="preserve"> como al Secretario de Hacienda</w:t>
      </w:r>
      <w:r w:rsidR="00211050">
        <w:rPr>
          <w:rFonts w:ascii="Century Gothic" w:hAnsi="Century Gothic"/>
          <w:b/>
          <w:bCs/>
          <w:sz w:val="22"/>
          <w:szCs w:val="22"/>
        </w:rPr>
        <w:t xml:space="preserve"> </w:t>
      </w:r>
      <w:r w:rsidR="00393495">
        <w:rPr>
          <w:rFonts w:ascii="Century Gothic" w:hAnsi="Century Gothic"/>
          <w:b/>
          <w:bCs/>
          <w:sz w:val="22"/>
          <w:szCs w:val="22"/>
        </w:rPr>
        <w:t xml:space="preserve">del Estado </w:t>
      </w:r>
      <w:r w:rsidR="00211050">
        <w:rPr>
          <w:rFonts w:ascii="Century Gothic" w:hAnsi="Century Gothic"/>
          <w:b/>
          <w:bCs/>
          <w:sz w:val="22"/>
          <w:szCs w:val="22"/>
        </w:rPr>
        <w:t xml:space="preserve">para que en el presupuesto del </w:t>
      </w:r>
      <w:r w:rsidR="00393495">
        <w:rPr>
          <w:rFonts w:ascii="Century Gothic" w:hAnsi="Century Gothic"/>
          <w:b/>
          <w:bCs/>
          <w:sz w:val="22"/>
          <w:szCs w:val="22"/>
        </w:rPr>
        <w:t xml:space="preserve">año fiscal </w:t>
      </w:r>
      <w:r w:rsidR="00211050">
        <w:rPr>
          <w:rFonts w:ascii="Century Gothic" w:hAnsi="Century Gothic"/>
          <w:b/>
          <w:bCs/>
          <w:sz w:val="22"/>
          <w:szCs w:val="22"/>
        </w:rPr>
        <w:t xml:space="preserve">2023 destinen un </w:t>
      </w:r>
      <w:r w:rsidR="00E63A35">
        <w:rPr>
          <w:rFonts w:ascii="Century Gothic" w:hAnsi="Century Gothic"/>
          <w:b/>
          <w:bCs/>
          <w:sz w:val="22"/>
          <w:szCs w:val="22"/>
        </w:rPr>
        <w:t>recurso suficiente y progresivo a los</w:t>
      </w:r>
      <w:r w:rsidR="00211050">
        <w:rPr>
          <w:rFonts w:ascii="Century Gothic" w:hAnsi="Century Gothic"/>
          <w:b/>
          <w:bCs/>
          <w:sz w:val="22"/>
          <w:szCs w:val="22"/>
        </w:rPr>
        <w:t xml:space="preserve"> </w:t>
      </w:r>
      <w:r w:rsidR="00393495">
        <w:rPr>
          <w:rFonts w:ascii="Century Gothic" w:hAnsi="Century Gothic"/>
          <w:b/>
          <w:bCs/>
          <w:sz w:val="22"/>
          <w:szCs w:val="22"/>
        </w:rPr>
        <w:t>P</w:t>
      </w:r>
      <w:r w:rsidR="00211050">
        <w:rPr>
          <w:rFonts w:ascii="Century Gothic" w:hAnsi="Century Gothic"/>
          <w:b/>
          <w:bCs/>
          <w:sz w:val="22"/>
          <w:szCs w:val="22"/>
        </w:rPr>
        <w:t xml:space="preserve">rogramas de </w:t>
      </w:r>
      <w:r w:rsidR="00393495">
        <w:rPr>
          <w:rFonts w:ascii="Century Gothic" w:hAnsi="Century Gothic"/>
          <w:b/>
          <w:bCs/>
          <w:sz w:val="22"/>
          <w:szCs w:val="22"/>
        </w:rPr>
        <w:t>A</w:t>
      </w:r>
      <w:r w:rsidR="00211050">
        <w:rPr>
          <w:rFonts w:ascii="Century Gothic" w:hAnsi="Century Gothic"/>
          <w:b/>
          <w:bCs/>
          <w:sz w:val="22"/>
          <w:szCs w:val="22"/>
        </w:rPr>
        <w:t xml:space="preserve">tención a </w:t>
      </w:r>
      <w:r w:rsidR="00393495">
        <w:rPr>
          <w:rFonts w:ascii="Century Gothic" w:hAnsi="Century Gothic"/>
          <w:b/>
          <w:bCs/>
          <w:sz w:val="22"/>
          <w:szCs w:val="22"/>
        </w:rPr>
        <w:t>M</w:t>
      </w:r>
      <w:r w:rsidR="00211050">
        <w:rPr>
          <w:rFonts w:ascii="Century Gothic" w:hAnsi="Century Gothic"/>
          <w:b/>
          <w:bCs/>
          <w:sz w:val="22"/>
          <w:szCs w:val="22"/>
        </w:rPr>
        <w:t xml:space="preserve">ujeres </w:t>
      </w:r>
      <w:r w:rsidR="00393495">
        <w:rPr>
          <w:rFonts w:ascii="Century Gothic" w:hAnsi="Century Gothic"/>
          <w:b/>
          <w:bCs/>
          <w:sz w:val="22"/>
          <w:szCs w:val="22"/>
        </w:rPr>
        <w:t>V</w:t>
      </w:r>
      <w:r w:rsidR="00211050">
        <w:rPr>
          <w:rFonts w:ascii="Century Gothic" w:hAnsi="Century Gothic"/>
          <w:b/>
          <w:bCs/>
          <w:sz w:val="22"/>
          <w:szCs w:val="22"/>
        </w:rPr>
        <w:t xml:space="preserve">íctimas del </w:t>
      </w:r>
      <w:r w:rsidR="00393495">
        <w:rPr>
          <w:rFonts w:ascii="Century Gothic" w:hAnsi="Century Gothic"/>
          <w:b/>
          <w:bCs/>
          <w:sz w:val="22"/>
          <w:szCs w:val="22"/>
        </w:rPr>
        <w:t>D</w:t>
      </w:r>
      <w:r w:rsidR="00211050">
        <w:rPr>
          <w:rFonts w:ascii="Century Gothic" w:hAnsi="Century Gothic"/>
          <w:b/>
          <w:bCs/>
          <w:sz w:val="22"/>
          <w:szCs w:val="22"/>
        </w:rPr>
        <w:t>elito</w:t>
      </w:r>
      <w:r w:rsidRPr="006035A1">
        <w:rPr>
          <w:rFonts w:ascii="Century Gothic" w:hAnsi="Century Gothic"/>
          <w:b/>
          <w:bCs/>
          <w:sz w:val="22"/>
          <w:szCs w:val="22"/>
        </w:rPr>
        <w:t>,</w:t>
      </w:r>
      <w:r w:rsidR="00211050">
        <w:rPr>
          <w:rFonts w:ascii="Century Gothic" w:hAnsi="Century Gothic"/>
          <w:b/>
          <w:bCs/>
          <w:sz w:val="22"/>
          <w:szCs w:val="22"/>
        </w:rPr>
        <w:t xml:space="preserve"> </w:t>
      </w:r>
      <w:r w:rsidRPr="006035A1">
        <w:rPr>
          <w:rFonts w:ascii="Century Gothic" w:eastAsia="Century Gothic" w:hAnsi="Century Gothic" w:cs="Century Gothic"/>
          <w:sz w:val="22"/>
          <w:szCs w:val="22"/>
        </w:rPr>
        <w:t>lo</w:t>
      </w:r>
      <w:r w:rsidRPr="006035A1">
        <w:rPr>
          <w:rFonts w:ascii="Century Gothic" w:eastAsia="Century Gothic" w:hAnsi="Century Gothic" w:cs="Century Gothic"/>
          <w:b/>
          <w:bCs/>
          <w:sz w:val="22"/>
          <w:szCs w:val="22"/>
        </w:rPr>
        <w:t xml:space="preserve"> </w:t>
      </w:r>
      <w:r w:rsidRPr="006035A1">
        <w:rPr>
          <w:rFonts w:ascii="Century Gothic" w:eastAsia="Century Gothic" w:hAnsi="Century Gothic" w:cs="Century Gothic"/>
          <w:sz w:val="22"/>
          <w:szCs w:val="22"/>
        </w:rPr>
        <w:t>anterior bajo el sustento en la siguiente</w:t>
      </w:r>
      <w:r w:rsidRPr="006035A1">
        <w:rPr>
          <w:rFonts w:ascii="Century Gothic" w:eastAsia="Century Gothic" w:hAnsi="Century Gothic" w:cs="Century Gothic"/>
          <w:b/>
          <w:bCs/>
          <w:sz w:val="22"/>
          <w:szCs w:val="22"/>
        </w:rPr>
        <w:t>:</w:t>
      </w:r>
    </w:p>
    <w:p w14:paraId="35E98A1E" w14:textId="77777777" w:rsidR="0077463D" w:rsidRPr="006035A1" w:rsidRDefault="0077463D" w:rsidP="0077463D">
      <w:pPr>
        <w:spacing w:line="360" w:lineRule="auto"/>
        <w:jc w:val="both"/>
        <w:rPr>
          <w:rFonts w:ascii="Century Gothic" w:eastAsiaTheme="minorHAnsi" w:hAnsi="Century Gothic" w:cstheme="minorBidi"/>
          <w:b/>
          <w:sz w:val="22"/>
          <w:szCs w:val="22"/>
        </w:rPr>
      </w:pPr>
    </w:p>
    <w:p w14:paraId="5B645E57" w14:textId="77777777" w:rsidR="0077463D" w:rsidRPr="00CF22AB" w:rsidRDefault="0077463D" w:rsidP="0077463D">
      <w:pPr>
        <w:spacing w:line="480" w:lineRule="auto"/>
        <w:jc w:val="both"/>
        <w:rPr>
          <w:rFonts w:ascii="Century Gothic" w:eastAsia="Century Gothic" w:hAnsi="Century Gothic" w:cs="Century Gothic"/>
          <w:sz w:val="22"/>
          <w:szCs w:val="22"/>
        </w:rPr>
      </w:pPr>
    </w:p>
    <w:p w14:paraId="34840759" w14:textId="77777777" w:rsidR="0077463D" w:rsidRDefault="0077463D" w:rsidP="0077463D">
      <w:pPr>
        <w:spacing w:after="160" w:line="480" w:lineRule="auto"/>
        <w:ind w:left="709"/>
        <w:jc w:val="center"/>
        <w:rPr>
          <w:rFonts w:ascii="Century Gothic" w:eastAsia="Century Gothic" w:hAnsi="Century Gothic" w:cs="Century Gothic"/>
          <w:b/>
          <w:sz w:val="22"/>
          <w:szCs w:val="22"/>
        </w:rPr>
      </w:pPr>
      <w:r w:rsidRPr="00CF22AB">
        <w:rPr>
          <w:rFonts w:ascii="Century Gothic" w:eastAsia="Century Gothic" w:hAnsi="Century Gothic" w:cs="Century Gothic"/>
          <w:b/>
          <w:sz w:val="22"/>
          <w:szCs w:val="22"/>
        </w:rPr>
        <w:t>EXPOSICIÓN DE MOTIVOS</w:t>
      </w:r>
    </w:p>
    <w:p w14:paraId="221836B1" w14:textId="7F37D4FC" w:rsidR="00211050" w:rsidRDefault="00211050" w:rsidP="0077463D">
      <w:pPr>
        <w:spacing w:after="120" w:line="360" w:lineRule="auto"/>
        <w:ind w:left="851"/>
        <w:jc w:val="both"/>
        <w:rPr>
          <w:rFonts w:ascii="Century Gothic" w:hAnsi="Century Gothic"/>
          <w:sz w:val="22"/>
          <w:szCs w:val="22"/>
        </w:rPr>
      </w:pPr>
      <w:r>
        <w:rPr>
          <w:rFonts w:ascii="Century Gothic" w:hAnsi="Century Gothic"/>
          <w:sz w:val="22"/>
          <w:szCs w:val="22"/>
        </w:rPr>
        <w:t>El 25 de noviembre</w:t>
      </w:r>
      <w:r w:rsidR="00D12A6F">
        <w:rPr>
          <w:rFonts w:ascii="Century Gothic" w:hAnsi="Century Gothic"/>
          <w:sz w:val="22"/>
          <w:szCs w:val="22"/>
        </w:rPr>
        <w:t xml:space="preserve"> se conmemora el día internacional </w:t>
      </w:r>
      <w:r w:rsidR="00E63A35">
        <w:rPr>
          <w:rFonts w:ascii="Century Gothic" w:hAnsi="Century Gothic"/>
          <w:sz w:val="22"/>
          <w:szCs w:val="22"/>
        </w:rPr>
        <w:t>para</w:t>
      </w:r>
      <w:r w:rsidR="00D12A6F">
        <w:rPr>
          <w:rFonts w:ascii="Century Gothic" w:hAnsi="Century Gothic"/>
          <w:sz w:val="22"/>
          <w:szCs w:val="22"/>
        </w:rPr>
        <w:t xml:space="preserve"> la eliminación de la violencia contra la mujer, fecha asignada por la Asamblea General de las Naciones Unidas para denunciar la violencia contra las mujeres y demandar la generación de políticas y estrategias para su erradicación. </w:t>
      </w:r>
    </w:p>
    <w:p w14:paraId="5C4792DE" w14:textId="7A481928" w:rsidR="006900D9" w:rsidRPr="00822796" w:rsidRDefault="006900D9" w:rsidP="0077463D">
      <w:pPr>
        <w:spacing w:after="120" w:line="360" w:lineRule="auto"/>
        <w:ind w:left="851"/>
        <w:jc w:val="both"/>
        <w:rPr>
          <w:rFonts w:ascii="Century Gothic" w:hAnsi="Century Gothic"/>
          <w:sz w:val="22"/>
          <w:szCs w:val="22"/>
        </w:rPr>
      </w:pPr>
      <w:r>
        <w:rPr>
          <w:rFonts w:ascii="Century Gothic" w:hAnsi="Century Gothic"/>
          <w:sz w:val="22"/>
          <w:szCs w:val="22"/>
        </w:rPr>
        <w:t xml:space="preserve">En América Latina de acuerdo con lo que establece </w:t>
      </w:r>
      <w:r w:rsidRPr="00822796">
        <w:rPr>
          <w:rFonts w:ascii="Century Gothic" w:hAnsi="Century Gothic"/>
          <w:sz w:val="22"/>
          <w:szCs w:val="22"/>
        </w:rPr>
        <w:t xml:space="preserve">la </w:t>
      </w:r>
      <w:r w:rsidRPr="00822796">
        <w:rPr>
          <w:rFonts w:ascii="Century Gothic" w:hAnsi="Century Gothic"/>
          <w:color w:val="222222"/>
          <w:sz w:val="22"/>
          <w:szCs w:val="22"/>
          <w:shd w:val="clear" w:color="auto" w:fill="FFFFFF"/>
        </w:rPr>
        <w:t xml:space="preserve">Comisión Económica </w:t>
      </w:r>
      <w:r w:rsidR="00A83393">
        <w:rPr>
          <w:rFonts w:ascii="Century Gothic" w:hAnsi="Century Gothic"/>
          <w:color w:val="222222"/>
          <w:sz w:val="22"/>
          <w:szCs w:val="22"/>
          <w:shd w:val="clear" w:color="auto" w:fill="FFFFFF"/>
        </w:rPr>
        <w:t>p</w:t>
      </w:r>
      <w:r w:rsidRPr="00822796">
        <w:rPr>
          <w:rFonts w:ascii="Century Gothic" w:hAnsi="Century Gothic"/>
          <w:color w:val="222222"/>
          <w:sz w:val="22"/>
          <w:szCs w:val="22"/>
          <w:shd w:val="clear" w:color="auto" w:fill="FFFFFF"/>
        </w:rPr>
        <w:t>ara América Latina y el Carib</w:t>
      </w:r>
      <w:r w:rsidRPr="006900D9">
        <w:rPr>
          <w:rFonts w:ascii="Century Gothic" w:hAnsi="Century Gothic"/>
          <w:color w:val="222222"/>
          <w:sz w:val="24"/>
          <w:szCs w:val="24"/>
          <w:shd w:val="clear" w:color="auto" w:fill="FFFFFF"/>
        </w:rPr>
        <w:t xml:space="preserve">e </w:t>
      </w:r>
      <w:r w:rsidRPr="00822796">
        <w:rPr>
          <w:rFonts w:ascii="Century Gothic" w:hAnsi="Century Gothic"/>
          <w:color w:val="222222"/>
          <w:sz w:val="22"/>
          <w:szCs w:val="22"/>
          <w:shd w:val="clear" w:color="auto" w:fill="FFFFFF"/>
        </w:rPr>
        <w:t>(</w:t>
      </w:r>
      <w:r w:rsidR="00822796" w:rsidRPr="00822796">
        <w:rPr>
          <w:rFonts w:ascii="Century Gothic" w:hAnsi="Century Gothic"/>
          <w:color w:val="222222"/>
          <w:sz w:val="22"/>
          <w:szCs w:val="22"/>
          <w:shd w:val="clear" w:color="auto" w:fill="FFFFFF"/>
        </w:rPr>
        <w:t xml:space="preserve">la </w:t>
      </w:r>
      <w:r w:rsidRPr="00822796">
        <w:rPr>
          <w:rFonts w:ascii="Century Gothic" w:hAnsi="Century Gothic"/>
          <w:color w:val="222222"/>
          <w:sz w:val="22"/>
          <w:szCs w:val="22"/>
          <w:shd w:val="clear" w:color="auto" w:fill="FFFFFF"/>
        </w:rPr>
        <w:t>Cepal) se</w:t>
      </w:r>
      <w:r w:rsidRPr="00822796">
        <w:rPr>
          <w:rFonts w:ascii="Roboto" w:hAnsi="Roboto"/>
          <w:color w:val="222222"/>
          <w:sz w:val="22"/>
          <w:szCs w:val="22"/>
          <w:shd w:val="clear" w:color="auto" w:fill="FFFFFF"/>
        </w:rPr>
        <w:t xml:space="preserve"> </w:t>
      </w:r>
      <w:r w:rsidRPr="00822796">
        <w:rPr>
          <w:rFonts w:ascii="Century Gothic" w:hAnsi="Century Gothic"/>
          <w:color w:val="222222"/>
          <w:sz w:val="22"/>
          <w:szCs w:val="22"/>
          <w:shd w:val="clear" w:color="auto" w:fill="FFFFFF"/>
        </w:rPr>
        <w:t>asesinan</w:t>
      </w:r>
      <w:r w:rsidRPr="00822796">
        <w:rPr>
          <w:rFonts w:ascii="Century Gothic" w:hAnsi="Century Gothic"/>
          <w:sz w:val="22"/>
          <w:szCs w:val="22"/>
        </w:rPr>
        <w:t xml:space="preserve"> a 12 </w:t>
      </w:r>
      <w:r w:rsidRPr="00822796">
        <w:rPr>
          <w:rFonts w:ascii="Century Gothic" w:hAnsi="Century Gothic"/>
          <w:sz w:val="22"/>
          <w:szCs w:val="22"/>
        </w:rPr>
        <w:lastRenderedPageBreak/>
        <w:t xml:space="preserve">mujeres por </w:t>
      </w:r>
      <w:r w:rsidR="007908F3" w:rsidRPr="00822796">
        <w:rPr>
          <w:rFonts w:ascii="Century Gothic" w:hAnsi="Century Gothic"/>
          <w:sz w:val="22"/>
          <w:szCs w:val="22"/>
        </w:rPr>
        <w:t>día, eso</w:t>
      </w:r>
      <w:r w:rsidRPr="00822796">
        <w:rPr>
          <w:rFonts w:ascii="Century Gothic" w:hAnsi="Century Gothic"/>
          <w:sz w:val="22"/>
          <w:szCs w:val="22"/>
        </w:rPr>
        <w:t xml:space="preserve"> significa que cada dos horas una mujer es asesinada. </w:t>
      </w:r>
      <w:r w:rsidR="007C20B8" w:rsidRPr="00822796">
        <w:rPr>
          <w:rFonts w:ascii="Century Gothic" w:hAnsi="Century Gothic"/>
          <w:sz w:val="22"/>
          <w:szCs w:val="22"/>
        </w:rPr>
        <w:t>El feminicidio es la forma mas extrema de violencia contra la mujer. Sin embargo, existen diversos tipos y modalidades de violencia que se ejerce</w:t>
      </w:r>
      <w:r w:rsidR="00A83393">
        <w:rPr>
          <w:rFonts w:ascii="Century Gothic" w:hAnsi="Century Gothic"/>
          <w:sz w:val="22"/>
          <w:szCs w:val="22"/>
        </w:rPr>
        <w:t>n</w:t>
      </w:r>
      <w:r w:rsidR="007C20B8" w:rsidRPr="00822796">
        <w:rPr>
          <w:rFonts w:ascii="Century Gothic" w:hAnsi="Century Gothic"/>
          <w:sz w:val="22"/>
          <w:szCs w:val="22"/>
        </w:rPr>
        <w:t xml:space="preserve"> en contra de</w:t>
      </w:r>
      <w:r w:rsidR="00A83393">
        <w:rPr>
          <w:rFonts w:ascii="Century Gothic" w:hAnsi="Century Gothic"/>
          <w:sz w:val="22"/>
          <w:szCs w:val="22"/>
        </w:rPr>
        <w:t xml:space="preserve"> las</w:t>
      </w:r>
      <w:r w:rsidR="007C20B8" w:rsidRPr="00822796">
        <w:rPr>
          <w:rFonts w:ascii="Century Gothic" w:hAnsi="Century Gothic"/>
          <w:sz w:val="22"/>
          <w:szCs w:val="22"/>
        </w:rPr>
        <w:t xml:space="preserve"> mujeres, adolescentes y niñas y que hay que visibilizar, combatir y erradicar. </w:t>
      </w:r>
    </w:p>
    <w:p w14:paraId="17B15209" w14:textId="4AFCFF13" w:rsidR="003B577E" w:rsidRDefault="007C20B8" w:rsidP="003B577E">
      <w:pPr>
        <w:spacing w:after="120" w:line="360" w:lineRule="auto"/>
        <w:ind w:left="851"/>
        <w:jc w:val="both"/>
        <w:rPr>
          <w:rFonts w:ascii="Century Gothic" w:hAnsi="Century Gothic"/>
          <w:sz w:val="22"/>
          <w:szCs w:val="22"/>
        </w:rPr>
      </w:pPr>
      <w:r w:rsidRPr="007C20B8">
        <w:rPr>
          <w:rFonts w:ascii="Century Gothic" w:hAnsi="Century Gothic"/>
          <w:sz w:val="22"/>
          <w:szCs w:val="22"/>
        </w:rPr>
        <w:t xml:space="preserve">En Chihuahua las cifras de la violencia contra la mujer </w:t>
      </w:r>
      <w:r w:rsidR="00D07027">
        <w:rPr>
          <w:rFonts w:ascii="Century Gothic" w:hAnsi="Century Gothic"/>
          <w:sz w:val="22"/>
          <w:szCs w:val="22"/>
        </w:rPr>
        <w:t>continúan</w:t>
      </w:r>
      <w:r w:rsidRPr="007C20B8">
        <w:rPr>
          <w:rFonts w:ascii="Century Gothic" w:hAnsi="Century Gothic"/>
          <w:sz w:val="22"/>
          <w:szCs w:val="22"/>
        </w:rPr>
        <w:t xml:space="preserve"> en aumento</w:t>
      </w:r>
      <w:r w:rsidR="003B577E">
        <w:rPr>
          <w:rFonts w:ascii="Century Gothic" w:hAnsi="Century Gothic"/>
          <w:sz w:val="22"/>
          <w:szCs w:val="22"/>
        </w:rPr>
        <w:t xml:space="preserve">. </w:t>
      </w:r>
      <w:r w:rsidR="00E20082" w:rsidRPr="003B577E">
        <w:rPr>
          <w:rFonts w:ascii="Century Gothic" w:hAnsi="Century Gothic"/>
          <w:sz w:val="22"/>
          <w:szCs w:val="22"/>
        </w:rPr>
        <w:t xml:space="preserve">De acuerdo </w:t>
      </w:r>
      <w:r w:rsidR="003B577E">
        <w:rPr>
          <w:rFonts w:ascii="Century Gothic" w:hAnsi="Century Gothic"/>
          <w:sz w:val="22"/>
          <w:szCs w:val="22"/>
        </w:rPr>
        <w:t xml:space="preserve">con </w:t>
      </w:r>
      <w:r w:rsidR="00E20082" w:rsidRPr="003B577E">
        <w:rPr>
          <w:rFonts w:ascii="Century Gothic" w:hAnsi="Century Gothic"/>
          <w:sz w:val="22"/>
          <w:szCs w:val="22"/>
        </w:rPr>
        <w:t>los datos del Secretariado Ejecutivo del Sistema Nacional de Seguridad Pública</w:t>
      </w:r>
      <w:r w:rsidR="00E20082" w:rsidRPr="003B577E">
        <w:rPr>
          <w:rStyle w:val="Refdenotaalpie"/>
          <w:rFonts w:ascii="Century Gothic" w:hAnsi="Century Gothic"/>
          <w:sz w:val="22"/>
          <w:szCs w:val="22"/>
        </w:rPr>
        <w:footnoteReference w:id="1"/>
      </w:r>
      <w:r w:rsidR="00E20082" w:rsidRPr="003B577E">
        <w:rPr>
          <w:rFonts w:ascii="Century Gothic" w:hAnsi="Century Gothic"/>
          <w:sz w:val="22"/>
          <w:szCs w:val="22"/>
        </w:rPr>
        <w:t xml:space="preserve">, </w:t>
      </w:r>
      <w:r w:rsidR="00CD13B3">
        <w:rPr>
          <w:rFonts w:ascii="Century Gothic" w:hAnsi="Century Gothic"/>
          <w:sz w:val="22"/>
          <w:szCs w:val="22"/>
        </w:rPr>
        <w:t>el</w:t>
      </w:r>
      <w:r w:rsidR="00E20082" w:rsidRPr="003B577E">
        <w:rPr>
          <w:rFonts w:ascii="Century Gothic" w:hAnsi="Century Gothic"/>
          <w:sz w:val="22"/>
          <w:szCs w:val="22"/>
        </w:rPr>
        <w:t xml:space="preserve"> delito de feminicidio de enero a septiembre de este año, </w:t>
      </w:r>
      <w:r w:rsidR="00CD13B3">
        <w:rPr>
          <w:rFonts w:ascii="Century Gothic" w:hAnsi="Century Gothic"/>
          <w:sz w:val="22"/>
          <w:szCs w:val="22"/>
        </w:rPr>
        <w:t>representa</w:t>
      </w:r>
      <w:r w:rsidR="00E20082" w:rsidRPr="003B577E">
        <w:rPr>
          <w:rFonts w:ascii="Century Gothic" w:hAnsi="Century Gothic"/>
          <w:sz w:val="22"/>
          <w:szCs w:val="22"/>
        </w:rPr>
        <w:t xml:space="preserve"> una tasa de 1.54, cuando la media nacional es de 1.05.</w:t>
      </w:r>
      <w:r w:rsidR="00CD13B3">
        <w:rPr>
          <w:rFonts w:ascii="Century Gothic" w:hAnsi="Century Gothic"/>
          <w:sz w:val="22"/>
          <w:szCs w:val="22"/>
        </w:rPr>
        <w:t>, ocupando el</w:t>
      </w:r>
      <w:r w:rsidR="00E20082" w:rsidRPr="003B577E">
        <w:rPr>
          <w:rFonts w:ascii="Century Gothic" w:hAnsi="Century Gothic"/>
          <w:sz w:val="22"/>
          <w:szCs w:val="22"/>
        </w:rPr>
        <w:t xml:space="preserve"> 5º. lugar a nivel nacional </w:t>
      </w:r>
      <w:r w:rsidR="00CD13B3">
        <w:rPr>
          <w:rFonts w:ascii="Century Gothic" w:hAnsi="Century Gothic"/>
          <w:sz w:val="22"/>
          <w:szCs w:val="22"/>
        </w:rPr>
        <w:t>en este delito</w:t>
      </w:r>
      <w:r w:rsidR="00E20082" w:rsidRPr="003B577E">
        <w:rPr>
          <w:rFonts w:ascii="Century Gothic" w:hAnsi="Century Gothic"/>
          <w:sz w:val="22"/>
          <w:szCs w:val="22"/>
        </w:rPr>
        <w:t>, sólo después de los estados de Colima, Nuevo León, Morelia y Campeche.</w:t>
      </w:r>
      <w:r w:rsidR="00E20082" w:rsidRPr="003B577E">
        <w:rPr>
          <w:rStyle w:val="Refdenotaalpie"/>
          <w:rFonts w:ascii="Century Gothic" w:hAnsi="Century Gothic"/>
          <w:sz w:val="22"/>
          <w:szCs w:val="22"/>
        </w:rPr>
        <w:footnoteReference w:id="2"/>
      </w:r>
      <w:r w:rsidR="003B577E">
        <w:rPr>
          <w:rFonts w:ascii="Century Gothic" w:hAnsi="Century Gothic"/>
          <w:sz w:val="22"/>
          <w:szCs w:val="22"/>
        </w:rPr>
        <w:t xml:space="preserve"> </w:t>
      </w:r>
      <w:r w:rsidR="00CD13B3">
        <w:rPr>
          <w:rFonts w:ascii="Century Gothic" w:hAnsi="Century Gothic"/>
          <w:sz w:val="22"/>
          <w:szCs w:val="22"/>
        </w:rPr>
        <w:t>Asimismo, o</w:t>
      </w:r>
      <w:r w:rsidR="003B577E">
        <w:rPr>
          <w:rFonts w:ascii="Century Gothic" w:hAnsi="Century Gothic"/>
          <w:sz w:val="22"/>
          <w:szCs w:val="22"/>
        </w:rPr>
        <w:t xml:space="preserve">cupamos el </w:t>
      </w:r>
      <w:r w:rsidR="00CD13B3">
        <w:rPr>
          <w:rFonts w:ascii="Century Gothic" w:hAnsi="Century Gothic"/>
          <w:sz w:val="22"/>
          <w:szCs w:val="22"/>
        </w:rPr>
        <w:t>décimo</w:t>
      </w:r>
      <w:r w:rsidR="003B577E">
        <w:rPr>
          <w:rFonts w:ascii="Century Gothic" w:hAnsi="Century Gothic"/>
          <w:sz w:val="22"/>
          <w:szCs w:val="22"/>
        </w:rPr>
        <w:t xml:space="preserve"> sexto lugar en violencia familiar y el d</w:t>
      </w:r>
      <w:r w:rsidR="00A83393">
        <w:rPr>
          <w:rFonts w:ascii="Century Gothic" w:hAnsi="Century Gothic"/>
          <w:sz w:val="22"/>
          <w:szCs w:val="22"/>
        </w:rPr>
        <w:t>é</w:t>
      </w:r>
      <w:r w:rsidR="003B577E">
        <w:rPr>
          <w:rFonts w:ascii="Century Gothic" w:hAnsi="Century Gothic"/>
          <w:sz w:val="22"/>
          <w:szCs w:val="22"/>
        </w:rPr>
        <w:t xml:space="preserve">cimo tercero en violencia de pareja. </w:t>
      </w:r>
      <w:r w:rsidR="00CD13B3">
        <w:rPr>
          <w:rFonts w:ascii="Century Gothic" w:hAnsi="Century Gothic"/>
          <w:sz w:val="22"/>
          <w:szCs w:val="22"/>
        </w:rPr>
        <w:t>E</w:t>
      </w:r>
      <w:r w:rsidR="003B577E">
        <w:rPr>
          <w:rFonts w:ascii="Century Gothic" w:hAnsi="Century Gothic"/>
          <w:sz w:val="22"/>
          <w:szCs w:val="22"/>
        </w:rPr>
        <w:t xml:space="preserve">n el caso del delito de violación </w:t>
      </w:r>
      <w:r w:rsidR="00E20082" w:rsidRPr="003B577E">
        <w:rPr>
          <w:rFonts w:ascii="Century Gothic" w:hAnsi="Century Gothic"/>
          <w:sz w:val="22"/>
          <w:szCs w:val="22"/>
        </w:rPr>
        <w:t xml:space="preserve">sobresale Chihuahua con un </w:t>
      </w:r>
      <w:r w:rsidR="00727DFF">
        <w:rPr>
          <w:rFonts w:ascii="Century Gothic" w:hAnsi="Century Gothic"/>
          <w:sz w:val="22"/>
          <w:szCs w:val="22"/>
        </w:rPr>
        <w:t>segundo</w:t>
      </w:r>
      <w:r w:rsidR="00E20082" w:rsidRPr="003B577E">
        <w:rPr>
          <w:rFonts w:ascii="Century Gothic" w:hAnsi="Century Gothic"/>
          <w:sz w:val="22"/>
          <w:szCs w:val="22"/>
        </w:rPr>
        <w:t xml:space="preserve"> lugar, con una tasa del 30.</w:t>
      </w:r>
      <w:r w:rsidR="00A83393">
        <w:rPr>
          <w:rFonts w:ascii="Century Gothic" w:hAnsi="Century Gothic"/>
          <w:sz w:val="22"/>
          <w:szCs w:val="22"/>
        </w:rPr>
        <w:t>1</w:t>
      </w:r>
      <w:r w:rsidR="00E20082" w:rsidRPr="003B577E">
        <w:rPr>
          <w:rFonts w:ascii="Century Gothic" w:hAnsi="Century Gothic"/>
          <w:sz w:val="22"/>
          <w:szCs w:val="22"/>
        </w:rPr>
        <w:t>, cuando el promedio nacional es de 13.6</w:t>
      </w:r>
      <w:r w:rsidR="00E20082" w:rsidRPr="003B577E">
        <w:rPr>
          <w:rStyle w:val="Refdenotaalpie"/>
          <w:rFonts w:ascii="Century Gothic" w:hAnsi="Century Gothic"/>
          <w:sz w:val="22"/>
          <w:szCs w:val="22"/>
        </w:rPr>
        <w:footnoteReference w:id="3"/>
      </w:r>
      <w:r w:rsidR="00E20082" w:rsidRPr="003B577E">
        <w:rPr>
          <w:rFonts w:ascii="Century Gothic" w:hAnsi="Century Gothic"/>
          <w:sz w:val="22"/>
          <w:szCs w:val="22"/>
        </w:rPr>
        <w:t>.</w:t>
      </w:r>
      <w:r w:rsidR="003B577E">
        <w:rPr>
          <w:rFonts w:ascii="Century Gothic" w:hAnsi="Century Gothic"/>
          <w:sz w:val="22"/>
          <w:szCs w:val="22"/>
        </w:rPr>
        <w:t xml:space="preserve"> De igual manera </w:t>
      </w:r>
      <w:r w:rsidR="00727DFF">
        <w:rPr>
          <w:rFonts w:ascii="Century Gothic" w:hAnsi="Century Gothic"/>
          <w:sz w:val="22"/>
          <w:szCs w:val="22"/>
        </w:rPr>
        <w:t xml:space="preserve">Chihuahua </w:t>
      </w:r>
      <w:r w:rsidR="003B577E">
        <w:rPr>
          <w:rFonts w:ascii="Century Gothic" w:hAnsi="Century Gothic"/>
          <w:sz w:val="22"/>
          <w:szCs w:val="22"/>
        </w:rPr>
        <w:t xml:space="preserve">ocupa el segundo lugar en el delito de abuso sexual y el primero en llamadas de emergencia relacionadas con incidentes </w:t>
      </w:r>
      <w:r w:rsidR="00E20082" w:rsidRPr="003B577E">
        <w:rPr>
          <w:rFonts w:ascii="Century Gothic" w:hAnsi="Century Gothic"/>
          <w:sz w:val="22"/>
          <w:szCs w:val="22"/>
        </w:rPr>
        <w:t>de violencia contra la mujer.</w:t>
      </w:r>
    </w:p>
    <w:p w14:paraId="199E6837" w14:textId="636586E1" w:rsidR="003B577E" w:rsidRDefault="003B577E" w:rsidP="003B577E">
      <w:pPr>
        <w:spacing w:after="120" w:line="360" w:lineRule="auto"/>
        <w:ind w:left="851"/>
        <w:jc w:val="both"/>
        <w:rPr>
          <w:rFonts w:ascii="Century Gothic" w:hAnsi="Century Gothic"/>
          <w:sz w:val="22"/>
          <w:szCs w:val="22"/>
        </w:rPr>
      </w:pPr>
      <w:r>
        <w:rPr>
          <w:rFonts w:ascii="Century Gothic" w:hAnsi="Century Gothic"/>
          <w:sz w:val="22"/>
          <w:szCs w:val="22"/>
        </w:rPr>
        <w:t xml:space="preserve">Por otra parte, el Instituto Chihuahuense de las mujeres reporta un total de 3 mil 650 mujeres que han sido atendidas durante el 2022, cifra que está a punto de superar la del 2021, siendo la violencia familiar la modalidad que más se presenta. En cuanto a los tipos de violencia, </w:t>
      </w:r>
      <w:r w:rsidR="00CD13B3">
        <w:rPr>
          <w:rFonts w:ascii="Century Gothic" w:hAnsi="Century Gothic"/>
          <w:sz w:val="22"/>
          <w:szCs w:val="22"/>
        </w:rPr>
        <w:t xml:space="preserve">mencionan que </w:t>
      </w:r>
      <w:r>
        <w:rPr>
          <w:rFonts w:ascii="Century Gothic" w:hAnsi="Century Gothic"/>
          <w:sz w:val="22"/>
          <w:szCs w:val="22"/>
        </w:rPr>
        <w:t xml:space="preserve">las más recurrentes son la psicológica, la patrimonial, la física y la sexual. </w:t>
      </w:r>
    </w:p>
    <w:p w14:paraId="753185AA" w14:textId="6D10BDCD" w:rsidR="003B577E" w:rsidRPr="003B577E" w:rsidRDefault="003B577E" w:rsidP="003B577E">
      <w:pPr>
        <w:spacing w:after="120" w:line="360" w:lineRule="auto"/>
        <w:ind w:left="851"/>
        <w:jc w:val="both"/>
        <w:rPr>
          <w:rFonts w:ascii="Century Gothic" w:hAnsi="Century Gothic"/>
          <w:sz w:val="22"/>
          <w:szCs w:val="22"/>
        </w:rPr>
      </w:pPr>
      <w:r>
        <w:rPr>
          <w:rFonts w:ascii="Century Gothic" w:hAnsi="Century Gothic"/>
          <w:sz w:val="22"/>
          <w:szCs w:val="22"/>
        </w:rPr>
        <w:t xml:space="preserve"> </w:t>
      </w:r>
    </w:p>
    <w:p w14:paraId="7C4F379B" w14:textId="77777777" w:rsidR="003B577E" w:rsidRDefault="003B577E" w:rsidP="00CA5CE0">
      <w:pPr>
        <w:spacing w:line="276" w:lineRule="auto"/>
        <w:ind w:left="708"/>
        <w:jc w:val="both"/>
        <w:rPr>
          <w:rFonts w:ascii="Century Gothic" w:hAnsi="Century Gothic"/>
          <w:sz w:val="22"/>
          <w:szCs w:val="22"/>
        </w:rPr>
      </w:pPr>
    </w:p>
    <w:p w14:paraId="4A6C4D9B" w14:textId="765C5167" w:rsidR="00F573C0" w:rsidRDefault="004C6CAD" w:rsidP="002B0AA2">
      <w:pPr>
        <w:spacing w:line="360" w:lineRule="auto"/>
        <w:ind w:left="708"/>
        <w:jc w:val="both"/>
        <w:rPr>
          <w:rFonts w:ascii="Century Gothic" w:hAnsi="Century Gothic"/>
          <w:sz w:val="22"/>
          <w:szCs w:val="22"/>
        </w:rPr>
      </w:pPr>
      <w:r>
        <w:rPr>
          <w:rFonts w:ascii="Century Gothic" w:hAnsi="Century Gothic"/>
          <w:sz w:val="22"/>
          <w:szCs w:val="22"/>
        </w:rPr>
        <w:lastRenderedPageBreak/>
        <w:t>A pesar de que</w:t>
      </w:r>
      <w:r w:rsidR="009A02A1">
        <w:rPr>
          <w:rFonts w:ascii="Century Gothic" w:hAnsi="Century Gothic"/>
          <w:sz w:val="22"/>
          <w:szCs w:val="22"/>
        </w:rPr>
        <w:t xml:space="preserve"> en las últimas </w:t>
      </w:r>
      <w:r w:rsidR="00CD13B3">
        <w:rPr>
          <w:rFonts w:ascii="Century Gothic" w:hAnsi="Century Gothic"/>
          <w:sz w:val="22"/>
          <w:szCs w:val="22"/>
        </w:rPr>
        <w:t xml:space="preserve">décadas </w:t>
      </w:r>
      <w:r w:rsidR="00833052">
        <w:rPr>
          <w:rFonts w:ascii="Century Gothic" w:hAnsi="Century Gothic"/>
          <w:sz w:val="22"/>
          <w:szCs w:val="22"/>
        </w:rPr>
        <w:t>Ciudad Juárez y el Estado de Chihuahua se ha</w:t>
      </w:r>
      <w:r w:rsidR="00CD13B3">
        <w:rPr>
          <w:rFonts w:ascii="Century Gothic" w:hAnsi="Century Gothic"/>
          <w:sz w:val="22"/>
          <w:szCs w:val="22"/>
        </w:rPr>
        <w:t>n</w:t>
      </w:r>
      <w:r w:rsidR="00833052">
        <w:rPr>
          <w:rFonts w:ascii="Century Gothic" w:hAnsi="Century Gothic"/>
          <w:sz w:val="22"/>
          <w:szCs w:val="22"/>
        </w:rPr>
        <w:t xml:space="preserve"> encontrado a la cabeza con mayor índice de violencia contra las mujeres</w:t>
      </w:r>
      <w:r w:rsidR="00727DFF">
        <w:rPr>
          <w:rFonts w:ascii="Century Gothic" w:hAnsi="Century Gothic"/>
          <w:sz w:val="22"/>
          <w:szCs w:val="22"/>
        </w:rPr>
        <w:t xml:space="preserve"> en el país</w:t>
      </w:r>
      <w:r w:rsidR="00833052">
        <w:rPr>
          <w:rFonts w:ascii="Century Gothic" w:hAnsi="Century Gothic"/>
          <w:sz w:val="22"/>
          <w:szCs w:val="22"/>
        </w:rPr>
        <w:t xml:space="preserve"> </w:t>
      </w:r>
      <w:r w:rsidR="00583EF0">
        <w:rPr>
          <w:rFonts w:ascii="Century Gothic" w:hAnsi="Century Gothic"/>
          <w:sz w:val="22"/>
          <w:szCs w:val="22"/>
        </w:rPr>
        <w:t xml:space="preserve">y que en el 2021 fue declarada una alerta de violencia de género en 5 municipios del </w:t>
      </w:r>
      <w:r w:rsidR="00450ABB">
        <w:rPr>
          <w:rFonts w:ascii="Century Gothic" w:hAnsi="Century Gothic"/>
          <w:sz w:val="22"/>
          <w:szCs w:val="22"/>
        </w:rPr>
        <w:t>estado, la</w:t>
      </w:r>
      <w:r>
        <w:rPr>
          <w:rFonts w:ascii="Century Gothic" w:hAnsi="Century Gothic"/>
          <w:sz w:val="22"/>
          <w:szCs w:val="22"/>
        </w:rPr>
        <w:t xml:space="preserve"> Gobernadora decidió para e</w:t>
      </w:r>
      <w:r w:rsidR="00833052">
        <w:rPr>
          <w:rFonts w:ascii="Century Gothic" w:hAnsi="Century Gothic"/>
          <w:sz w:val="22"/>
          <w:szCs w:val="22"/>
        </w:rPr>
        <w:t>ste año (</w:t>
      </w:r>
      <w:r>
        <w:rPr>
          <w:rFonts w:ascii="Century Gothic" w:hAnsi="Century Gothic"/>
          <w:sz w:val="22"/>
          <w:szCs w:val="22"/>
        </w:rPr>
        <w:t>2022</w:t>
      </w:r>
      <w:r w:rsidR="00833052">
        <w:rPr>
          <w:rFonts w:ascii="Century Gothic" w:hAnsi="Century Gothic"/>
          <w:sz w:val="22"/>
          <w:szCs w:val="22"/>
        </w:rPr>
        <w:t>)</w:t>
      </w:r>
      <w:r>
        <w:rPr>
          <w:rFonts w:ascii="Century Gothic" w:hAnsi="Century Gothic"/>
          <w:sz w:val="22"/>
          <w:szCs w:val="22"/>
        </w:rPr>
        <w:t xml:space="preserve"> disminuir el presupuesto asignado a programas de apoyo mujeres víctimas de violencia, en comparación con el presupuesto asignado para el </w:t>
      </w:r>
      <w:r w:rsidR="00450ABB">
        <w:rPr>
          <w:rFonts w:ascii="Century Gothic" w:hAnsi="Century Gothic"/>
          <w:sz w:val="22"/>
          <w:szCs w:val="22"/>
        </w:rPr>
        <w:t>2021, con una diferencia de un</w:t>
      </w:r>
      <w:r>
        <w:rPr>
          <w:rFonts w:ascii="Century Gothic" w:hAnsi="Century Gothic"/>
          <w:sz w:val="22"/>
          <w:szCs w:val="22"/>
        </w:rPr>
        <w:t xml:space="preserve"> 5%</w:t>
      </w:r>
      <w:r w:rsidR="00450ABB">
        <w:rPr>
          <w:rFonts w:ascii="Century Gothic" w:hAnsi="Century Gothic"/>
          <w:sz w:val="22"/>
          <w:szCs w:val="22"/>
        </w:rPr>
        <w:t>, reduciéndolo de 9 millones 89 mil 383 pesos a 8 millones 600mil 430 pesos</w:t>
      </w:r>
      <w:r w:rsidR="00A83393">
        <w:rPr>
          <w:rFonts w:ascii="Century Gothic" w:hAnsi="Century Gothic"/>
          <w:sz w:val="22"/>
          <w:szCs w:val="22"/>
        </w:rPr>
        <w:t>;</w:t>
      </w:r>
      <w:r w:rsidR="00F573C0">
        <w:rPr>
          <w:rFonts w:ascii="Century Gothic" w:hAnsi="Century Gothic"/>
          <w:sz w:val="22"/>
          <w:szCs w:val="22"/>
        </w:rPr>
        <w:t xml:space="preserve"> presentando un</w:t>
      </w:r>
      <w:r w:rsidR="00A83393">
        <w:rPr>
          <w:rFonts w:ascii="Century Gothic" w:hAnsi="Century Gothic"/>
          <w:sz w:val="22"/>
          <w:szCs w:val="22"/>
        </w:rPr>
        <w:t xml:space="preserve"> incumplimiento</w:t>
      </w:r>
      <w:r w:rsidR="00F573C0">
        <w:rPr>
          <w:rFonts w:ascii="Century Gothic" w:hAnsi="Century Gothic"/>
          <w:sz w:val="22"/>
          <w:szCs w:val="22"/>
        </w:rPr>
        <w:t xml:space="preserve"> </w:t>
      </w:r>
      <w:r w:rsidR="00735093">
        <w:rPr>
          <w:rFonts w:ascii="Century Gothic" w:hAnsi="Century Gothic"/>
          <w:sz w:val="22"/>
          <w:szCs w:val="22"/>
        </w:rPr>
        <w:t>a</w:t>
      </w:r>
      <w:r w:rsidR="00F573C0">
        <w:rPr>
          <w:rFonts w:ascii="Century Gothic" w:hAnsi="Century Gothic"/>
          <w:sz w:val="22"/>
          <w:szCs w:val="22"/>
        </w:rPr>
        <w:t xml:space="preserve"> lo señalado por </w:t>
      </w:r>
      <w:r w:rsidR="00735093">
        <w:rPr>
          <w:rFonts w:ascii="Century Gothic" w:hAnsi="Century Gothic"/>
          <w:sz w:val="22"/>
          <w:szCs w:val="22"/>
        </w:rPr>
        <w:t>los artículos 24 y</w:t>
      </w:r>
      <w:r w:rsidR="00F573C0">
        <w:rPr>
          <w:rFonts w:ascii="Century Gothic" w:hAnsi="Century Gothic"/>
          <w:sz w:val="22"/>
          <w:szCs w:val="22"/>
        </w:rPr>
        <w:t xml:space="preserve"> 25 de la Ley de Desarrollo Social y Humano para el Estado de Chihuahua</w:t>
      </w:r>
      <w:r w:rsidR="00833052">
        <w:rPr>
          <w:rFonts w:ascii="Century Gothic" w:hAnsi="Century Gothic"/>
          <w:sz w:val="22"/>
          <w:szCs w:val="22"/>
        </w:rPr>
        <w:t xml:space="preserve">, </w:t>
      </w:r>
      <w:r w:rsidR="00735093">
        <w:rPr>
          <w:rFonts w:ascii="Century Gothic" w:hAnsi="Century Gothic"/>
          <w:sz w:val="22"/>
          <w:szCs w:val="22"/>
        </w:rPr>
        <w:t>que establece que e</w:t>
      </w:r>
      <w:r w:rsidR="00833052" w:rsidRPr="008C1EE4">
        <w:rPr>
          <w:rFonts w:ascii="Century Gothic" w:hAnsi="Century Gothic"/>
          <w:sz w:val="22"/>
          <w:szCs w:val="22"/>
        </w:rPr>
        <w:t xml:space="preserve">l recurso destinado a programas y proyectos para el desarrollo social y humano </w:t>
      </w:r>
      <w:r w:rsidR="00833052" w:rsidRPr="008C1EE4">
        <w:rPr>
          <w:rFonts w:ascii="Century Gothic" w:hAnsi="Century Gothic"/>
          <w:b/>
          <w:bCs/>
          <w:i/>
          <w:iCs/>
          <w:sz w:val="22"/>
          <w:szCs w:val="22"/>
        </w:rPr>
        <w:t>no podrá ser inferior, en términos reales, al del año fiscal anterior</w:t>
      </w:r>
      <w:r w:rsidR="00833052" w:rsidRPr="008C1EE4">
        <w:rPr>
          <w:rFonts w:ascii="Century Gothic" w:hAnsi="Century Gothic"/>
          <w:sz w:val="22"/>
          <w:szCs w:val="22"/>
        </w:rPr>
        <w:t xml:space="preserve">, de igual forma afirma dicho </w:t>
      </w:r>
      <w:r w:rsidR="008C1EE4" w:rsidRPr="008C1EE4">
        <w:rPr>
          <w:rFonts w:ascii="Century Gothic" w:hAnsi="Century Gothic"/>
          <w:sz w:val="22"/>
          <w:szCs w:val="22"/>
        </w:rPr>
        <w:t>artículo</w:t>
      </w:r>
      <w:r w:rsidR="00833052" w:rsidRPr="008C1EE4">
        <w:rPr>
          <w:rFonts w:ascii="Century Gothic" w:hAnsi="Century Gothic"/>
          <w:sz w:val="22"/>
          <w:szCs w:val="22"/>
        </w:rPr>
        <w:t xml:space="preserve"> </w:t>
      </w:r>
      <w:r w:rsidR="00833052" w:rsidRPr="008C1EE4">
        <w:rPr>
          <w:rFonts w:ascii="Century Gothic" w:hAnsi="Century Gothic"/>
          <w:b/>
          <w:bCs/>
          <w:i/>
          <w:iCs/>
          <w:sz w:val="22"/>
          <w:szCs w:val="22"/>
        </w:rPr>
        <w:t>que los recursos destinados para estos fines, deberán incrementarse por lo menos en la misma proporción en que se prevea el aumento del presupuesto estatal y en congruencia con la disponibilidad de recursos, a partir de los ingresos que autorice el Congreso del Estado</w:t>
      </w:r>
      <w:r w:rsidR="008C1EE4" w:rsidRPr="008C1EE4">
        <w:rPr>
          <w:rFonts w:ascii="Century Gothic" w:hAnsi="Century Gothic"/>
          <w:sz w:val="22"/>
          <w:szCs w:val="22"/>
        </w:rPr>
        <w:t>.</w:t>
      </w:r>
      <w:r w:rsidR="008C1EE4">
        <w:rPr>
          <w:rFonts w:ascii="Century Gothic" w:hAnsi="Century Gothic"/>
          <w:sz w:val="22"/>
          <w:szCs w:val="22"/>
        </w:rPr>
        <w:t xml:space="preserve"> Siendo el artículo 24, el que señale en su fracción IV, el </w:t>
      </w:r>
      <w:r w:rsidR="008C1EE4" w:rsidRPr="008C1EE4">
        <w:rPr>
          <w:rFonts w:ascii="Century Gothic" w:hAnsi="Century Gothic"/>
          <w:sz w:val="22"/>
          <w:szCs w:val="22"/>
        </w:rPr>
        <w:t>Prevenir, atender y erradicar la violencia de género;</w:t>
      </w:r>
    </w:p>
    <w:p w14:paraId="554008AC" w14:textId="14998029" w:rsidR="00C56C5B" w:rsidRDefault="00C56C5B" w:rsidP="008C1EE4">
      <w:pPr>
        <w:spacing w:line="360" w:lineRule="auto"/>
        <w:ind w:left="708"/>
        <w:jc w:val="both"/>
        <w:rPr>
          <w:rFonts w:ascii="Century Gothic" w:hAnsi="Century Gothic"/>
          <w:sz w:val="22"/>
          <w:szCs w:val="22"/>
        </w:rPr>
      </w:pPr>
    </w:p>
    <w:p w14:paraId="3726E761" w14:textId="7D690250" w:rsidR="00FB18A7" w:rsidRDefault="00F53B8D" w:rsidP="00E63A35">
      <w:pPr>
        <w:spacing w:line="360" w:lineRule="auto"/>
        <w:ind w:left="708"/>
        <w:jc w:val="both"/>
        <w:rPr>
          <w:rFonts w:ascii="Century Gothic" w:hAnsi="Century Gothic" w:cs="Arial"/>
          <w:sz w:val="22"/>
          <w:szCs w:val="22"/>
        </w:rPr>
      </w:pPr>
      <w:r w:rsidRPr="00E63A35">
        <w:rPr>
          <w:rFonts w:ascii="Century Gothic" w:hAnsi="Century Gothic" w:cs="Arial"/>
          <w:sz w:val="22"/>
          <w:szCs w:val="22"/>
        </w:rPr>
        <w:t>Un presupuesto regresivo</w:t>
      </w:r>
      <w:r w:rsidR="00FB18A7" w:rsidRPr="00E63A35">
        <w:rPr>
          <w:rFonts w:ascii="Century Gothic" w:hAnsi="Century Gothic" w:cs="Arial"/>
          <w:sz w:val="22"/>
          <w:szCs w:val="22"/>
        </w:rPr>
        <w:t xml:space="preserve"> vulnera</w:t>
      </w:r>
      <w:r w:rsidR="00CB4C3B">
        <w:rPr>
          <w:rFonts w:ascii="Century Gothic" w:hAnsi="Century Gothic" w:cs="Arial"/>
          <w:sz w:val="22"/>
          <w:szCs w:val="22"/>
        </w:rPr>
        <w:t xml:space="preserve"> </w:t>
      </w:r>
      <w:r w:rsidR="00FB18A7" w:rsidRPr="00E63A35">
        <w:rPr>
          <w:rFonts w:ascii="Century Gothic" w:hAnsi="Century Gothic" w:cs="Arial"/>
          <w:sz w:val="22"/>
          <w:szCs w:val="22"/>
        </w:rPr>
        <w:t xml:space="preserve">el artículo 1º; de la Constitución Política de los Estados Unidos Mexicanos en lo correspondiente al principio de progresividad de los Derechos Humanos, así como </w:t>
      </w:r>
      <w:r w:rsidR="00CB4C3B">
        <w:rPr>
          <w:rFonts w:ascii="Century Gothic" w:hAnsi="Century Gothic" w:cs="Arial"/>
          <w:sz w:val="22"/>
          <w:szCs w:val="22"/>
        </w:rPr>
        <w:t>los</w:t>
      </w:r>
      <w:r w:rsidR="00FB18A7" w:rsidRPr="00E63A35">
        <w:rPr>
          <w:rFonts w:ascii="Century Gothic" w:hAnsi="Century Gothic" w:cs="Arial"/>
          <w:sz w:val="22"/>
          <w:szCs w:val="22"/>
        </w:rPr>
        <w:t xml:space="preserve"> artículo</w:t>
      </w:r>
      <w:r w:rsidR="00CB4C3B">
        <w:rPr>
          <w:rFonts w:ascii="Century Gothic" w:hAnsi="Century Gothic" w:cs="Arial"/>
          <w:sz w:val="22"/>
          <w:szCs w:val="22"/>
        </w:rPr>
        <w:t>s 7 y</w:t>
      </w:r>
      <w:r w:rsidR="00FB18A7" w:rsidRPr="00E63A35">
        <w:rPr>
          <w:rFonts w:ascii="Century Gothic" w:hAnsi="Century Gothic" w:cs="Arial"/>
          <w:sz w:val="22"/>
          <w:szCs w:val="22"/>
        </w:rPr>
        <w:t xml:space="preserve"> 8, de la Convención Interamericana para prevenir, sancionar y erradicar la violencia contra la mujer</w:t>
      </w:r>
      <w:r w:rsidR="00CB4C3B">
        <w:rPr>
          <w:rFonts w:ascii="Century Gothic" w:hAnsi="Century Gothic" w:cs="Arial"/>
          <w:sz w:val="22"/>
          <w:szCs w:val="22"/>
        </w:rPr>
        <w:t xml:space="preserve"> </w:t>
      </w:r>
      <w:r w:rsidR="00CB4C3B">
        <w:rPr>
          <w:rFonts w:ascii="Century Gothic" w:hAnsi="Century Gothic" w:cs="Arial"/>
          <w:bCs/>
          <w:sz w:val="22"/>
          <w:szCs w:val="22"/>
        </w:rPr>
        <w:t>¨</w:t>
      </w:r>
      <w:r w:rsidR="00CB4C3B" w:rsidRPr="00E63A35">
        <w:rPr>
          <w:rFonts w:ascii="Century Gothic" w:hAnsi="Century Gothic" w:cs="Arial"/>
          <w:bCs/>
          <w:sz w:val="22"/>
          <w:szCs w:val="22"/>
        </w:rPr>
        <w:t xml:space="preserve">Belém </w:t>
      </w:r>
      <w:r w:rsidR="00CB4C3B">
        <w:rPr>
          <w:rFonts w:ascii="Century Gothic" w:hAnsi="Century Gothic" w:cs="Arial"/>
          <w:bCs/>
          <w:sz w:val="22"/>
          <w:szCs w:val="22"/>
        </w:rPr>
        <w:t>d</w:t>
      </w:r>
      <w:r w:rsidR="00CB4C3B" w:rsidRPr="00E63A35">
        <w:rPr>
          <w:rFonts w:ascii="Century Gothic" w:hAnsi="Century Gothic" w:cs="Arial"/>
          <w:bCs/>
          <w:sz w:val="22"/>
          <w:szCs w:val="22"/>
        </w:rPr>
        <w:t xml:space="preserve">o </w:t>
      </w:r>
      <w:r w:rsidR="00CB4C3B">
        <w:rPr>
          <w:rFonts w:ascii="Century Gothic" w:hAnsi="Century Gothic" w:cs="Arial"/>
          <w:bCs/>
          <w:sz w:val="22"/>
          <w:szCs w:val="22"/>
        </w:rPr>
        <w:t>P</w:t>
      </w:r>
      <w:r w:rsidR="00CB4C3B" w:rsidRPr="00E63A35">
        <w:rPr>
          <w:rFonts w:ascii="Century Gothic" w:hAnsi="Century Gothic" w:cs="Arial"/>
          <w:bCs/>
          <w:sz w:val="22"/>
          <w:szCs w:val="22"/>
        </w:rPr>
        <w:t>ará” en razón a que vulnera el derecho de las mujeres víctimas de delitos, a una vida libre de violencia</w:t>
      </w:r>
      <w:r w:rsidR="00CB4C3B">
        <w:rPr>
          <w:rFonts w:ascii="Century Gothic" w:hAnsi="Century Gothic" w:cs="Arial"/>
          <w:bCs/>
          <w:sz w:val="22"/>
          <w:szCs w:val="22"/>
        </w:rPr>
        <w:t xml:space="preserve"> y porque determina</w:t>
      </w:r>
      <w:r w:rsidR="00FB18A7" w:rsidRPr="00E63A35">
        <w:rPr>
          <w:rFonts w:ascii="Century Gothic" w:hAnsi="Century Gothic" w:cs="Arial"/>
          <w:sz w:val="22"/>
          <w:szCs w:val="22"/>
        </w:rPr>
        <w:t xml:space="preserve"> la obligación de los Estados parte de adoptar en forma </w:t>
      </w:r>
      <w:r w:rsidR="00FB18A7" w:rsidRPr="00E63A35">
        <w:rPr>
          <w:rFonts w:ascii="Century Gothic" w:hAnsi="Century Gothic" w:cs="Arial"/>
          <w:b/>
          <w:bCs/>
          <w:sz w:val="22"/>
          <w:szCs w:val="22"/>
        </w:rPr>
        <w:t>progresiva</w:t>
      </w:r>
      <w:r w:rsidR="00FB18A7" w:rsidRPr="00E63A35">
        <w:rPr>
          <w:rFonts w:ascii="Century Gothic" w:hAnsi="Century Gothic" w:cs="Arial"/>
          <w:sz w:val="22"/>
          <w:szCs w:val="22"/>
        </w:rPr>
        <w:t xml:space="preserve"> medidas y programas.</w:t>
      </w:r>
    </w:p>
    <w:p w14:paraId="6660D899" w14:textId="2C6246FE" w:rsidR="00A83393" w:rsidRDefault="00A83393" w:rsidP="00E63A35">
      <w:pPr>
        <w:spacing w:line="360" w:lineRule="auto"/>
        <w:ind w:left="708"/>
        <w:jc w:val="both"/>
        <w:rPr>
          <w:rFonts w:ascii="Century Gothic" w:hAnsi="Century Gothic" w:cs="Arial"/>
          <w:sz w:val="22"/>
          <w:szCs w:val="22"/>
        </w:rPr>
      </w:pPr>
    </w:p>
    <w:p w14:paraId="45038223" w14:textId="30BC0B02" w:rsidR="00A83393" w:rsidRDefault="00CB4C3B" w:rsidP="00A83393">
      <w:pPr>
        <w:spacing w:line="360" w:lineRule="auto"/>
        <w:ind w:left="708"/>
        <w:jc w:val="both"/>
        <w:rPr>
          <w:rFonts w:ascii="Century Gothic" w:hAnsi="Century Gothic" w:cs="Arial"/>
          <w:sz w:val="22"/>
          <w:szCs w:val="22"/>
        </w:rPr>
      </w:pPr>
      <w:r>
        <w:rPr>
          <w:rFonts w:ascii="Century Gothic" w:hAnsi="Century Gothic" w:cs="Arial"/>
          <w:sz w:val="22"/>
          <w:szCs w:val="22"/>
        </w:rPr>
        <w:lastRenderedPageBreak/>
        <w:t>En</w:t>
      </w:r>
      <w:r w:rsidR="00A83393" w:rsidRPr="00E63A35">
        <w:rPr>
          <w:rFonts w:ascii="Century Gothic" w:hAnsi="Century Gothic" w:cs="Arial"/>
          <w:sz w:val="22"/>
          <w:szCs w:val="22"/>
        </w:rPr>
        <w:t xml:space="preserve"> el mismo sentido, la Ley General de Acceso de las Mujeres a una Vida Libre de Violencia, establece en el numeral 2, la obligación de todos los ámbitos de gobierno de tomar las medidas presupuestales y administrativas correspondientes, para garantizar el derecho de las mujeres a una vida libre de violencia, de conformidad con los Tratados Internacionales en Materia de Derechos Humanos de las Mujeres, ratificadas por el Estado mexicano.</w:t>
      </w:r>
    </w:p>
    <w:p w14:paraId="44C2D200" w14:textId="77777777" w:rsidR="002B0AA2" w:rsidRDefault="002B0AA2" w:rsidP="00D07027">
      <w:pPr>
        <w:spacing w:line="360" w:lineRule="auto"/>
        <w:jc w:val="both"/>
        <w:rPr>
          <w:rFonts w:ascii="Century Gothic" w:hAnsi="Century Gothic" w:cs="Arial"/>
          <w:sz w:val="22"/>
          <w:szCs w:val="22"/>
        </w:rPr>
      </w:pPr>
    </w:p>
    <w:p w14:paraId="15379169" w14:textId="21164C7F" w:rsidR="00FB18A7" w:rsidRDefault="002B0AA2" w:rsidP="002B0AA2">
      <w:pPr>
        <w:spacing w:line="360" w:lineRule="auto"/>
        <w:ind w:left="708"/>
        <w:jc w:val="both"/>
        <w:rPr>
          <w:rFonts w:ascii="Century Gothic" w:hAnsi="Century Gothic" w:cs="Arial"/>
          <w:sz w:val="22"/>
          <w:szCs w:val="22"/>
        </w:rPr>
      </w:pPr>
      <w:r>
        <w:rPr>
          <w:rFonts w:ascii="Century Gothic" w:hAnsi="Century Gothic" w:cs="Arial"/>
          <w:sz w:val="22"/>
          <w:szCs w:val="22"/>
        </w:rPr>
        <w:t>C</w:t>
      </w:r>
      <w:r w:rsidR="00FB18A7" w:rsidRPr="00E63A35">
        <w:rPr>
          <w:rFonts w:ascii="Century Gothic" w:hAnsi="Century Gothic" w:cs="Arial"/>
          <w:sz w:val="22"/>
          <w:szCs w:val="22"/>
        </w:rPr>
        <w:t xml:space="preserve">hihuahua cuenta ya con dos décadas siendo objeto de recomendaciones por organismos internacionales, </w:t>
      </w:r>
      <w:proofErr w:type="gramStart"/>
      <w:r w:rsidR="00FB18A7" w:rsidRPr="00E63A35">
        <w:rPr>
          <w:rFonts w:ascii="Century Gothic" w:hAnsi="Century Gothic" w:cs="Arial"/>
          <w:sz w:val="22"/>
          <w:szCs w:val="22"/>
        </w:rPr>
        <w:t>y</w:t>
      </w:r>
      <w:proofErr w:type="gramEnd"/>
      <w:r w:rsidR="00FB18A7" w:rsidRPr="00E63A35">
        <w:rPr>
          <w:rFonts w:ascii="Century Gothic" w:hAnsi="Century Gothic" w:cs="Arial"/>
          <w:sz w:val="22"/>
          <w:szCs w:val="22"/>
        </w:rPr>
        <w:t xml:space="preserve"> sin embargo, la violencia no se ha detenido, al contrario, ha continuado su crecimiento. Es obligación del Ejecutivo Estatal garantizar el presupuesto adecuado para que las capacidades institucionales sean suficientes con la finalidad de cumplir con las acciones que sean necesarias para promover, proteger y difundir los derechos de las mujeres</w:t>
      </w:r>
      <w:r w:rsidR="00404F0A">
        <w:rPr>
          <w:rFonts w:ascii="Century Gothic" w:hAnsi="Century Gothic" w:cs="Arial"/>
          <w:sz w:val="22"/>
          <w:szCs w:val="22"/>
        </w:rPr>
        <w:t>,</w:t>
      </w:r>
      <w:r w:rsidR="00E63A35">
        <w:rPr>
          <w:rFonts w:ascii="Century Gothic" w:hAnsi="Century Gothic" w:cs="Arial"/>
          <w:sz w:val="22"/>
          <w:szCs w:val="22"/>
        </w:rPr>
        <w:t xml:space="preserve"> y prevenir, sancionar y erradicar la violencia contra la mujer. </w:t>
      </w:r>
    </w:p>
    <w:p w14:paraId="1E915785" w14:textId="48D747E2" w:rsidR="002B0AA2" w:rsidRDefault="002B0AA2" w:rsidP="002B0AA2">
      <w:pPr>
        <w:spacing w:line="360" w:lineRule="auto"/>
        <w:ind w:left="708"/>
        <w:jc w:val="both"/>
        <w:rPr>
          <w:rFonts w:ascii="Century Gothic" w:hAnsi="Century Gothic" w:cs="Arial"/>
          <w:sz w:val="22"/>
          <w:szCs w:val="22"/>
        </w:rPr>
      </w:pPr>
    </w:p>
    <w:p w14:paraId="05ED7648" w14:textId="7F8F7F90" w:rsidR="002B0AA2" w:rsidRDefault="00404F0A" w:rsidP="00404F0A">
      <w:pPr>
        <w:spacing w:line="360" w:lineRule="auto"/>
        <w:ind w:left="709"/>
        <w:jc w:val="both"/>
        <w:rPr>
          <w:rFonts w:ascii="Century Gothic" w:hAnsi="Century Gothic" w:cs="Arial"/>
          <w:sz w:val="22"/>
          <w:szCs w:val="22"/>
        </w:rPr>
      </w:pPr>
      <w:r w:rsidRPr="00404F0A">
        <w:rPr>
          <w:rFonts w:ascii="Century Gothic" w:hAnsi="Century Gothic"/>
          <w:sz w:val="22"/>
          <w:szCs w:val="22"/>
        </w:rPr>
        <w:t>Este 25 de noviembre, Día Internacional para la Eliminación de la Violencia contra las Mujeres, si bien se convoca como día de reflexión sobre el problema de la violencia hacia las mujeres, también de llamado a la voluntad política, para atender en acciones efectivas, desde sus causas, la eliminación de la violencia hacia las mujeres</w:t>
      </w:r>
      <w:r>
        <w:rPr>
          <w:rFonts w:ascii="Century Gothic" w:hAnsi="Century Gothic"/>
          <w:sz w:val="22"/>
          <w:szCs w:val="22"/>
        </w:rPr>
        <w:t>, es por eso</w:t>
      </w:r>
      <w:r w:rsidR="002B0AA2">
        <w:rPr>
          <w:rFonts w:ascii="Century Gothic" w:hAnsi="Century Gothic" w:cs="Arial"/>
          <w:sz w:val="22"/>
          <w:szCs w:val="22"/>
        </w:rPr>
        <w:t xml:space="preserve"> que hacemos un llamado al </w:t>
      </w:r>
      <w:r w:rsidR="00393495">
        <w:rPr>
          <w:rFonts w:ascii="Century Gothic" w:hAnsi="Century Gothic" w:cs="Arial"/>
          <w:sz w:val="22"/>
          <w:szCs w:val="22"/>
        </w:rPr>
        <w:t>E</w:t>
      </w:r>
      <w:r w:rsidR="002B0AA2">
        <w:rPr>
          <w:rFonts w:ascii="Century Gothic" w:hAnsi="Century Gothic" w:cs="Arial"/>
          <w:sz w:val="22"/>
          <w:szCs w:val="22"/>
        </w:rPr>
        <w:t xml:space="preserve">jecutivo </w:t>
      </w:r>
      <w:r w:rsidR="00393495">
        <w:rPr>
          <w:rFonts w:ascii="Century Gothic" w:hAnsi="Century Gothic" w:cs="Arial"/>
          <w:sz w:val="22"/>
          <w:szCs w:val="22"/>
        </w:rPr>
        <w:t>E</w:t>
      </w:r>
      <w:r w:rsidR="002B0AA2">
        <w:rPr>
          <w:rFonts w:ascii="Century Gothic" w:hAnsi="Century Gothic" w:cs="Arial"/>
          <w:sz w:val="22"/>
          <w:szCs w:val="22"/>
        </w:rPr>
        <w:t xml:space="preserve">statal para que en el presupuesto del </w:t>
      </w:r>
      <w:r w:rsidR="00393495">
        <w:rPr>
          <w:rFonts w:ascii="Century Gothic" w:hAnsi="Century Gothic" w:cs="Arial"/>
          <w:sz w:val="22"/>
          <w:szCs w:val="22"/>
        </w:rPr>
        <w:t>año</w:t>
      </w:r>
      <w:r w:rsidR="002B0AA2">
        <w:rPr>
          <w:rFonts w:ascii="Century Gothic" w:hAnsi="Century Gothic" w:cs="Arial"/>
          <w:sz w:val="22"/>
          <w:szCs w:val="22"/>
        </w:rPr>
        <w:t xml:space="preserve"> fiscal 2023, cumpla lo establecido en diversos ordenamientos</w:t>
      </w:r>
      <w:r w:rsidR="00393495">
        <w:rPr>
          <w:rFonts w:ascii="Century Gothic" w:hAnsi="Century Gothic" w:cs="Arial"/>
          <w:sz w:val="22"/>
          <w:szCs w:val="22"/>
        </w:rPr>
        <w:t>, mismos que ya fueron mencionados,</w:t>
      </w:r>
      <w:r w:rsidR="002B0AA2">
        <w:rPr>
          <w:rFonts w:ascii="Century Gothic" w:hAnsi="Century Gothic" w:cs="Arial"/>
          <w:sz w:val="22"/>
          <w:szCs w:val="22"/>
        </w:rPr>
        <w:t xml:space="preserve"> y </w:t>
      </w:r>
      <w:r w:rsidR="00393495">
        <w:rPr>
          <w:rFonts w:ascii="Century Gothic" w:hAnsi="Century Gothic" w:cs="Arial"/>
          <w:sz w:val="22"/>
          <w:szCs w:val="22"/>
        </w:rPr>
        <w:t xml:space="preserve">asigne un recurso progresivo a los programas de atención a mujeres víctimas del delito, recordando la deuda que el Estado tiene con las mujeres. </w:t>
      </w:r>
    </w:p>
    <w:p w14:paraId="4BD7669F" w14:textId="77777777" w:rsidR="0077463D" w:rsidRPr="00BC6165" w:rsidRDefault="0077463D" w:rsidP="0077463D">
      <w:pPr>
        <w:spacing w:after="120" w:line="360" w:lineRule="auto"/>
        <w:ind w:left="851"/>
        <w:jc w:val="both"/>
        <w:rPr>
          <w:rFonts w:ascii="Century Gothic" w:hAnsi="Century Gothic"/>
          <w:sz w:val="22"/>
          <w:szCs w:val="22"/>
        </w:rPr>
      </w:pPr>
      <w:r>
        <w:rPr>
          <w:rFonts w:ascii="Century Gothic" w:hAnsi="Century Gothic"/>
          <w:sz w:val="22"/>
          <w:szCs w:val="22"/>
        </w:rPr>
        <w:t>En virtud de lo anteriormente expuesto, me permito someter a consideración de esta honorable asamblea, la siguiente proposición con carácter de:</w:t>
      </w:r>
    </w:p>
    <w:p w14:paraId="2188C618" w14:textId="77777777" w:rsidR="0077463D" w:rsidRDefault="0077463D" w:rsidP="0077463D">
      <w:pPr>
        <w:spacing w:after="120" w:line="480" w:lineRule="auto"/>
        <w:rPr>
          <w:rFonts w:ascii="Century Gothic" w:eastAsia="Century Gothic" w:hAnsi="Century Gothic" w:cs="Century Gothic"/>
          <w:b/>
          <w:bCs/>
          <w:sz w:val="22"/>
          <w:szCs w:val="22"/>
        </w:rPr>
      </w:pPr>
    </w:p>
    <w:p w14:paraId="17244284" w14:textId="77777777" w:rsidR="0077463D" w:rsidRPr="00CF22AB" w:rsidRDefault="0077463D" w:rsidP="0077463D">
      <w:pPr>
        <w:spacing w:after="120" w:line="480" w:lineRule="auto"/>
        <w:ind w:left="709"/>
        <w:jc w:val="center"/>
        <w:rPr>
          <w:rFonts w:ascii="Century Gothic" w:eastAsia="Century Gothic" w:hAnsi="Century Gothic" w:cs="Century Gothic"/>
          <w:b/>
          <w:bCs/>
          <w:sz w:val="22"/>
          <w:szCs w:val="22"/>
        </w:rPr>
      </w:pPr>
      <w:r w:rsidRPr="00CF22AB">
        <w:rPr>
          <w:rFonts w:ascii="Century Gothic" w:eastAsia="Century Gothic" w:hAnsi="Century Gothic" w:cs="Century Gothic"/>
          <w:b/>
          <w:bCs/>
          <w:sz w:val="22"/>
          <w:szCs w:val="22"/>
        </w:rPr>
        <w:t>ACUERDO:</w:t>
      </w:r>
    </w:p>
    <w:p w14:paraId="6518737B" w14:textId="3BFFB0B4" w:rsidR="0077463D" w:rsidRPr="00AB350F" w:rsidRDefault="0077463D" w:rsidP="0077463D">
      <w:pPr>
        <w:pStyle w:val="Prrafodelista"/>
        <w:spacing w:after="120" w:line="360" w:lineRule="auto"/>
        <w:ind w:left="720"/>
        <w:jc w:val="both"/>
        <w:rPr>
          <w:rFonts w:ascii="Century Gothic" w:hAnsi="Century Gothic"/>
          <w:sz w:val="22"/>
          <w:szCs w:val="22"/>
        </w:rPr>
      </w:pPr>
      <w:r w:rsidRPr="001A53B4">
        <w:rPr>
          <w:rFonts w:ascii="Century Gothic" w:eastAsia="Century Gothic" w:hAnsi="Century Gothic" w:cs="Century Gothic"/>
          <w:b/>
          <w:sz w:val="22"/>
          <w:szCs w:val="22"/>
        </w:rPr>
        <w:t>PRIMERO</w:t>
      </w:r>
      <w:r w:rsidRPr="001A53B4">
        <w:rPr>
          <w:rFonts w:ascii="Century Gothic" w:eastAsia="Century Gothic" w:hAnsi="Century Gothic" w:cs="Century Gothic"/>
          <w:bCs/>
          <w:sz w:val="22"/>
          <w:szCs w:val="22"/>
        </w:rPr>
        <w:t xml:space="preserve">.  </w:t>
      </w:r>
      <w:r w:rsidRPr="006035A1">
        <w:rPr>
          <w:rFonts w:ascii="Century Gothic" w:eastAsia="Century Gothic" w:hAnsi="Century Gothic" w:cs="Century Gothic"/>
          <w:bCs/>
          <w:sz w:val="22"/>
          <w:szCs w:val="22"/>
        </w:rPr>
        <w:t xml:space="preserve">La Sexagésima Séptima Legislatura </w:t>
      </w:r>
      <w:r w:rsidRPr="006035A1">
        <w:rPr>
          <w:rFonts w:ascii="Century Gothic" w:hAnsi="Century Gothic"/>
          <w:bCs/>
          <w:sz w:val="22"/>
          <w:szCs w:val="22"/>
        </w:rPr>
        <w:t xml:space="preserve">exhorta a la </w:t>
      </w:r>
      <w:r w:rsidR="00393495">
        <w:rPr>
          <w:rFonts w:ascii="Century Gothic" w:hAnsi="Century Gothic"/>
          <w:bCs/>
          <w:sz w:val="22"/>
          <w:szCs w:val="22"/>
        </w:rPr>
        <w:t>Titular del Ejecutivo Estatal</w:t>
      </w:r>
      <w:r w:rsidR="00D07027">
        <w:rPr>
          <w:rFonts w:ascii="Century Gothic" w:hAnsi="Century Gothic"/>
          <w:bCs/>
          <w:sz w:val="22"/>
          <w:szCs w:val="22"/>
        </w:rPr>
        <w:t xml:space="preserve">, </w:t>
      </w:r>
      <w:r w:rsidR="00AB350F" w:rsidRPr="00AB350F">
        <w:rPr>
          <w:rFonts w:ascii="Century Gothic" w:hAnsi="Century Gothic"/>
          <w:sz w:val="22"/>
          <w:szCs w:val="22"/>
        </w:rPr>
        <w:t>así como al Secretario de Hacienda del Estado para que en el presupuesto del año fiscal 2023 destinen un recurso suficiente y progresivo a los Programas de Atención a Mujeres Víctimas del Delito</w:t>
      </w:r>
      <w:r w:rsidR="00AB350F">
        <w:rPr>
          <w:rFonts w:ascii="Century Gothic" w:hAnsi="Century Gothic"/>
          <w:sz w:val="22"/>
          <w:szCs w:val="22"/>
        </w:rPr>
        <w:t>.</w:t>
      </w:r>
    </w:p>
    <w:p w14:paraId="761311FE" w14:textId="77777777" w:rsidR="0077463D" w:rsidRPr="00CF22AB" w:rsidRDefault="0077463D" w:rsidP="0077463D">
      <w:pPr>
        <w:spacing w:after="120" w:line="360" w:lineRule="auto"/>
        <w:ind w:left="709"/>
        <w:jc w:val="both"/>
        <w:rPr>
          <w:rFonts w:ascii="Century Gothic" w:hAnsi="Century Gothic" w:cs="Arial"/>
          <w:sz w:val="22"/>
          <w:szCs w:val="22"/>
        </w:rPr>
      </w:pPr>
      <w:r w:rsidRPr="00CF22AB">
        <w:rPr>
          <w:rFonts w:ascii="Century Gothic" w:hAnsi="Century Gothic" w:cs="Arial"/>
          <w:b/>
          <w:sz w:val="22"/>
          <w:szCs w:val="22"/>
        </w:rPr>
        <w:t xml:space="preserve">ECONÓMICO. </w:t>
      </w:r>
      <w:r w:rsidRPr="00CF22AB">
        <w:rPr>
          <w:rFonts w:ascii="Century Gothic" w:hAnsi="Century Gothic" w:cs="Arial"/>
          <w:sz w:val="22"/>
          <w:szCs w:val="22"/>
        </w:rPr>
        <w:t xml:space="preserve">Aprobado que sea, remítase copia </w:t>
      </w:r>
      <w:r w:rsidRPr="00D07027">
        <w:rPr>
          <w:rFonts w:ascii="Century Gothic" w:hAnsi="Century Gothic" w:cs="Arial"/>
          <w:sz w:val="22"/>
          <w:szCs w:val="22"/>
        </w:rPr>
        <w:t>del presente acuerdo, así como de la proposición que le dio origen a la autoridad antes mencionada</w:t>
      </w:r>
      <w:r w:rsidRPr="00CF22AB">
        <w:rPr>
          <w:rFonts w:ascii="Century Gothic" w:hAnsi="Century Gothic" w:cs="Arial"/>
          <w:sz w:val="22"/>
          <w:szCs w:val="22"/>
        </w:rPr>
        <w:t>.</w:t>
      </w:r>
    </w:p>
    <w:p w14:paraId="54A63515" w14:textId="3FBC961D" w:rsidR="0077463D" w:rsidRPr="001A53B4" w:rsidRDefault="0077463D" w:rsidP="0077463D">
      <w:pPr>
        <w:spacing w:after="120" w:line="360" w:lineRule="auto"/>
        <w:ind w:left="709"/>
        <w:jc w:val="both"/>
        <w:rPr>
          <w:rFonts w:ascii="Century Gothic" w:eastAsia="Century Gothic" w:hAnsi="Century Gothic" w:cs="Century Gothic"/>
          <w:sz w:val="22"/>
          <w:szCs w:val="22"/>
        </w:rPr>
      </w:pPr>
      <w:r w:rsidRPr="00CF22AB">
        <w:rPr>
          <w:rFonts w:ascii="Century Gothic" w:eastAsia="Century Gothic" w:hAnsi="Century Gothic" w:cs="Century Gothic"/>
          <w:sz w:val="22"/>
          <w:szCs w:val="22"/>
        </w:rPr>
        <w:t xml:space="preserve">Dado en el Recinto Oficial del Congreso del Estado de Chihuahua, a los </w:t>
      </w:r>
      <w:r w:rsidR="00AB350F">
        <w:rPr>
          <w:rFonts w:ascii="Century Gothic" w:eastAsia="Century Gothic" w:hAnsi="Century Gothic" w:cs="Century Gothic"/>
          <w:sz w:val="22"/>
          <w:szCs w:val="22"/>
        </w:rPr>
        <w:t xml:space="preserve">24 </w:t>
      </w:r>
      <w:r w:rsidRPr="00CF22AB">
        <w:rPr>
          <w:rFonts w:ascii="Century Gothic" w:eastAsia="Century Gothic" w:hAnsi="Century Gothic" w:cs="Century Gothic"/>
          <w:sz w:val="22"/>
          <w:szCs w:val="22"/>
        </w:rPr>
        <w:t xml:space="preserve">días del mes de </w:t>
      </w:r>
      <w:r>
        <w:rPr>
          <w:rFonts w:ascii="Century Gothic" w:eastAsia="Century Gothic" w:hAnsi="Century Gothic" w:cs="Century Gothic"/>
          <w:sz w:val="22"/>
          <w:szCs w:val="22"/>
        </w:rPr>
        <w:t>noviembre</w:t>
      </w:r>
      <w:r w:rsidRPr="00CF22AB">
        <w:rPr>
          <w:rFonts w:ascii="Century Gothic" w:eastAsia="Century Gothic" w:hAnsi="Century Gothic" w:cs="Century Gothic"/>
          <w:sz w:val="22"/>
          <w:szCs w:val="22"/>
        </w:rPr>
        <w:t xml:space="preserve"> del 2022.</w:t>
      </w:r>
    </w:p>
    <w:p w14:paraId="074F518E" w14:textId="77777777" w:rsidR="0077463D" w:rsidRDefault="0077463D" w:rsidP="0077463D">
      <w:pPr>
        <w:spacing w:after="120"/>
        <w:ind w:left="567"/>
        <w:jc w:val="center"/>
        <w:rPr>
          <w:rFonts w:ascii="Century Gothic" w:hAnsi="Century Gothic" w:cstheme="majorHAnsi"/>
          <w:b/>
          <w:sz w:val="24"/>
          <w:szCs w:val="24"/>
        </w:rPr>
      </w:pPr>
    </w:p>
    <w:p w14:paraId="08F86FC8" w14:textId="77777777" w:rsidR="0077463D" w:rsidRPr="00C65BE3" w:rsidRDefault="0077463D" w:rsidP="0077463D">
      <w:pPr>
        <w:spacing w:after="120"/>
        <w:ind w:left="567"/>
        <w:jc w:val="center"/>
        <w:rPr>
          <w:rFonts w:ascii="Century Gothic" w:hAnsi="Century Gothic" w:cstheme="majorHAnsi"/>
          <w:b/>
          <w:sz w:val="24"/>
          <w:szCs w:val="24"/>
        </w:rPr>
      </w:pPr>
      <w:r w:rsidRPr="00CF22AB">
        <w:rPr>
          <w:rFonts w:ascii="Century Gothic" w:hAnsi="Century Gothic" w:cstheme="majorHAnsi"/>
          <w:b/>
          <w:sz w:val="24"/>
          <w:szCs w:val="24"/>
        </w:rPr>
        <w:t>A T E N T A M E N T E</w:t>
      </w:r>
    </w:p>
    <w:p w14:paraId="3DE5122A" w14:textId="77777777" w:rsidR="0077463D" w:rsidRDefault="0077463D" w:rsidP="0077463D">
      <w:pPr>
        <w:spacing w:after="120"/>
        <w:ind w:left="567"/>
        <w:jc w:val="center"/>
        <w:rPr>
          <w:rFonts w:ascii="Century Gothic" w:eastAsiaTheme="minorHAnsi" w:hAnsi="Century Gothic" w:cstheme="majorHAnsi"/>
          <w:b/>
          <w:bCs/>
          <w:sz w:val="24"/>
          <w:szCs w:val="24"/>
          <w:lang w:eastAsia="en-US"/>
        </w:rPr>
      </w:pPr>
    </w:p>
    <w:p w14:paraId="17F6AC2D" w14:textId="77777777" w:rsidR="0077463D" w:rsidRDefault="0077463D" w:rsidP="0077463D">
      <w:pPr>
        <w:spacing w:after="120"/>
        <w:ind w:left="567"/>
        <w:jc w:val="center"/>
        <w:rPr>
          <w:rFonts w:ascii="Century Gothic" w:eastAsiaTheme="minorHAnsi" w:hAnsi="Century Gothic" w:cstheme="majorHAnsi"/>
          <w:b/>
          <w:bCs/>
          <w:sz w:val="24"/>
          <w:szCs w:val="24"/>
          <w:lang w:eastAsia="en-US"/>
        </w:rPr>
      </w:pPr>
    </w:p>
    <w:p w14:paraId="6D3808CC" w14:textId="77777777" w:rsidR="0077463D" w:rsidRPr="00CF22AB" w:rsidRDefault="0077463D" w:rsidP="0077463D">
      <w:pPr>
        <w:spacing w:after="120"/>
        <w:ind w:left="567"/>
        <w:jc w:val="center"/>
        <w:rPr>
          <w:rFonts w:ascii="Century Gothic" w:eastAsiaTheme="minorHAnsi" w:hAnsi="Century Gothic" w:cstheme="majorHAnsi"/>
          <w:b/>
          <w:bCs/>
          <w:sz w:val="24"/>
          <w:szCs w:val="24"/>
          <w:lang w:eastAsia="en-US"/>
        </w:rPr>
      </w:pPr>
      <w:r w:rsidRPr="00CF22AB">
        <w:rPr>
          <w:rFonts w:ascii="Century Gothic" w:eastAsiaTheme="minorHAnsi" w:hAnsi="Century Gothic" w:cstheme="majorHAnsi"/>
          <w:b/>
          <w:bCs/>
          <w:sz w:val="24"/>
          <w:szCs w:val="24"/>
          <w:lang w:eastAsia="en-US"/>
        </w:rPr>
        <w:t>DIP. LETICIA ORTEGA MÁYNEZ</w:t>
      </w:r>
    </w:p>
    <w:tbl>
      <w:tblPr>
        <w:tblStyle w:val="Tablaconcuadrcula1"/>
        <w:tblpPr w:leftFromText="141" w:rightFromText="141" w:vertAnchor="text" w:horzAnchor="margin" w:tblpY="107"/>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77463D" w:rsidRPr="00CF22AB" w14:paraId="1A8A1530" w14:textId="77777777" w:rsidTr="00992E1B">
        <w:trPr>
          <w:trHeight w:val="1640"/>
        </w:trPr>
        <w:tc>
          <w:tcPr>
            <w:tcW w:w="4443" w:type="dxa"/>
            <w:vAlign w:val="bottom"/>
          </w:tcPr>
          <w:p w14:paraId="19B65AC5" w14:textId="77777777" w:rsidR="0077463D" w:rsidRPr="00CF22AB" w:rsidRDefault="0077463D" w:rsidP="00992E1B">
            <w:pPr>
              <w:spacing w:after="120"/>
              <w:rPr>
                <w:rFonts w:ascii="Century Gothic" w:hAnsi="Century Gothic" w:cstheme="majorHAnsi"/>
                <w:b/>
                <w:bCs/>
                <w:sz w:val="24"/>
                <w:szCs w:val="24"/>
              </w:rPr>
            </w:pPr>
          </w:p>
          <w:p w14:paraId="03C4F756" w14:textId="77777777" w:rsidR="0077463D" w:rsidRPr="00CF22AB" w:rsidRDefault="0077463D" w:rsidP="00992E1B">
            <w:pPr>
              <w:spacing w:after="120"/>
              <w:ind w:left="567"/>
              <w:jc w:val="center"/>
              <w:rPr>
                <w:rFonts w:ascii="Century Gothic" w:hAnsi="Century Gothic" w:cstheme="majorHAnsi"/>
                <w:b/>
                <w:bCs/>
                <w:sz w:val="24"/>
                <w:szCs w:val="24"/>
              </w:rPr>
            </w:pPr>
          </w:p>
          <w:p w14:paraId="36514176" w14:textId="77777777" w:rsidR="0077463D" w:rsidRPr="00CF22AB" w:rsidRDefault="0077463D" w:rsidP="00992E1B">
            <w:pPr>
              <w:spacing w:after="120"/>
              <w:ind w:left="567"/>
              <w:jc w:val="center"/>
              <w:rPr>
                <w:rFonts w:ascii="Century Gothic" w:hAnsi="Century Gothic" w:cstheme="majorHAnsi"/>
                <w:b/>
                <w:bCs/>
                <w:sz w:val="24"/>
                <w:szCs w:val="24"/>
              </w:rPr>
            </w:pPr>
          </w:p>
          <w:p w14:paraId="66490D94"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DIP.MARIA ANTONIETA PÉREZ REYES</w:t>
            </w:r>
          </w:p>
          <w:p w14:paraId="1B9ACC12" w14:textId="77777777" w:rsidR="0077463D" w:rsidRPr="00CF22AB" w:rsidRDefault="0077463D" w:rsidP="00992E1B">
            <w:pPr>
              <w:spacing w:after="120"/>
              <w:ind w:left="567"/>
              <w:jc w:val="center"/>
              <w:rPr>
                <w:rFonts w:ascii="Century Gothic" w:hAnsi="Century Gothic" w:cstheme="majorHAnsi"/>
                <w:b/>
                <w:bCs/>
                <w:sz w:val="24"/>
                <w:szCs w:val="24"/>
              </w:rPr>
            </w:pPr>
          </w:p>
        </w:tc>
        <w:tc>
          <w:tcPr>
            <w:tcW w:w="4443" w:type="dxa"/>
            <w:vAlign w:val="center"/>
          </w:tcPr>
          <w:p w14:paraId="1C939832" w14:textId="77777777" w:rsidR="0077463D" w:rsidRPr="00CF22AB" w:rsidRDefault="0077463D" w:rsidP="00992E1B">
            <w:pPr>
              <w:spacing w:after="120"/>
              <w:rPr>
                <w:rFonts w:ascii="Century Gothic" w:hAnsi="Century Gothic" w:cstheme="majorHAnsi"/>
                <w:b/>
                <w:bCs/>
                <w:sz w:val="24"/>
                <w:szCs w:val="24"/>
              </w:rPr>
            </w:pPr>
          </w:p>
          <w:p w14:paraId="65427ED8" w14:textId="77777777" w:rsidR="0077463D" w:rsidRPr="00CF22AB" w:rsidRDefault="0077463D" w:rsidP="00992E1B">
            <w:pPr>
              <w:spacing w:after="120"/>
              <w:ind w:left="567"/>
              <w:jc w:val="center"/>
              <w:rPr>
                <w:rFonts w:ascii="Century Gothic" w:hAnsi="Century Gothic" w:cstheme="majorHAnsi"/>
                <w:b/>
                <w:bCs/>
                <w:sz w:val="24"/>
                <w:szCs w:val="24"/>
              </w:rPr>
            </w:pPr>
          </w:p>
          <w:p w14:paraId="430905A7" w14:textId="77777777" w:rsidR="0077463D" w:rsidRPr="00CF22AB" w:rsidRDefault="0077463D" w:rsidP="00992E1B">
            <w:pPr>
              <w:spacing w:after="120"/>
              <w:ind w:left="567"/>
              <w:jc w:val="center"/>
              <w:rPr>
                <w:rFonts w:ascii="Century Gothic" w:hAnsi="Century Gothic" w:cstheme="majorHAnsi"/>
                <w:b/>
                <w:bCs/>
                <w:sz w:val="24"/>
                <w:szCs w:val="24"/>
              </w:rPr>
            </w:pPr>
          </w:p>
          <w:p w14:paraId="4C2AA1B2"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DIP. ÓSCAR DANIEL AVITIA ARELLANES</w:t>
            </w:r>
          </w:p>
        </w:tc>
      </w:tr>
      <w:tr w:rsidR="0077463D" w:rsidRPr="00CF22AB" w14:paraId="37509D19" w14:textId="77777777" w:rsidTr="00992E1B">
        <w:trPr>
          <w:trHeight w:val="1640"/>
        </w:trPr>
        <w:tc>
          <w:tcPr>
            <w:tcW w:w="4443" w:type="dxa"/>
            <w:vAlign w:val="bottom"/>
          </w:tcPr>
          <w:p w14:paraId="3E5B9F04"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 xml:space="preserve">DIP. ROSANA DÍAZ </w:t>
            </w:r>
          </w:p>
          <w:p w14:paraId="5BF0285B"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REYES</w:t>
            </w:r>
          </w:p>
        </w:tc>
        <w:tc>
          <w:tcPr>
            <w:tcW w:w="4443" w:type="dxa"/>
            <w:vAlign w:val="bottom"/>
          </w:tcPr>
          <w:p w14:paraId="274904F9"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DIP. GUSTAVO DE LA ROSA HICKERSON</w:t>
            </w:r>
          </w:p>
        </w:tc>
      </w:tr>
      <w:tr w:rsidR="0077463D" w:rsidRPr="00CF22AB" w14:paraId="3A4AAFD7" w14:textId="77777777" w:rsidTr="00992E1B">
        <w:trPr>
          <w:trHeight w:val="1640"/>
        </w:trPr>
        <w:tc>
          <w:tcPr>
            <w:tcW w:w="4443" w:type="dxa"/>
            <w:vAlign w:val="bottom"/>
          </w:tcPr>
          <w:p w14:paraId="2AA79D5A"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sz w:val="24"/>
                <w:szCs w:val="24"/>
              </w:rPr>
              <w:lastRenderedPageBreak/>
              <w:t>DIP. EDIN CUAUHTÉMOC ESTRADA SOTELO</w:t>
            </w:r>
          </w:p>
        </w:tc>
        <w:tc>
          <w:tcPr>
            <w:tcW w:w="4443" w:type="dxa"/>
            <w:vAlign w:val="bottom"/>
          </w:tcPr>
          <w:p w14:paraId="7B4C544B"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sz w:val="24"/>
                <w:szCs w:val="24"/>
              </w:rPr>
              <w:t>DIP. MAGDALENA RENTERÍA PÉREZ</w:t>
            </w:r>
          </w:p>
        </w:tc>
      </w:tr>
      <w:tr w:rsidR="0077463D" w:rsidRPr="00CF22AB" w14:paraId="42FFF82E" w14:textId="77777777" w:rsidTr="00992E1B">
        <w:trPr>
          <w:trHeight w:val="1640"/>
        </w:trPr>
        <w:tc>
          <w:tcPr>
            <w:tcW w:w="4443" w:type="dxa"/>
            <w:vAlign w:val="bottom"/>
          </w:tcPr>
          <w:p w14:paraId="5E48A8D7" w14:textId="77777777" w:rsidR="0077463D" w:rsidRPr="00CF22AB" w:rsidRDefault="0077463D" w:rsidP="00992E1B">
            <w:pPr>
              <w:spacing w:after="120"/>
              <w:ind w:left="567"/>
              <w:jc w:val="center"/>
              <w:rPr>
                <w:rFonts w:ascii="Century Gothic" w:hAnsi="Century Gothic" w:cstheme="majorHAnsi"/>
                <w:b/>
                <w:bCs/>
                <w:sz w:val="24"/>
                <w:szCs w:val="24"/>
              </w:rPr>
            </w:pPr>
          </w:p>
          <w:p w14:paraId="248222DD" w14:textId="77777777" w:rsidR="0077463D" w:rsidRPr="00CF22AB" w:rsidRDefault="0077463D" w:rsidP="00992E1B">
            <w:pPr>
              <w:spacing w:after="120"/>
              <w:rPr>
                <w:rFonts w:ascii="Century Gothic" w:hAnsi="Century Gothic" w:cstheme="majorHAnsi"/>
                <w:b/>
                <w:bCs/>
                <w:sz w:val="24"/>
                <w:szCs w:val="24"/>
              </w:rPr>
            </w:pPr>
          </w:p>
          <w:p w14:paraId="2F803B33" w14:textId="77777777" w:rsidR="0077463D" w:rsidRPr="00CF22AB" w:rsidRDefault="0077463D" w:rsidP="00992E1B">
            <w:pPr>
              <w:spacing w:after="120"/>
              <w:ind w:left="567"/>
              <w:jc w:val="center"/>
              <w:rPr>
                <w:rFonts w:ascii="Century Gothic" w:hAnsi="Century Gothic" w:cstheme="majorHAnsi"/>
                <w:b/>
                <w:bCs/>
                <w:sz w:val="24"/>
                <w:szCs w:val="24"/>
              </w:rPr>
            </w:pPr>
          </w:p>
          <w:p w14:paraId="656BCEDE"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 xml:space="preserve">DIP. ILSE AMÉRICA GARCÍA SOTO </w:t>
            </w:r>
          </w:p>
        </w:tc>
        <w:tc>
          <w:tcPr>
            <w:tcW w:w="4443" w:type="dxa"/>
            <w:vAlign w:val="bottom"/>
          </w:tcPr>
          <w:p w14:paraId="73EC1574"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DIP. BENJAMÍN CARRERA CHÁVEZ</w:t>
            </w:r>
          </w:p>
        </w:tc>
      </w:tr>
      <w:tr w:rsidR="0077463D" w:rsidRPr="00CF22AB" w14:paraId="7A743209" w14:textId="77777777" w:rsidTr="00992E1B">
        <w:trPr>
          <w:trHeight w:val="1640"/>
        </w:trPr>
        <w:tc>
          <w:tcPr>
            <w:tcW w:w="4443" w:type="dxa"/>
            <w:vAlign w:val="bottom"/>
          </w:tcPr>
          <w:p w14:paraId="70E0CC0F" w14:textId="77777777" w:rsidR="0077463D" w:rsidRPr="00CF22AB" w:rsidRDefault="0077463D" w:rsidP="00992E1B">
            <w:pPr>
              <w:spacing w:after="120"/>
              <w:ind w:left="567"/>
              <w:jc w:val="center"/>
              <w:rPr>
                <w:rFonts w:ascii="Century Gothic" w:hAnsi="Century Gothic" w:cstheme="majorHAnsi"/>
                <w:b/>
                <w:bCs/>
                <w:sz w:val="24"/>
                <w:szCs w:val="24"/>
              </w:rPr>
            </w:pPr>
            <w:r w:rsidRPr="00CF22AB">
              <w:rPr>
                <w:rFonts w:ascii="Century Gothic" w:hAnsi="Century Gothic" w:cstheme="majorHAnsi"/>
                <w:b/>
                <w:bCs/>
                <w:sz w:val="24"/>
                <w:szCs w:val="24"/>
              </w:rPr>
              <w:t>DIP. DAVID OSCAR CASTREJÓN RIVAS</w:t>
            </w:r>
          </w:p>
        </w:tc>
        <w:tc>
          <w:tcPr>
            <w:tcW w:w="4443" w:type="dxa"/>
          </w:tcPr>
          <w:p w14:paraId="7B0142FF" w14:textId="77777777" w:rsidR="0077463D" w:rsidRPr="00CF22AB" w:rsidRDefault="0077463D" w:rsidP="00992E1B">
            <w:pPr>
              <w:spacing w:after="120"/>
              <w:ind w:left="567"/>
              <w:jc w:val="center"/>
              <w:rPr>
                <w:rFonts w:ascii="Century Gothic" w:hAnsi="Century Gothic" w:cstheme="majorHAnsi"/>
                <w:sz w:val="24"/>
                <w:szCs w:val="24"/>
              </w:rPr>
            </w:pPr>
          </w:p>
        </w:tc>
      </w:tr>
    </w:tbl>
    <w:p w14:paraId="56B077C8" w14:textId="77777777" w:rsidR="0077463D" w:rsidRPr="00CF22AB" w:rsidRDefault="0077463D" w:rsidP="0077463D">
      <w:pPr>
        <w:pBdr>
          <w:top w:val="nil"/>
          <w:left w:val="nil"/>
          <w:bottom w:val="nil"/>
          <w:right w:val="nil"/>
          <w:between w:val="nil"/>
        </w:pBdr>
        <w:spacing w:after="120" w:line="480" w:lineRule="auto"/>
        <w:jc w:val="both"/>
        <w:rPr>
          <w:rFonts w:ascii="Century Gothic" w:eastAsia="Century Gothic" w:hAnsi="Century Gothic" w:cs="Century Gothic"/>
          <w:b/>
          <w:sz w:val="24"/>
          <w:szCs w:val="24"/>
        </w:rPr>
      </w:pPr>
    </w:p>
    <w:p w14:paraId="00F93714" w14:textId="77777777" w:rsidR="009476F2" w:rsidRDefault="009476F2"/>
    <w:sectPr w:rsidR="009476F2">
      <w:headerReference w:type="default" r:id="rId7"/>
      <w:footerReference w:type="default" r:id="rId8"/>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CD85" w14:textId="77777777" w:rsidR="002B23C0" w:rsidRDefault="002B23C0" w:rsidP="0077463D">
      <w:r>
        <w:separator/>
      </w:r>
    </w:p>
  </w:endnote>
  <w:endnote w:type="continuationSeparator" w:id="0">
    <w:p w14:paraId="09687261" w14:textId="77777777" w:rsidR="002B23C0" w:rsidRDefault="002B23C0" w:rsidP="007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35EC" w14:textId="77777777" w:rsidR="00B05008" w:rsidRDefault="00587E71">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Pr>
        <w:rFonts w:ascii="Century Gothic" w:eastAsia="Century Gothic" w:hAnsi="Century Gothic" w:cs="Century Gothic"/>
        <w:b/>
        <w:noProof/>
        <w:color w:val="525252"/>
        <w:sz w:val="16"/>
        <w:szCs w:val="16"/>
      </w:rPr>
      <w:t>2</w:t>
    </w:r>
    <w:r>
      <w:rPr>
        <w:rFonts w:ascii="Century Gothic" w:eastAsia="Century Gothic" w:hAnsi="Century Gothic" w:cs="Century Gothic"/>
        <w:b/>
        <w:color w:val="525252"/>
        <w:sz w:val="16"/>
        <w:szCs w:val="16"/>
      </w:rPr>
      <w:fldChar w:fldCharType="end"/>
    </w:r>
  </w:p>
  <w:p w14:paraId="1A8157AF" w14:textId="77777777" w:rsidR="00B05008" w:rsidRDefault="0051060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255F" w14:textId="77777777" w:rsidR="002B23C0" w:rsidRDefault="002B23C0" w:rsidP="0077463D">
      <w:r>
        <w:separator/>
      </w:r>
    </w:p>
  </w:footnote>
  <w:footnote w:type="continuationSeparator" w:id="0">
    <w:p w14:paraId="2D8C1B2E" w14:textId="77777777" w:rsidR="002B23C0" w:rsidRDefault="002B23C0" w:rsidP="0077463D">
      <w:r>
        <w:continuationSeparator/>
      </w:r>
    </w:p>
  </w:footnote>
  <w:footnote w:id="1">
    <w:p w14:paraId="13DB8CE5" w14:textId="77777777" w:rsidR="00E20082" w:rsidRDefault="00E20082" w:rsidP="00CD13B3">
      <w:pPr>
        <w:pStyle w:val="Textonotapie"/>
        <w:jc w:val="both"/>
      </w:pPr>
      <w:r>
        <w:rPr>
          <w:rStyle w:val="Refdenotaalpie"/>
        </w:rPr>
        <w:footnoteRef/>
      </w:r>
      <w:r>
        <w:t xml:space="preserve"> De la Secretaría de Seguridad y Protección Ciudadana.  Enero-septiembre 2022.  https://www.google.com/search?gs_ssp=eJwNyDESgjAQAMCx1U9cY</w:t>
      </w:r>
    </w:p>
  </w:footnote>
  <w:footnote w:id="2">
    <w:p w14:paraId="68B8F053" w14:textId="77777777" w:rsidR="00E20082" w:rsidRDefault="00E20082" w:rsidP="00CD13B3">
      <w:pPr>
        <w:pStyle w:val="Textonotapie"/>
        <w:jc w:val="both"/>
      </w:pPr>
      <w:r>
        <w:rPr>
          <w:rStyle w:val="Refdenotaalpie"/>
        </w:rPr>
        <w:footnoteRef/>
      </w:r>
      <w:r>
        <w:t xml:space="preserve"> La contabilidad del delito de feminicidio se realiza conforme al manual de llenado del Instrumento para el Registro, Clasificación y Reporte de los Delitos y las Víctimas</w:t>
      </w:r>
    </w:p>
  </w:footnote>
  <w:footnote w:id="3">
    <w:p w14:paraId="19E896C4" w14:textId="117E7F7D" w:rsidR="00E20082" w:rsidRDefault="00E20082" w:rsidP="00CD13B3">
      <w:pPr>
        <w:pStyle w:val="Textonotapie"/>
        <w:jc w:val="both"/>
      </w:pPr>
      <w:r>
        <w:rPr>
          <w:rStyle w:val="Refdenotaalpie"/>
        </w:rPr>
        <w:footnoteRef/>
      </w:r>
      <w:r>
        <w:t xml:space="preserve"> Incluye violación simple y violación equiparada.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6632" w14:textId="77777777" w:rsidR="00325B88" w:rsidRPr="00325B88" w:rsidRDefault="00587E71"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3CE379DC" w14:textId="77777777" w:rsidR="00B05008" w:rsidRDefault="00510606">
    <w:pPr>
      <w:pBdr>
        <w:top w:val="nil"/>
        <w:left w:val="nil"/>
        <w:bottom w:val="nil"/>
        <w:right w:val="nil"/>
        <w:between w:val="nil"/>
      </w:pBdr>
      <w:tabs>
        <w:tab w:val="center" w:pos="4419"/>
        <w:tab w:val="right" w:pos="8838"/>
      </w:tabs>
      <w:rPr>
        <w:color w:val="000000"/>
        <w:sz w:val="24"/>
        <w:szCs w:val="24"/>
      </w:rPr>
    </w:pPr>
  </w:p>
  <w:p w14:paraId="7DC6C3C3" w14:textId="77777777" w:rsidR="00B05008" w:rsidRDefault="00510606">
    <w:pPr>
      <w:pBdr>
        <w:top w:val="nil"/>
        <w:left w:val="nil"/>
        <w:bottom w:val="nil"/>
        <w:right w:val="nil"/>
        <w:between w:val="nil"/>
      </w:pBdr>
      <w:tabs>
        <w:tab w:val="center" w:pos="4419"/>
        <w:tab w:val="right" w:pos="8838"/>
      </w:tabs>
      <w:rPr>
        <w:color w:val="000000"/>
        <w:sz w:val="24"/>
        <w:szCs w:val="24"/>
      </w:rPr>
    </w:pPr>
  </w:p>
  <w:p w14:paraId="4D50FDAF" w14:textId="77777777" w:rsidR="00B05008" w:rsidRDefault="00510606">
    <w:pPr>
      <w:pBdr>
        <w:top w:val="nil"/>
        <w:left w:val="nil"/>
        <w:bottom w:val="nil"/>
        <w:right w:val="nil"/>
        <w:between w:val="nil"/>
      </w:pBdr>
      <w:tabs>
        <w:tab w:val="center" w:pos="4419"/>
        <w:tab w:val="right" w:pos="8838"/>
      </w:tabs>
      <w:rPr>
        <w:color w:val="000000"/>
        <w:sz w:val="24"/>
        <w:szCs w:val="24"/>
      </w:rPr>
    </w:pPr>
  </w:p>
  <w:p w14:paraId="37210781" w14:textId="77777777" w:rsidR="00B05008" w:rsidRDefault="00510606"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69D9"/>
    <w:multiLevelType w:val="hybridMultilevel"/>
    <w:tmpl w:val="F6FE39C8"/>
    <w:lvl w:ilvl="0" w:tplc="080A0001">
      <w:start w:val="1"/>
      <w:numFmt w:val="bullet"/>
      <w:lvlText w:val=""/>
      <w:lvlJc w:val="left"/>
      <w:pPr>
        <w:ind w:left="1178" w:hanging="360"/>
      </w:pPr>
      <w:rPr>
        <w:rFonts w:ascii="Symbol" w:hAnsi="Symbol"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3D"/>
    <w:rsid w:val="00211050"/>
    <w:rsid w:val="002B0AA2"/>
    <w:rsid w:val="002B23C0"/>
    <w:rsid w:val="002F3075"/>
    <w:rsid w:val="00393495"/>
    <w:rsid w:val="003A4B37"/>
    <w:rsid w:val="003B3642"/>
    <w:rsid w:val="003B577E"/>
    <w:rsid w:val="00404F0A"/>
    <w:rsid w:val="00450ABB"/>
    <w:rsid w:val="004C6CAD"/>
    <w:rsid w:val="00510606"/>
    <w:rsid w:val="00524597"/>
    <w:rsid w:val="00583EF0"/>
    <w:rsid w:val="00587E71"/>
    <w:rsid w:val="006842B1"/>
    <w:rsid w:val="006900D9"/>
    <w:rsid w:val="00727DFF"/>
    <w:rsid w:val="00735093"/>
    <w:rsid w:val="0077463D"/>
    <w:rsid w:val="007908F3"/>
    <w:rsid w:val="007C20B8"/>
    <w:rsid w:val="00822796"/>
    <w:rsid w:val="00833052"/>
    <w:rsid w:val="008C1EE4"/>
    <w:rsid w:val="009476F2"/>
    <w:rsid w:val="009A02A1"/>
    <w:rsid w:val="00A83393"/>
    <w:rsid w:val="00AB350F"/>
    <w:rsid w:val="00B07B70"/>
    <w:rsid w:val="00B30193"/>
    <w:rsid w:val="00B70358"/>
    <w:rsid w:val="00B77DAB"/>
    <w:rsid w:val="00C56C5B"/>
    <w:rsid w:val="00CA5CE0"/>
    <w:rsid w:val="00CB4C3B"/>
    <w:rsid w:val="00CD13B3"/>
    <w:rsid w:val="00D07027"/>
    <w:rsid w:val="00D071EA"/>
    <w:rsid w:val="00D12A6F"/>
    <w:rsid w:val="00E20082"/>
    <w:rsid w:val="00E63A35"/>
    <w:rsid w:val="00E96B3A"/>
    <w:rsid w:val="00F53B8D"/>
    <w:rsid w:val="00F573C0"/>
    <w:rsid w:val="00FB1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830E"/>
  <w15:chartTrackingRefBased/>
  <w15:docId w15:val="{0CBEFC58-6CCB-46D3-AFC9-6D3C4AF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3D"/>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77463D"/>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77463D"/>
    <w:rPr>
      <w:rFonts w:ascii="Times New Roman" w:eastAsia="Times New Roman" w:hAnsi="Times New Roman" w:cs="Times New Roman"/>
      <w:sz w:val="20"/>
      <w:szCs w:val="20"/>
      <w:lang w:val="es-ES_tradnl" w:eastAsia="es-MX"/>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77463D"/>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77463D"/>
    <w:rPr>
      <w:rFonts w:ascii="Times New Roman" w:eastAsia="Times New Roman" w:hAnsi="Times New Roman" w:cs="Times New Roman"/>
      <w:sz w:val="20"/>
      <w:szCs w:val="20"/>
      <w:lang w:val="es-ES_tradnl"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77463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7463D"/>
    <w:pPr>
      <w:jc w:val="both"/>
    </w:pPr>
    <w:rPr>
      <w:rFonts w:asciiTheme="minorHAnsi" w:eastAsiaTheme="minorHAnsi" w:hAnsiTheme="minorHAnsi" w:cstheme="minorBidi"/>
      <w:sz w:val="22"/>
      <w:szCs w:val="22"/>
      <w:vertAlign w:val="superscript"/>
      <w:lang w:eastAsia="en-US"/>
    </w:rPr>
  </w:style>
  <w:style w:type="table" w:customStyle="1" w:styleId="Tablaconcuadrcula1">
    <w:name w:val="Tabla con cuadrícula1"/>
    <w:basedOn w:val="Tablanormal"/>
    <w:next w:val="Tablaconcuadrcula"/>
    <w:uiPriority w:val="39"/>
    <w:rsid w:val="0077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7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12A6F"/>
    <w:rPr>
      <w:color w:val="0000FF"/>
      <w:u w:val="single"/>
    </w:rPr>
  </w:style>
  <w:style w:type="paragraph" w:styleId="NormalWeb">
    <w:name w:val="Normal (Web)"/>
    <w:basedOn w:val="Normal"/>
    <w:uiPriority w:val="99"/>
    <w:semiHidden/>
    <w:unhideWhenUsed/>
    <w:rsid w:val="00D071EA"/>
    <w:pPr>
      <w:spacing w:before="100" w:beforeAutospacing="1" w:after="100" w:afterAutospacing="1"/>
    </w:pPr>
    <w:rPr>
      <w:sz w:val="24"/>
      <w:szCs w:val="24"/>
    </w:rPr>
  </w:style>
  <w:style w:type="character" w:styleId="Textoennegrita">
    <w:name w:val="Strong"/>
    <w:basedOn w:val="Fuentedeprrafopredeter"/>
    <w:uiPriority w:val="22"/>
    <w:qFormat/>
    <w:rsid w:val="002F3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7168">
      <w:bodyDiv w:val="1"/>
      <w:marLeft w:val="0"/>
      <w:marRight w:val="0"/>
      <w:marTop w:val="0"/>
      <w:marBottom w:val="0"/>
      <w:divBdr>
        <w:top w:val="none" w:sz="0" w:space="0" w:color="auto"/>
        <w:left w:val="none" w:sz="0" w:space="0" w:color="auto"/>
        <w:bottom w:val="none" w:sz="0" w:space="0" w:color="auto"/>
        <w:right w:val="none" w:sz="0" w:space="0" w:color="auto"/>
      </w:divBdr>
    </w:div>
    <w:div w:id="687490951">
      <w:bodyDiv w:val="1"/>
      <w:marLeft w:val="0"/>
      <w:marRight w:val="0"/>
      <w:marTop w:val="0"/>
      <w:marBottom w:val="0"/>
      <w:divBdr>
        <w:top w:val="none" w:sz="0" w:space="0" w:color="auto"/>
        <w:left w:val="none" w:sz="0" w:space="0" w:color="auto"/>
        <w:bottom w:val="none" w:sz="0" w:space="0" w:color="auto"/>
        <w:right w:val="none" w:sz="0" w:space="0" w:color="auto"/>
      </w:divBdr>
    </w:div>
    <w:div w:id="727533162">
      <w:bodyDiv w:val="1"/>
      <w:marLeft w:val="0"/>
      <w:marRight w:val="0"/>
      <w:marTop w:val="0"/>
      <w:marBottom w:val="0"/>
      <w:divBdr>
        <w:top w:val="none" w:sz="0" w:space="0" w:color="auto"/>
        <w:left w:val="none" w:sz="0" w:space="0" w:color="auto"/>
        <w:bottom w:val="none" w:sz="0" w:space="0" w:color="auto"/>
        <w:right w:val="none" w:sz="0" w:space="0" w:color="auto"/>
      </w:divBdr>
    </w:div>
    <w:div w:id="1080365586">
      <w:bodyDiv w:val="1"/>
      <w:marLeft w:val="0"/>
      <w:marRight w:val="0"/>
      <w:marTop w:val="0"/>
      <w:marBottom w:val="0"/>
      <w:divBdr>
        <w:top w:val="none" w:sz="0" w:space="0" w:color="auto"/>
        <w:left w:val="none" w:sz="0" w:space="0" w:color="auto"/>
        <w:bottom w:val="none" w:sz="0" w:space="0" w:color="auto"/>
        <w:right w:val="none" w:sz="0" w:space="0" w:color="auto"/>
      </w:divBdr>
    </w:div>
    <w:div w:id="12434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dc:creator>
  <cp:keywords/>
  <dc:description/>
  <cp:lastModifiedBy>Brenda Sarahi Gonzalez Dominguez</cp:lastModifiedBy>
  <cp:revision>2</cp:revision>
  <cp:lastPrinted>2022-11-23T18:27:00Z</cp:lastPrinted>
  <dcterms:created xsi:type="dcterms:W3CDTF">2022-11-23T20:52:00Z</dcterms:created>
  <dcterms:modified xsi:type="dcterms:W3CDTF">2022-11-23T20:52:00Z</dcterms:modified>
</cp:coreProperties>
</file>