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0DE" w14:textId="77777777" w:rsidR="00FD5EDD" w:rsidRDefault="00BC02FA">
      <w:pPr>
        <w:pStyle w:val="CuerpoA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 xml:space="preserve">H. CONGRESO DEL ESTADO  </w:t>
      </w:r>
    </w:p>
    <w:p w14:paraId="57D4CCF4" w14:textId="77777777" w:rsidR="00FD5EDD" w:rsidRDefault="00BC02FA">
      <w:pPr>
        <w:pStyle w:val="CuerpoA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lang w:val="it-IT"/>
        </w:rPr>
      </w:pPr>
      <w:r>
        <w:rPr>
          <w:rStyle w:val="Ninguno"/>
          <w:rFonts w:ascii="Century Gothic" w:hAnsi="Century Gothic"/>
          <w:b/>
          <w:bCs/>
          <w:lang w:val="it-IT"/>
        </w:rPr>
        <w:t>P R E S E N T E.-</w:t>
      </w:r>
    </w:p>
    <w:p w14:paraId="19C79159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Quien suscribe, </w:t>
      </w:r>
      <w:r>
        <w:rPr>
          <w:rStyle w:val="Ninguno"/>
          <w:rFonts w:ascii="Century Gothic" w:hAnsi="Century Gothic"/>
          <w:b/>
          <w:bCs/>
          <w:lang w:val="it-IT"/>
        </w:rPr>
        <w:t>Isela Mart</w:t>
      </w:r>
      <w:proofErr w:type="spellStart"/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</w:rPr>
        <w:t>nez</w:t>
      </w:r>
      <w:proofErr w:type="spellEnd"/>
      <w:r>
        <w:rPr>
          <w:rStyle w:val="Ninguno"/>
          <w:rFonts w:ascii="Century Gothic" w:hAnsi="Century Gothic"/>
          <w:b/>
          <w:bCs/>
        </w:rPr>
        <w:t xml:space="preserve"> D</w:t>
      </w:r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</w:rPr>
        <w:t xml:space="preserve">az, </w:t>
      </w:r>
      <w:r>
        <w:rPr>
          <w:rStyle w:val="Ninguno"/>
          <w:rFonts w:ascii="Century Gothic" w:hAnsi="Century Gothic"/>
        </w:rPr>
        <w:t>Diputada en la Sexag</w:t>
      </w:r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sima S</w:t>
      </w:r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ptima Legislatura e integrante del Grupo Parlamentario del Partido Acci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Nacional y en su representaci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n, con fundamento en el art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 xml:space="preserve">culo 167, </w:t>
      </w:r>
      <w:r>
        <w:rPr>
          <w:rStyle w:val="Ninguno"/>
          <w:rFonts w:ascii="Century Gothic" w:hAnsi="Century Gothic"/>
        </w:rPr>
        <w:t>fracci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I de la Ley Org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nica del Poder Legislativo del Estado y los correlativos 75, 76 y 77 del Reglamento Interior y de Pr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cticas Parlamentarias, someto a consideraci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n de esta Honorable Asamblea, la presente </w:t>
      </w:r>
      <w:r>
        <w:rPr>
          <w:rStyle w:val="Ninguno"/>
          <w:rFonts w:ascii="Century Gothic" w:hAnsi="Century Gothic"/>
          <w:b/>
          <w:bCs/>
          <w:i/>
          <w:iCs/>
        </w:rPr>
        <w:t>I</w:t>
      </w:r>
      <w:r>
        <w:rPr>
          <w:rStyle w:val="Ninguno"/>
          <w:rFonts w:ascii="Century Gothic" w:hAnsi="Century Gothic"/>
          <w:b/>
          <w:bCs/>
          <w:i/>
          <w:iCs/>
          <w:shd w:val="clear" w:color="auto" w:fill="FFFFFF"/>
          <w:lang w:val="pt-PT"/>
        </w:rPr>
        <w:t xml:space="preserve">NICIATIVA </w:t>
      </w:r>
      <w:r>
        <w:rPr>
          <w:rStyle w:val="Ninguno"/>
          <w:rFonts w:ascii="Century Gothic" w:hAnsi="Century Gothic"/>
          <w:b/>
          <w:bCs/>
          <w:i/>
          <w:iCs/>
          <w:shd w:val="clear" w:color="auto" w:fill="FFFFFF"/>
        </w:rPr>
        <w:t xml:space="preserve">DE </w:t>
      </w:r>
      <w:r>
        <w:rPr>
          <w:rStyle w:val="Ninguno"/>
          <w:rFonts w:ascii="Century Gothic" w:hAnsi="Century Gothic"/>
          <w:b/>
          <w:bCs/>
          <w:i/>
          <w:iCs/>
          <w:shd w:val="clear" w:color="auto" w:fill="FFFFFF"/>
          <w:lang w:val="da-DK"/>
        </w:rPr>
        <w:t>DECRETO</w:t>
      </w:r>
      <w:r>
        <w:rPr>
          <w:rStyle w:val="Ninguno"/>
          <w:rFonts w:ascii="Century Gothic" w:hAnsi="Century Gothic"/>
          <w:b/>
          <w:bCs/>
          <w:i/>
          <w:iCs/>
        </w:rPr>
        <w:t xml:space="preserve"> QUE PRETENDE AMPLIAR LA INICIATIVA CON N</w:t>
      </w:r>
      <w:r>
        <w:rPr>
          <w:rStyle w:val="Ninguno"/>
          <w:rFonts w:ascii="Century Gothic" w:hAnsi="Century Gothic"/>
          <w:b/>
          <w:bCs/>
          <w:i/>
          <w:iCs/>
        </w:rPr>
        <w:t>Ú</w:t>
      </w:r>
      <w:r>
        <w:rPr>
          <w:rStyle w:val="Ninguno"/>
          <w:rFonts w:ascii="Century Gothic" w:hAnsi="Century Gothic"/>
          <w:b/>
          <w:bCs/>
          <w:i/>
          <w:iCs/>
        </w:rPr>
        <w:t>MERO DE ASUNTO 1063, PRESENTADA EL 30 DE MAYO DEL PRESENTE A</w:t>
      </w:r>
      <w:r>
        <w:rPr>
          <w:rStyle w:val="Ninguno"/>
          <w:rFonts w:ascii="Century Gothic" w:hAnsi="Century Gothic"/>
          <w:b/>
          <w:bCs/>
          <w:i/>
          <w:iCs/>
        </w:rPr>
        <w:t>Ñ</w:t>
      </w:r>
      <w:r>
        <w:rPr>
          <w:rStyle w:val="Ninguno"/>
          <w:rFonts w:ascii="Century Gothic" w:hAnsi="Century Gothic"/>
          <w:b/>
          <w:bCs/>
          <w:i/>
          <w:iCs/>
        </w:rPr>
        <w:t>O, POR EL GRUPO PARLAMENTARIO DE ACCI</w:t>
      </w:r>
      <w:r>
        <w:rPr>
          <w:rStyle w:val="Ninguno"/>
          <w:rFonts w:ascii="Century Gothic" w:hAnsi="Century Gothic"/>
          <w:b/>
          <w:bCs/>
          <w:i/>
          <w:iCs/>
        </w:rPr>
        <w:t>Ó</w:t>
      </w:r>
      <w:r>
        <w:rPr>
          <w:rStyle w:val="Ninguno"/>
          <w:rFonts w:ascii="Century Gothic" w:hAnsi="Century Gothic"/>
          <w:b/>
          <w:bCs/>
          <w:i/>
          <w:iCs/>
        </w:rPr>
        <w:t>N NACIONAL, ADICIONANDO AL T</w:t>
      </w:r>
      <w:r>
        <w:rPr>
          <w:rStyle w:val="Ninguno"/>
          <w:rFonts w:ascii="Century Gothic" w:hAnsi="Century Gothic"/>
          <w:b/>
          <w:bCs/>
          <w:i/>
          <w:iCs/>
        </w:rPr>
        <w:t>Í</w:t>
      </w:r>
      <w:r>
        <w:rPr>
          <w:rStyle w:val="Ninguno"/>
          <w:rFonts w:ascii="Century Gothic" w:hAnsi="Century Gothic"/>
          <w:b/>
          <w:bCs/>
          <w:i/>
          <w:iCs/>
          <w:lang w:val="pt-PT"/>
        </w:rPr>
        <w:t>TULO IX, UN CAP</w:t>
      </w:r>
      <w:r>
        <w:rPr>
          <w:rStyle w:val="Ninguno"/>
          <w:rFonts w:ascii="Century Gothic" w:hAnsi="Century Gothic"/>
          <w:b/>
          <w:bCs/>
          <w:i/>
          <w:iCs/>
        </w:rPr>
        <w:t>Í</w:t>
      </w:r>
      <w:r>
        <w:rPr>
          <w:rStyle w:val="Ninguno"/>
          <w:rFonts w:ascii="Century Gothic" w:hAnsi="Century Gothic"/>
          <w:b/>
          <w:bCs/>
          <w:i/>
          <w:iCs/>
        </w:rPr>
        <w:t xml:space="preserve">TULO VI DENOMINADO </w:t>
      </w:r>
      <w:r>
        <w:rPr>
          <w:rStyle w:val="Ninguno"/>
          <w:rFonts w:ascii="Century Gothic" w:hAnsi="Century Gothic"/>
          <w:b/>
          <w:bCs/>
          <w:i/>
          <w:iCs/>
        </w:rPr>
        <w:t>“</w:t>
      </w:r>
      <w:r>
        <w:rPr>
          <w:rStyle w:val="Ninguno"/>
          <w:rFonts w:ascii="Century Gothic" w:hAnsi="Century Gothic"/>
          <w:b/>
          <w:bCs/>
          <w:i/>
          <w:iCs/>
        </w:rPr>
        <w:t>DEL SERVICIO PROFESIONAL DE CARRERA DE LAS PERSONA</w:t>
      </w:r>
      <w:r>
        <w:rPr>
          <w:rStyle w:val="Ninguno"/>
          <w:rFonts w:ascii="Century Gothic" w:hAnsi="Century Gothic"/>
          <w:b/>
          <w:bCs/>
          <w:i/>
          <w:iCs/>
        </w:rPr>
        <w:t>S DEFENSORAS P</w:t>
      </w:r>
      <w:r>
        <w:rPr>
          <w:rStyle w:val="Ninguno"/>
          <w:rFonts w:ascii="Century Gothic" w:hAnsi="Century Gothic"/>
          <w:b/>
          <w:bCs/>
          <w:i/>
          <w:iCs/>
        </w:rPr>
        <w:t>Ú</w:t>
      </w:r>
      <w:r>
        <w:rPr>
          <w:rStyle w:val="Ninguno"/>
          <w:rFonts w:ascii="Century Gothic" w:hAnsi="Century Gothic"/>
          <w:b/>
          <w:bCs/>
          <w:i/>
          <w:iCs/>
        </w:rPr>
        <w:t>BLICAS</w:t>
      </w:r>
      <w:r>
        <w:rPr>
          <w:rStyle w:val="Ninguno"/>
          <w:rFonts w:ascii="Century Gothic" w:hAnsi="Century Gothic"/>
          <w:b/>
          <w:bCs/>
          <w:i/>
          <w:iCs/>
        </w:rPr>
        <w:t>”</w:t>
      </w:r>
      <w:r>
        <w:rPr>
          <w:rStyle w:val="Ninguno"/>
          <w:rFonts w:ascii="Century Gothic" w:hAnsi="Century Gothic"/>
          <w:b/>
          <w:bCs/>
          <w:i/>
          <w:iCs/>
        </w:rPr>
        <w:t>, QUE CONTIENE LOS ART</w:t>
      </w:r>
      <w:r>
        <w:rPr>
          <w:rStyle w:val="Ninguno"/>
          <w:rFonts w:ascii="Century Gothic" w:hAnsi="Century Gothic"/>
          <w:b/>
          <w:bCs/>
          <w:i/>
          <w:iCs/>
        </w:rPr>
        <w:t>Í</w:t>
      </w:r>
      <w:r>
        <w:rPr>
          <w:rStyle w:val="Ninguno"/>
          <w:rFonts w:ascii="Century Gothic" w:hAnsi="Century Gothic"/>
          <w:b/>
          <w:bCs/>
          <w:i/>
          <w:iCs/>
        </w:rPr>
        <w:t>CULOS 117 BIS Y 117 TER DE LA CONSTITUCI</w:t>
      </w:r>
      <w:r>
        <w:rPr>
          <w:rStyle w:val="Ninguno"/>
          <w:rFonts w:ascii="Century Gothic" w:hAnsi="Century Gothic"/>
          <w:b/>
          <w:bCs/>
          <w:i/>
          <w:iCs/>
        </w:rPr>
        <w:t>Ó</w:t>
      </w:r>
      <w:r>
        <w:rPr>
          <w:rStyle w:val="Ninguno"/>
          <w:rFonts w:ascii="Century Gothic" w:hAnsi="Century Gothic"/>
          <w:b/>
          <w:bCs/>
          <w:i/>
          <w:iCs/>
        </w:rPr>
        <w:t xml:space="preserve">N; </w:t>
      </w:r>
      <w:r>
        <w:rPr>
          <w:rStyle w:val="Ninguno"/>
          <w:rFonts w:ascii="Century Gothic" w:hAnsi="Century Gothic"/>
        </w:rPr>
        <w:t xml:space="preserve">al  tenor de la siguiente: </w:t>
      </w:r>
    </w:p>
    <w:p w14:paraId="181FBB9B" w14:textId="77777777" w:rsidR="00FD5EDD" w:rsidRDefault="00BC02FA">
      <w:pPr>
        <w:pStyle w:val="CuerpoA"/>
        <w:spacing w:after="160"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pt-PT"/>
        </w:rPr>
        <w:t>EXPOSICI</w:t>
      </w:r>
      <w:r>
        <w:rPr>
          <w:rStyle w:val="Ninguno"/>
          <w:rFonts w:ascii="Century Gothic" w:hAnsi="Century Gothic"/>
          <w:b/>
          <w:bCs/>
        </w:rPr>
        <w:t>Ó</w:t>
      </w:r>
      <w:r>
        <w:rPr>
          <w:rStyle w:val="Ninguno"/>
          <w:rFonts w:ascii="Century Gothic" w:hAnsi="Century Gothic"/>
          <w:b/>
          <w:bCs/>
        </w:rPr>
        <w:t>N DE MOTIVOS</w:t>
      </w:r>
    </w:p>
    <w:p w14:paraId="146CEC99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La reforma constitucional federal de 2008 en materia procesal penal oblig</w:t>
      </w:r>
      <w:r>
        <w:rPr>
          <w:rStyle w:val="Ninguno"/>
          <w:rFonts w:ascii="Century Gothic" w:hAnsi="Century Gothic"/>
        </w:rPr>
        <w:t xml:space="preserve">ó </w:t>
      </w:r>
      <w:r>
        <w:rPr>
          <w:rStyle w:val="Ninguno"/>
          <w:rFonts w:ascii="Century Gothic" w:hAnsi="Century Gothic"/>
        </w:rPr>
        <w:t xml:space="preserve">a las entidades federativas a reformar la </w:t>
      </w:r>
      <w:r>
        <w:rPr>
          <w:rStyle w:val="Ninguno"/>
          <w:rFonts w:ascii="Century Gothic" w:hAnsi="Century Gothic"/>
        </w:rPr>
        <w:t>“</w:t>
      </w:r>
      <w:r>
        <w:rPr>
          <w:rStyle w:val="Ninguno"/>
          <w:rFonts w:ascii="Century Gothic" w:hAnsi="Century Gothic"/>
        </w:rPr>
        <w:t>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de oficio</w:t>
      </w:r>
      <w:r>
        <w:rPr>
          <w:rStyle w:val="Ninguno"/>
          <w:rFonts w:ascii="Century Gothic" w:hAnsi="Century Gothic"/>
        </w:rPr>
        <w:t>”</w:t>
      </w:r>
      <w:r>
        <w:rPr>
          <w:rStyle w:val="Ninguno"/>
          <w:rFonts w:ascii="Century Gothic" w:hAnsi="Century Gothic"/>
        </w:rPr>
        <w:t>, a fin de que pudiera proporcionar un servicio de defensa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blica de calidad, universal y gratuita.</w:t>
      </w:r>
    </w:p>
    <w:p w14:paraId="31BD6168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Producto de esta reforma, el pen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ltimo p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rrafo del art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culo 17 constitucional establece que:</w:t>
      </w:r>
    </w:p>
    <w:p w14:paraId="494E929F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i/>
          <w:iCs/>
        </w:rPr>
        <w:t>“</w:t>
      </w:r>
      <w:r>
        <w:rPr>
          <w:rStyle w:val="Ninguno"/>
          <w:rFonts w:ascii="Century Gothic" w:hAnsi="Century Gothic"/>
          <w:i/>
          <w:iCs/>
        </w:rPr>
        <w:t>La Federaci</w:t>
      </w:r>
      <w:r>
        <w:rPr>
          <w:rStyle w:val="Ninguno"/>
          <w:rFonts w:ascii="Century Gothic" w:hAnsi="Century Gothic"/>
          <w:i/>
          <w:iCs/>
        </w:rPr>
        <w:t>ó</w:t>
      </w:r>
      <w:r>
        <w:rPr>
          <w:rStyle w:val="Ninguno"/>
          <w:rFonts w:ascii="Century Gothic" w:hAnsi="Century Gothic"/>
          <w:i/>
          <w:iCs/>
        </w:rPr>
        <w:t>n, los Estados y el Distrit</w:t>
      </w:r>
      <w:r>
        <w:rPr>
          <w:rStyle w:val="Ninguno"/>
          <w:rFonts w:ascii="Century Gothic" w:hAnsi="Century Gothic"/>
          <w:i/>
          <w:iCs/>
        </w:rPr>
        <w:t>o Federal garantizar</w:t>
      </w:r>
      <w:r>
        <w:rPr>
          <w:rStyle w:val="Ninguno"/>
          <w:rFonts w:ascii="Century Gothic" w:hAnsi="Century Gothic"/>
          <w:i/>
          <w:iCs/>
        </w:rPr>
        <w:t>á</w:t>
      </w:r>
      <w:r>
        <w:rPr>
          <w:rStyle w:val="Ninguno"/>
          <w:rFonts w:ascii="Century Gothic" w:hAnsi="Century Gothic"/>
          <w:i/>
          <w:iCs/>
        </w:rPr>
        <w:t>n la existencia de un servicio de defensor</w:t>
      </w:r>
      <w:r>
        <w:rPr>
          <w:rStyle w:val="Ninguno"/>
          <w:rFonts w:ascii="Century Gothic" w:hAnsi="Century Gothic"/>
          <w:i/>
          <w:iCs/>
        </w:rPr>
        <w:t>í</w:t>
      </w:r>
      <w:r>
        <w:rPr>
          <w:rStyle w:val="Ninguno"/>
          <w:rFonts w:ascii="Century Gothic" w:hAnsi="Century Gothic"/>
          <w:i/>
          <w:iCs/>
        </w:rPr>
        <w:t>a p</w:t>
      </w:r>
      <w:r>
        <w:rPr>
          <w:rStyle w:val="Ninguno"/>
          <w:rFonts w:ascii="Century Gothic" w:hAnsi="Century Gothic"/>
          <w:i/>
          <w:iCs/>
        </w:rPr>
        <w:t>ú</w:t>
      </w:r>
      <w:r>
        <w:rPr>
          <w:rStyle w:val="Ninguno"/>
          <w:rFonts w:ascii="Century Gothic" w:hAnsi="Century Gothic"/>
          <w:i/>
          <w:iCs/>
        </w:rPr>
        <w:t>blica de calidad para la poblaci</w:t>
      </w:r>
      <w:r>
        <w:rPr>
          <w:rStyle w:val="Ninguno"/>
          <w:rFonts w:ascii="Century Gothic" w:hAnsi="Century Gothic"/>
          <w:i/>
          <w:iCs/>
        </w:rPr>
        <w:t>ó</w:t>
      </w:r>
      <w:r>
        <w:rPr>
          <w:rStyle w:val="Ninguno"/>
          <w:rFonts w:ascii="Century Gothic" w:hAnsi="Century Gothic"/>
          <w:i/>
          <w:iCs/>
        </w:rPr>
        <w:t>n y asegurar</w:t>
      </w:r>
      <w:r>
        <w:rPr>
          <w:rStyle w:val="Ninguno"/>
          <w:rFonts w:ascii="Century Gothic" w:hAnsi="Century Gothic"/>
          <w:i/>
          <w:iCs/>
        </w:rPr>
        <w:t>á</w:t>
      </w:r>
      <w:r>
        <w:rPr>
          <w:rStyle w:val="Ninguno"/>
          <w:rFonts w:ascii="Century Gothic" w:hAnsi="Century Gothic"/>
          <w:i/>
          <w:iCs/>
        </w:rPr>
        <w:t>n las condiciones para un servicio profesional de carrera para los defensores. Las percepciones de los defensores no podr</w:t>
      </w:r>
      <w:r>
        <w:rPr>
          <w:rStyle w:val="Ninguno"/>
          <w:rFonts w:ascii="Century Gothic" w:hAnsi="Century Gothic"/>
          <w:i/>
          <w:iCs/>
        </w:rPr>
        <w:t>á</w:t>
      </w:r>
      <w:r>
        <w:rPr>
          <w:rStyle w:val="Ninguno"/>
          <w:rFonts w:ascii="Century Gothic" w:hAnsi="Century Gothic"/>
          <w:i/>
          <w:iCs/>
        </w:rPr>
        <w:t>n ser inferiores a l</w:t>
      </w:r>
      <w:r>
        <w:rPr>
          <w:rStyle w:val="Ninguno"/>
          <w:rFonts w:ascii="Century Gothic" w:hAnsi="Century Gothic"/>
          <w:i/>
          <w:iCs/>
        </w:rPr>
        <w:t>as que correspondan a los agentes del Ministerio P</w:t>
      </w:r>
      <w:r>
        <w:rPr>
          <w:rStyle w:val="Ninguno"/>
          <w:rFonts w:ascii="Century Gothic" w:hAnsi="Century Gothic"/>
          <w:i/>
          <w:iCs/>
        </w:rPr>
        <w:t>ú</w:t>
      </w:r>
      <w:r>
        <w:rPr>
          <w:rStyle w:val="Ninguno"/>
          <w:rFonts w:ascii="Century Gothic" w:hAnsi="Century Gothic"/>
          <w:i/>
          <w:iCs/>
        </w:rPr>
        <w:t>blico.</w:t>
      </w:r>
      <w:r>
        <w:rPr>
          <w:rStyle w:val="Ninguno"/>
          <w:rFonts w:ascii="Century Gothic" w:hAnsi="Century Gothic"/>
          <w:i/>
          <w:iCs/>
        </w:rPr>
        <w:t>”</w:t>
      </w:r>
      <w:r>
        <w:rPr>
          <w:rStyle w:val="Ninguno"/>
          <w:rFonts w:ascii="Century Gothic" w:hAnsi="Century Gothic"/>
          <w:b/>
          <w:bCs/>
        </w:rPr>
        <w:t xml:space="preserve"> </w:t>
      </w:r>
    </w:p>
    <w:p w14:paraId="665BAE4F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  <w:shd w:val="clear" w:color="auto" w:fill="FFFFFF"/>
        </w:rPr>
      </w:pPr>
      <w:r>
        <w:rPr>
          <w:rStyle w:val="Ninguno"/>
          <w:rFonts w:ascii="Century Gothic" w:hAnsi="Century Gothic"/>
        </w:rPr>
        <w:lastRenderedPageBreak/>
        <w:t>En adici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n a esto, </w:t>
      </w:r>
      <w:r>
        <w:rPr>
          <w:rStyle w:val="Ninguno"/>
          <w:rFonts w:ascii="Century Gothic" w:hAnsi="Century Gothic"/>
          <w:shd w:val="clear" w:color="auto" w:fill="FFFFFF"/>
        </w:rPr>
        <w:t>la fracci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n VIII del apartado B del art</w:t>
      </w:r>
      <w:r>
        <w:rPr>
          <w:rStyle w:val="Ninguno"/>
          <w:rFonts w:ascii="Century Gothic" w:hAnsi="Century Gothic"/>
          <w:shd w:val="clear" w:color="auto" w:fill="FFFFFF"/>
        </w:rPr>
        <w:t>í</w:t>
      </w:r>
      <w:r>
        <w:rPr>
          <w:rStyle w:val="Ninguno"/>
          <w:rFonts w:ascii="Century Gothic" w:hAnsi="Century Gothic"/>
          <w:shd w:val="clear" w:color="auto" w:fill="FFFFFF"/>
        </w:rPr>
        <w:t xml:space="preserve">culo 20 constitucional establece que las personas imputadas tienen derecho a una </w:t>
      </w:r>
      <w:r>
        <w:rPr>
          <w:rStyle w:val="Ninguno"/>
          <w:rFonts w:ascii="Century Gothic" w:hAnsi="Century Gothic"/>
          <w:shd w:val="clear" w:color="auto" w:fill="FFFFFF"/>
        </w:rPr>
        <w:t>“</w:t>
      </w:r>
      <w:r>
        <w:rPr>
          <w:rStyle w:val="Ninguno"/>
          <w:rFonts w:ascii="Century Gothic" w:hAnsi="Century Gothic"/>
          <w:shd w:val="clear" w:color="auto" w:fill="FFFFFF"/>
        </w:rPr>
        <w:t>defensa adecuada por abogado</w:t>
      </w:r>
      <w:r>
        <w:rPr>
          <w:rStyle w:val="Ninguno"/>
          <w:rFonts w:ascii="Century Gothic" w:hAnsi="Century Gothic"/>
          <w:shd w:val="clear" w:color="auto" w:fill="FFFFFF"/>
        </w:rPr>
        <w:t>”</w:t>
      </w:r>
      <w:r>
        <w:rPr>
          <w:rStyle w:val="Ninguno"/>
          <w:rFonts w:ascii="Century Gothic" w:hAnsi="Century Gothic"/>
          <w:shd w:val="clear" w:color="auto" w:fill="FFFFFF"/>
        </w:rPr>
        <w:t xml:space="preserve">, es decir, en la reforma en comento, desaparece la posibilidad de la defensa del imputado </w:t>
      </w:r>
      <w:r>
        <w:rPr>
          <w:rStyle w:val="Ninguno"/>
          <w:rFonts w:ascii="Century Gothic" w:hAnsi="Century Gothic"/>
          <w:shd w:val="clear" w:color="auto" w:fill="FFFFFF"/>
        </w:rPr>
        <w:t>“</w:t>
      </w:r>
      <w:r>
        <w:rPr>
          <w:rStyle w:val="Ninguno"/>
          <w:rFonts w:ascii="Century Gothic" w:hAnsi="Century Gothic"/>
          <w:shd w:val="clear" w:color="auto" w:fill="FFFFFF"/>
        </w:rPr>
        <w:t>por s</w:t>
      </w:r>
      <w:r>
        <w:rPr>
          <w:rStyle w:val="Ninguno"/>
          <w:rFonts w:ascii="Century Gothic" w:hAnsi="Century Gothic"/>
          <w:shd w:val="clear" w:color="auto" w:fill="FFFFFF"/>
        </w:rPr>
        <w:t xml:space="preserve">í” </w:t>
      </w:r>
      <w:r>
        <w:rPr>
          <w:rStyle w:val="Ninguno"/>
          <w:rFonts w:ascii="Century Gothic" w:hAnsi="Century Gothic"/>
          <w:shd w:val="clear" w:color="auto" w:fill="FFFFFF"/>
        </w:rPr>
        <w:t xml:space="preserve">o por </w:t>
      </w:r>
      <w:r>
        <w:rPr>
          <w:rStyle w:val="Ninguno"/>
          <w:rFonts w:ascii="Century Gothic" w:hAnsi="Century Gothic"/>
          <w:shd w:val="clear" w:color="auto" w:fill="FFFFFF"/>
        </w:rPr>
        <w:t>“</w:t>
      </w:r>
      <w:r>
        <w:rPr>
          <w:rStyle w:val="Ninguno"/>
          <w:rFonts w:ascii="Century Gothic" w:hAnsi="Century Gothic"/>
          <w:shd w:val="clear" w:color="auto" w:fill="FFFFFF"/>
        </w:rPr>
        <w:t>persona de su confianza</w:t>
      </w:r>
      <w:r>
        <w:rPr>
          <w:rStyle w:val="Ninguno"/>
          <w:rFonts w:ascii="Century Gothic" w:hAnsi="Century Gothic"/>
          <w:shd w:val="clear" w:color="auto" w:fill="FFFFFF"/>
        </w:rPr>
        <w:t>”</w:t>
      </w:r>
      <w:r>
        <w:rPr>
          <w:rStyle w:val="Ninguno"/>
          <w:rFonts w:ascii="Century Gothic" w:hAnsi="Century Gothic"/>
          <w:shd w:val="clear" w:color="auto" w:fill="FFFFFF"/>
        </w:rPr>
        <w:t>, que preve</w:t>
      </w:r>
      <w:r>
        <w:rPr>
          <w:rStyle w:val="Ninguno"/>
          <w:rFonts w:ascii="Century Gothic" w:hAnsi="Century Gothic"/>
          <w:shd w:val="clear" w:color="auto" w:fill="FFFFFF"/>
        </w:rPr>
        <w:t>í</w:t>
      </w:r>
      <w:r>
        <w:rPr>
          <w:rStyle w:val="Ninguno"/>
          <w:rFonts w:ascii="Century Gothic" w:hAnsi="Century Gothic"/>
          <w:shd w:val="clear" w:color="auto" w:fill="FFFFFF"/>
        </w:rPr>
        <w:t xml:space="preserve">a </w:t>
      </w:r>
      <w:r>
        <w:rPr>
          <w:rStyle w:val="Ninguno"/>
          <w:rFonts w:ascii="Century Gothic" w:hAnsi="Century Gothic"/>
          <w:shd w:val="clear" w:color="auto" w:fill="FFFFFF"/>
        </w:rPr>
        <w:t>el art</w:t>
      </w:r>
      <w:r>
        <w:rPr>
          <w:rStyle w:val="Ninguno"/>
          <w:rFonts w:ascii="Century Gothic" w:hAnsi="Century Gothic"/>
          <w:shd w:val="clear" w:color="auto" w:fill="FFFFFF"/>
        </w:rPr>
        <w:t>í</w:t>
      </w:r>
      <w:r>
        <w:rPr>
          <w:rStyle w:val="Ninguno"/>
          <w:rFonts w:ascii="Century Gothic" w:hAnsi="Century Gothic"/>
          <w:shd w:val="clear" w:color="auto" w:fill="FFFFFF"/>
        </w:rPr>
        <w:t>culo 20 desde su aprobaci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n por el Congreso Constituyente de 1916-1917.</w:t>
      </w:r>
      <w:r>
        <w:rPr>
          <w:rStyle w:val="Ninguno"/>
          <w:rFonts w:ascii="Century Gothic" w:eastAsia="Century Gothic" w:hAnsi="Century Gothic" w:cs="Century Gothic"/>
          <w:shd w:val="clear" w:color="auto" w:fill="FFFFFF"/>
          <w:vertAlign w:val="superscript"/>
        </w:rPr>
        <w:footnoteReference w:id="2"/>
      </w:r>
      <w:r>
        <w:rPr>
          <w:rStyle w:val="Ninguno"/>
          <w:rFonts w:ascii="Century Gothic" w:hAnsi="Century Gothic"/>
          <w:shd w:val="clear" w:color="auto" w:fill="FFFFFF"/>
        </w:rPr>
        <w:t> </w:t>
      </w:r>
    </w:p>
    <w:p w14:paraId="663AF0A7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shd w:val="clear" w:color="auto" w:fill="FFFFFF"/>
        </w:rPr>
        <w:t xml:space="preserve">De tal manera, el nuevo texto constitucional obliga a que la defensa sea llevada a cabo necesariamente por un profesionista del derecho especializado en materia penal </w:t>
      </w:r>
      <w:r>
        <w:rPr>
          <w:rStyle w:val="Ninguno"/>
          <w:rFonts w:ascii="Century Gothic" w:hAnsi="Century Gothic"/>
        </w:rPr>
        <w:t xml:space="preserve">y como </w:t>
      </w:r>
      <w:r>
        <w:rPr>
          <w:rStyle w:val="Ninguno"/>
          <w:rFonts w:ascii="Century Gothic" w:hAnsi="Century Gothic"/>
        </w:rPr>
        <w:t>consecuencia a la creaci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de Institutos de 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tanto federal como estatales con el prop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sito de garantizar el derecho a la defensa de todas las personas. </w:t>
      </w:r>
    </w:p>
    <w:p w14:paraId="7E2F1C58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Por consiguiente, el art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culo 183 de La Ley Org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 xml:space="preserve">nica del Poder Judicial del Estado de </w:t>
      </w:r>
      <w:proofErr w:type="gramStart"/>
      <w:r>
        <w:rPr>
          <w:rStyle w:val="Ninguno"/>
          <w:rFonts w:ascii="Century Gothic" w:hAnsi="Century Gothic"/>
        </w:rPr>
        <w:t>Chihuah</w:t>
      </w:r>
      <w:r>
        <w:rPr>
          <w:rStyle w:val="Ninguno"/>
          <w:rFonts w:ascii="Century Gothic" w:hAnsi="Century Gothic"/>
        </w:rPr>
        <w:t>ua  establece</w:t>
      </w:r>
      <w:proofErr w:type="gramEnd"/>
      <w:r>
        <w:rPr>
          <w:rStyle w:val="Ninguno"/>
          <w:rFonts w:ascii="Century Gothic" w:hAnsi="Century Gothic"/>
        </w:rPr>
        <w:t xml:space="preserve"> al Instituto de la 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 xml:space="preserve">blica como el 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rgano desconcentrado del Tribunal que cuenta con independencia t</w:t>
      </w:r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cnica, de gesti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y operativa en el ejercicio de sus funciones, le corresponde coordinar, dirigir, controlar y prestar el servicio</w:t>
      </w:r>
      <w:r>
        <w:rPr>
          <w:rStyle w:val="Ninguno"/>
          <w:rFonts w:ascii="Century Gothic" w:hAnsi="Century Gothic"/>
        </w:rPr>
        <w:t xml:space="preserve"> de defensa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blica.</w:t>
      </w:r>
      <w:r>
        <w:rPr>
          <w:rStyle w:val="Ninguno"/>
          <w:rFonts w:ascii="Century Gothic" w:eastAsia="Century Gothic" w:hAnsi="Century Gothic" w:cs="Century Gothic"/>
          <w:vertAlign w:val="superscript"/>
        </w:rPr>
        <w:footnoteReference w:id="3"/>
      </w:r>
    </w:p>
    <w:p w14:paraId="705F4876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Dicho 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rgano es el encargado de garantizar el derecho a la defensa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blica en materia penal y el acceso a la justicia mediante la orientaci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n, asesor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y representaci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jur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dica en materia administrativa y</w:t>
      </w:r>
      <w:r>
        <w:rPr>
          <w:rStyle w:val="Ninguno"/>
          <w:rFonts w:ascii="Century Gothic" w:hAnsi="Century Gothic"/>
        </w:rPr>
        <w:t xml:space="preserve"> civil que permite atender a la poblaci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menos favorecida con los principios de gratuidad, probidad, honradez y profesionalismo con la finalidad de superar las desigualdades sociales y la consolidaci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del estado de derecho.</w:t>
      </w:r>
    </w:p>
    <w:p w14:paraId="126BD7AC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shd w:val="clear" w:color="auto" w:fill="FFFFFF"/>
        </w:rPr>
        <w:lastRenderedPageBreak/>
        <w:t>Adem</w:t>
      </w:r>
      <w:r>
        <w:rPr>
          <w:rStyle w:val="Ninguno"/>
          <w:rFonts w:ascii="Century Gothic" w:hAnsi="Century Gothic"/>
          <w:shd w:val="clear" w:color="auto" w:fill="FFFFFF"/>
        </w:rPr>
        <w:t>á</w:t>
      </w:r>
      <w:r>
        <w:rPr>
          <w:rStyle w:val="Ninguno"/>
          <w:rFonts w:ascii="Century Gothic" w:hAnsi="Century Gothic"/>
          <w:shd w:val="clear" w:color="auto" w:fill="FFFFFF"/>
        </w:rPr>
        <w:t>s, el Instituto en menci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n busca garantizar el acceso a la defensa, principalmente de aquellos que no cuentan con los recursos econ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micos para hacerse de los servicios de un defensor privado, pero tambi</w:t>
      </w:r>
      <w:r>
        <w:rPr>
          <w:rStyle w:val="Ninguno"/>
          <w:rFonts w:ascii="Century Gothic" w:hAnsi="Century Gothic"/>
          <w:shd w:val="clear" w:color="auto" w:fill="FFFFFF"/>
        </w:rPr>
        <w:t>é</w:t>
      </w:r>
      <w:r>
        <w:rPr>
          <w:rStyle w:val="Ninguno"/>
          <w:rFonts w:ascii="Century Gothic" w:hAnsi="Century Gothic"/>
          <w:shd w:val="clear" w:color="auto" w:fill="FFFFFF"/>
        </w:rPr>
        <w:t>n a cualquier persona, independientemente de su raza, posici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n social, g</w:t>
      </w:r>
      <w:r>
        <w:rPr>
          <w:rStyle w:val="Ninguno"/>
          <w:rFonts w:ascii="Century Gothic" w:hAnsi="Century Gothic"/>
          <w:shd w:val="clear" w:color="auto" w:fill="FFFFFF"/>
        </w:rPr>
        <w:t>é</w:t>
      </w:r>
      <w:r>
        <w:rPr>
          <w:rStyle w:val="Ninguno"/>
          <w:rFonts w:ascii="Century Gothic" w:hAnsi="Century Gothic"/>
          <w:shd w:val="clear" w:color="auto" w:fill="FFFFFF"/>
        </w:rPr>
        <w:t xml:space="preserve">nero </w:t>
      </w:r>
      <w:r>
        <w:rPr>
          <w:rStyle w:val="Ninguno"/>
          <w:rFonts w:ascii="Century Gothic" w:hAnsi="Century Gothic"/>
          <w:shd w:val="clear" w:color="auto" w:fill="FFFFFF"/>
        </w:rPr>
        <w:t>o preferencias pol</w:t>
      </w:r>
      <w:r>
        <w:rPr>
          <w:rStyle w:val="Ninguno"/>
          <w:rFonts w:ascii="Century Gothic" w:hAnsi="Century Gothic"/>
          <w:shd w:val="clear" w:color="auto" w:fill="FFFFFF"/>
        </w:rPr>
        <w:t>í</w:t>
      </w:r>
      <w:r>
        <w:rPr>
          <w:rStyle w:val="Ninguno"/>
          <w:rFonts w:ascii="Century Gothic" w:hAnsi="Century Gothic"/>
          <w:shd w:val="clear" w:color="auto" w:fill="FFFFFF"/>
        </w:rPr>
        <w:t>ticas, con la finalidad de que accedan a un procedimiento equitativo, sin que sus circunstancias personales tengan una repercusi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n negativa en la capacidad para defenderse.</w:t>
      </w:r>
      <w:r>
        <w:rPr>
          <w:rStyle w:val="Ninguno"/>
          <w:rFonts w:ascii="Century Gothic" w:eastAsia="Century Gothic" w:hAnsi="Century Gothic" w:cs="Century Gothic"/>
          <w:shd w:val="clear" w:color="auto" w:fill="FFFFFF"/>
          <w:vertAlign w:val="superscript"/>
        </w:rPr>
        <w:footnoteReference w:id="4"/>
      </w:r>
    </w:p>
    <w:p w14:paraId="4E3D9E40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En este sentido, las y los defensores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blicos tienen el deber</w:t>
      </w:r>
      <w:r>
        <w:rPr>
          <w:rStyle w:val="Ninguno"/>
          <w:rFonts w:ascii="Century Gothic" w:hAnsi="Century Gothic"/>
        </w:rPr>
        <w:t xml:space="preserve"> de luchar por los derechos de sus defendidas y defendidos, as</w:t>
      </w:r>
      <w:r>
        <w:rPr>
          <w:rStyle w:val="Ninguno"/>
          <w:rFonts w:ascii="Century Gothic" w:hAnsi="Century Gothic"/>
        </w:rPr>
        <w:t xml:space="preserve">í </w:t>
      </w:r>
      <w:r>
        <w:rPr>
          <w:rStyle w:val="Ninguno"/>
          <w:rFonts w:ascii="Century Gothic" w:hAnsi="Century Gothic"/>
        </w:rPr>
        <w:t>como generar grandes cambios, pues, al desempe</w:t>
      </w:r>
      <w:r>
        <w:rPr>
          <w:rStyle w:val="Ninguno"/>
          <w:rFonts w:ascii="Century Gothic" w:hAnsi="Century Gothic"/>
        </w:rPr>
        <w:t>ñ</w:t>
      </w:r>
      <w:r>
        <w:rPr>
          <w:rStyle w:val="Ninguno"/>
          <w:rFonts w:ascii="Century Gothic" w:hAnsi="Century Gothic"/>
        </w:rPr>
        <w:t>ar su papel dentro del sistema de administraci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de justicia, est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n protegiendo a la sociedad en general, pues realizan un contrapeso a la fuerza</w:t>
      </w:r>
      <w:r>
        <w:rPr>
          <w:rStyle w:val="Ninguno"/>
          <w:rFonts w:ascii="Century Gothic" w:hAnsi="Century Gothic"/>
        </w:rPr>
        <w:t xml:space="preserve"> punitiva del Estado defendiendo derechos particulares y los principios que resguardan el derecho de defensa.</w:t>
      </w:r>
    </w:p>
    <w:p w14:paraId="2CECE301" w14:textId="77777777" w:rsidR="00FD5EDD" w:rsidRDefault="00BC02FA">
      <w:pPr>
        <w:pStyle w:val="CuerpoA"/>
        <w:spacing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Por otro lado, el derecho internacional tambi</w:t>
      </w:r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n establece, en sus diferentes instrumentos que, todas las personas tenemos derecho a que se nos res</w:t>
      </w:r>
      <w:r>
        <w:rPr>
          <w:rStyle w:val="Ninguno"/>
          <w:rFonts w:ascii="Century Gothic" w:hAnsi="Century Gothic"/>
        </w:rPr>
        <w:t>peten las garant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 xml:space="preserve">as del debido proceso, como el derecho a la defensa, en cualquier procedimiento con independencia de que se trate de 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ndole civil, laboral, fiscal o de cualquier otro car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cter, pues no solo est</w:t>
      </w:r>
      <w:r>
        <w:rPr>
          <w:rStyle w:val="Ninguno"/>
          <w:rFonts w:ascii="Century Gothic" w:hAnsi="Century Gothic"/>
        </w:rPr>
        <w:t xml:space="preserve">á </w:t>
      </w:r>
      <w:r>
        <w:rPr>
          <w:rStyle w:val="Ninguno"/>
          <w:rFonts w:ascii="Century Gothic" w:hAnsi="Century Gothic"/>
        </w:rPr>
        <w:t>restringido a la materia penal.</w:t>
      </w:r>
    </w:p>
    <w:p w14:paraId="16CD6A78" w14:textId="77777777" w:rsidR="00FD5EDD" w:rsidRDefault="00FD5EDD">
      <w:pPr>
        <w:pStyle w:val="CuerpoA"/>
        <w:spacing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</w:p>
    <w:p w14:paraId="617A2D8C" w14:textId="77777777" w:rsidR="00FD5EDD" w:rsidRDefault="00BC02FA">
      <w:pPr>
        <w:pStyle w:val="CuerpoA"/>
        <w:spacing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Ejemplo de </w:t>
      </w:r>
      <w:r>
        <w:rPr>
          <w:rStyle w:val="Ninguno"/>
          <w:rFonts w:ascii="Century Gothic" w:hAnsi="Century Gothic"/>
        </w:rPr>
        <w:t>dichos instrumentos internacionales son la Declaraci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n Universal de los Derechos Humanos adoptada el 10 de diciembre 1948, que consagra en su numeral 11 que </w:t>
      </w:r>
      <w:r>
        <w:rPr>
          <w:rStyle w:val="Ninguno"/>
          <w:rFonts w:ascii="Century Gothic" w:hAnsi="Century Gothic"/>
        </w:rPr>
        <w:t>“</w:t>
      </w:r>
      <w:r>
        <w:rPr>
          <w:rStyle w:val="Ninguno"/>
          <w:rFonts w:ascii="Century Gothic" w:hAnsi="Century Gothic"/>
        </w:rPr>
        <w:t xml:space="preserve">Todas las personas acusadas de un delito tienen el derecho a que se presuma su inocencia mientras no se pruebe su </w:t>
      </w:r>
      <w:r>
        <w:rPr>
          <w:rStyle w:val="Ninguno"/>
          <w:rFonts w:ascii="Century Gothic" w:hAnsi="Century Gothic"/>
        </w:rPr>
        <w:lastRenderedPageBreak/>
        <w:t xml:space="preserve">culpabilidad, conforme a la ley y en </w:t>
      </w:r>
      <w:r>
        <w:rPr>
          <w:rStyle w:val="Ninguno"/>
          <w:rFonts w:ascii="Century Gothic" w:hAnsi="Century Gothic"/>
        </w:rPr>
        <w:t>juicio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blico en el que se le hayan asegurado todas las garant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as necesarias para su defensa</w:t>
      </w:r>
      <w:r>
        <w:rPr>
          <w:rStyle w:val="Ninguno"/>
          <w:rFonts w:ascii="Century Gothic" w:hAnsi="Century Gothic"/>
        </w:rPr>
        <w:t>”</w:t>
      </w:r>
      <w:r>
        <w:rPr>
          <w:rStyle w:val="Ninguno"/>
          <w:rFonts w:ascii="Century Gothic" w:hAnsi="Century Gothic"/>
        </w:rPr>
        <w:t>.</w:t>
      </w:r>
    </w:p>
    <w:p w14:paraId="2732374B" w14:textId="77777777" w:rsidR="00FD5EDD" w:rsidRDefault="00BC02FA">
      <w:pPr>
        <w:pStyle w:val="CuerpoA"/>
        <w:spacing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Asimismo, el Pacto Internacional de Derechos Civiles y Pol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ticos, en su numeral 14.3 incisos b) y d) disponen que, toda persona acusada de un delito tiene derec</w:t>
      </w:r>
      <w:r>
        <w:rPr>
          <w:rStyle w:val="Ninguno"/>
          <w:rFonts w:ascii="Century Gothic" w:hAnsi="Century Gothic"/>
        </w:rPr>
        <w:t xml:space="preserve">ho </w:t>
      </w:r>
      <w:r>
        <w:rPr>
          <w:rStyle w:val="Ninguno"/>
          <w:rFonts w:ascii="Century Gothic" w:hAnsi="Century Gothic"/>
        </w:rPr>
        <w:t>“</w:t>
      </w:r>
      <w:r>
        <w:rPr>
          <w:rStyle w:val="Ninguno"/>
          <w:rFonts w:ascii="Century Gothic" w:hAnsi="Century Gothic"/>
          <w:lang w:val="pt-PT"/>
        </w:rPr>
        <w:t xml:space="preserve">A </w:t>
      </w:r>
      <w:r>
        <w:rPr>
          <w:rStyle w:val="Ninguno"/>
          <w:rFonts w:ascii="Century Gothic" w:hAnsi="Century Gothic"/>
        </w:rPr>
        <w:t>disponer del tiempo y de los medios adecuados para la preparaci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n de su defensa y a comunicarse con un defensor de su </w:t>
      </w:r>
      <w:proofErr w:type="spellStart"/>
      <w:r>
        <w:rPr>
          <w:rStyle w:val="Ninguno"/>
          <w:rFonts w:ascii="Century Gothic" w:hAnsi="Century Gothic"/>
        </w:rPr>
        <w:t>elecci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de-DE"/>
        </w:rPr>
        <w:t>n; (</w:t>
      </w:r>
      <w:r>
        <w:rPr>
          <w:rStyle w:val="Ninguno"/>
          <w:rFonts w:ascii="Century Gothic" w:hAnsi="Century Gothic"/>
        </w:rPr>
        <w:t xml:space="preserve">...) A ser asistida por un defensor de su </w:t>
      </w:r>
      <w:proofErr w:type="spellStart"/>
      <w:r>
        <w:rPr>
          <w:rStyle w:val="Ninguno"/>
          <w:rFonts w:ascii="Century Gothic" w:hAnsi="Century Gothic"/>
        </w:rPr>
        <w:t>elecci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de-DE"/>
        </w:rPr>
        <w:t>n;(</w:t>
      </w:r>
      <w:r>
        <w:rPr>
          <w:rStyle w:val="Ninguno"/>
          <w:rFonts w:ascii="Century Gothic" w:hAnsi="Century Gothic"/>
        </w:rPr>
        <w:t>…</w:t>
      </w:r>
      <w:r>
        <w:rPr>
          <w:rStyle w:val="Ninguno"/>
          <w:rFonts w:ascii="Century Gothic" w:hAnsi="Century Gothic"/>
        </w:rPr>
        <w:t>) a que se le nombre defensor de oficio, gratuitamente, si careciere</w:t>
      </w:r>
      <w:r>
        <w:rPr>
          <w:rStyle w:val="Ninguno"/>
          <w:rFonts w:ascii="Century Gothic" w:hAnsi="Century Gothic"/>
        </w:rPr>
        <w:t xml:space="preserve"> de medios suficientes para pagarlo, respectivamente.</w:t>
      </w:r>
    </w:p>
    <w:p w14:paraId="4C7FED25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Recientemente en reuni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con personal de la 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blica, nos manifestaron la problem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tica respecto a que el personal que trabaja como defensora o defensor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blico y que fue previamente capacitado</w:t>
      </w:r>
      <w:r>
        <w:rPr>
          <w:rStyle w:val="Ninguno"/>
          <w:rFonts w:ascii="Century Gothic" w:hAnsi="Century Gothic"/>
        </w:rPr>
        <w:t xml:space="preserve"> para desempe</w:t>
      </w:r>
      <w:r>
        <w:rPr>
          <w:rStyle w:val="Ninguno"/>
          <w:rFonts w:ascii="Century Gothic" w:hAnsi="Century Gothic"/>
        </w:rPr>
        <w:t>ñ</w:t>
      </w:r>
      <w:r>
        <w:rPr>
          <w:rStyle w:val="Ninguno"/>
          <w:rFonts w:ascii="Century Gothic" w:hAnsi="Century Gothic"/>
        </w:rPr>
        <w:t>ar su funci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n, es altamente vulnerable en cuanto a su permanencia laboral, pues muchos de ellos, migran a otros puestos, situaci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que se traduce a una alta volatilidad y cambios constantes de personal, lo que implica para la 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contr</w:t>
      </w:r>
      <w:r>
        <w:rPr>
          <w:rStyle w:val="Ninguno"/>
          <w:rFonts w:ascii="Century Gothic" w:hAnsi="Century Gothic"/>
        </w:rPr>
        <w:t>atar y capacitar nuevo personal, con la incertidumbre que esto conlleva, y form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ndose un c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rculo vicioso, en detrimento de la Instituci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n. </w:t>
      </w:r>
    </w:p>
    <w:p w14:paraId="62B9876B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Aunado a lo anterior, como es sabido las y los defensores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blicos poseen altas cargas de trabajo que produce un des</w:t>
      </w:r>
      <w:r>
        <w:rPr>
          <w:rStyle w:val="Ninguno"/>
          <w:rFonts w:ascii="Century Gothic" w:hAnsi="Century Gothic"/>
        </w:rPr>
        <w:t>gaste y dificulta el acceso a la justicia a sus defendidos, sumado a los bajos salarios y la poca oportunidad de crecimiento ocasionan el abandono de estos puestos.</w:t>
      </w:r>
    </w:p>
    <w:p w14:paraId="028D120E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L</w:t>
      </w:r>
      <w:r>
        <w:rPr>
          <w:rStyle w:val="Ninguno"/>
          <w:rFonts w:ascii="Century Gothic" w:hAnsi="Century Gothic"/>
          <w:lang w:val="it-IT"/>
        </w:rPr>
        <w:t>a deserci</w:t>
      </w:r>
      <w:proofErr w:type="spellStart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</w:t>
      </w:r>
      <w:proofErr w:type="spellEnd"/>
      <w:r>
        <w:rPr>
          <w:rStyle w:val="Ninguno"/>
          <w:rFonts w:ascii="Century Gothic" w:hAnsi="Century Gothic"/>
        </w:rPr>
        <w:t xml:space="preserve"> del personal capacitado, es preocupante, ante la carencia de un sistema de ser</w:t>
      </w:r>
      <w:r>
        <w:rPr>
          <w:rStyle w:val="Ninguno"/>
          <w:rFonts w:ascii="Century Gothic" w:hAnsi="Century Gothic"/>
        </w:rPr>
        <w:t>vicio profesional de carrera en la 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blica que dificulta el ascenso con base en m</w:t>
      </w:r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ritos y que se traduce en que estas personas servidoras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blicas emigren a otras alternativas laborales.</w:t>
      </w:r>
    </w:p>
    <w:p w14:paraId="78FA5210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lastRenderedPageBreak/>
        <w:t xml:space="preserve">Ante ello, la presente iniciativa pretende elevar a </w:t>
      </w:r>
      <w:r>
        <w:rPr>
          <w:rStyle w:val="Ninguno"/>
          <w:rFonts w:ascii="Century Gothic" w:hAnsi="Century Gothic"/>
        </w:rPr>
        <w:t>rango constitucional la figura del servicio profesional de carrera en tan noble Instituci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n, a efecto de, consolidar los servicios de 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a, por ello y dada la problem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tica que hoy enfrentan las personas defensoras, es menester que reclute y retenga a</w:t>
      </w:r>
      <w:r>
        <w:rPr>
          <w:rStyle w:val="Ninguno"/>
          <w:rFonts w:ascii="Century Gothic" w:hAnsi="Century Gothic"/>
        </w:rPr>
        <w:t xml:space="preserve"> las personas profesionales capaces de ofrecer el servicio de defensa </w:t>
      </w:r>
      <w:proofErr w:type="spellStart"/>
      <w:r>
        <w:rPr>
          <w:rStyle w:val="Ninguno"/>
          <w:rFonts w:ascii="Century Gothic" w:hAnsi="Century Gothic"/>
        </w:rPr>
        <w:t>p</w:t>
      </w:r>
      <w:r>
        <w:rPr>
          <w:rStyle w:val="Ninguno"/>
          <w:rFonts w:ascii="Century Gothic" w:hAnsi="Century Gothic"/>
        </w:rPr>
        <w:t>ú</w:t>
      </w:r>
      <w:proofErr w:type="spellEnd"/>
      <w:r>
        <w:rPr>
          <w:rStyle w:val="Ninguno"/>
          <w:rFonts w:ascii="Century Gothic" w:hAnsi="Century Gothic"/>
          <w:lang w:val="pt-PT"/>
        </w:rPr>
        <w:t>blica.</w:t>
      </w:r>
    </w:p>
    <w:p w14:paraId="362B2BBF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  <w:shd w:val="clear" w:color="auto" w:fill="FFFFFF"/>
        </w:rPr>
      </w:pPr>
      <w:r>
        <w:rPr>
          <w:rStyle w:val="Ninguno"/>
          <w:rFonts w:ascii="Century Gothic" w:hAnsi="Century Gothic"/>
        </w:rPr>
        <w:t xml:space="preserve">Indudablemente, este mecanismo </w:t>
      </w:r>
      <w:r>
        <w:rPr>
          <w:rStyle w:val="Ninguno"/>
          <w:rFonts w:ascii="Century Gothic" w:hAnsi="Century Gothic"/>
          <w:shd w:val="clear" w:color="auto" w:fill="FFFFFF"/>
          <w:lang w:val="pt-PT"/>
        </w:rPr>
        <w:t>permitir</w:t>
      </w:r>
      <w:r>
        <w:rPr>
          <w:rStyle w:val="Ninguno"/>
          <w:rFonts w:ascii="Century Gothic" w:hAnsi="Century Gothic"/>
          <w:shd w:val="clear" w:color="auto" w:fill="FFFFFF"/>
        </w:rPr>
        <w:t xml:space="preserve">á </w:t>
      </w:r>
      <w:r>
        <w:rPr>
          <w:rStyle w:val="Ninguno"/>
          <w:rFonts w:ascii="Century Gothic" w:hAnsi="Century Gothic"/>
          <w:shd w:val="clear" w:color="auto" w:fill="FFFFFF"/>
        </w:rPr>
        <w:t>garantizar la igualdad de oportunidades laborales, ascensos, formaci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n permanencia, estabilidad, desarrollo, capacitaci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 xml:space="preserve">n y </w:t>
      </w:r>
      <w:r>
        <w:rPr>
          <w:rStyle w:val="Ninguno"/>
          <w:rFonts w:ascii="Century Gothic" w:hAnsi="Century Gothic"/>
          <w:shd w:val="clear" w:color="auto" w:fill="FFFFFF"/>
        </w:rPr>
        <w:t>profesionalizaci</w:t>
      </w:r>
      <w:r>
        <w:rPr>
          <w:rStyle w:val="Ninguno"/>
          <w:rFonts w:ascii="Century Gothic" w:hAnsi="Century Gothic"/>
          <w:shd w:val="clear" w:color="auto" w:fill="FFFFFF"/>
        </w:rPr>
        <w:t>ó</w:t>
      </w:r>
      <w:r>
        <w:rPr>
          <w:rStyle w:val="Ninguno"/>
          <w:rFonts w:ascii="Century Gothic" w:hAnsi="Century Gothic"/>
          <w:shd w:val="clear" w:color="auto" w:fill="FFFFFF"/>
        </w:rPr>
        <w:t>n, entre las m</w:t>
      </w:r>
      <w:r>
        <w:rPr>
          <w:rStyle w:val="Ninguno"/>
          <w:rFonts w:ascii="Century Gothic" w:hAnsi="Century Gothic"/>
          <w:shd w:val="clear" w:color="auto" w:fill="FFFFFF"/>
        </w:rPr>
        <w:t>ú</w:t>
      </w:r>
      <w:r>
        <w:rPr>
          <w:rStyle w:val="Ninguno"/>
          <w:rFonts w:ascii="Century Gothic" w:hAnsi="Century Gothic"/>
          <w:shd w:val="clear" w:color="auto" w:fill="FFFFFF"/>
        </w:rPr>
        <w:t>ltiples bondades que acarra este sistema que permite una amplia defensa y acceso a la justicia, de manera eficaz y eficiente, cuando esta sea requerida.</w:t>
      </w:r>
    </w:p>
    <w:p w14:paraId="313A1993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Es importante se</w:t>
      </w:r>
      <w:r>
        <w:rPr>
          <w:rStyle w:val="Ninguno"/>
          <w:rFonts w:ascii="Century Gothic" w:hAnsi="Century Gothic"/>
        </w:rPr>
        <w:t>ñ</w:t>
      </w:r>
      <w:r>
        <w:rPr>
          <w:rStyle w:val="Ninguno"/>
          <w:rFonts w:ascii="Century Gothic" w:hAnsi="Century Gothic"/>
        </w:rPr>
        <w:t>alar que, el servicio profesional de carrera tiene com</w:t>
      </w:r>
      <w:r>
        <w:rPr>
          <w:rStyle w:val="Ninguno"/>
          <w:rFonts w:ascii="Century Gothic" w:hAnsi="Century Gothic"/>
        </w:rPr>
        <w:t>o principio toral de su funci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n, el m</w:t>
      </w:r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rito, asimismo, la b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squeda de la eficiencia y eficacia del servicio para las personas que lo requieren y que contribuye a construir un blindaje legal o permanencia laboral en las diversas instituciones a los cambios d</w:t>
      </w:r>
      <w:r>
        <w:rPr>
          <w:rStyle w:val="Ninguno"/>
          <w:rFonts w:ascii="Century Gothic" w:hAnsi="Century Gothic"/>
        </w:rPr>
        <w:t>e gobierno.</w:t>
      </w:r>
    </w:p>
    <w:p w14:paraId="1CF3F86B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Resulta l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gico, comprensible y justificable que aquella persona que tiene mayores conocimientos, capacidades y aptitudes se le otorgue mejores sueldos y puestos pues es prioritario que todas las personas servidoras </w:t>
      </w:r>
      <w:proofErr w:type="spellStart"/>
      <w:r>
        <w:rPr>
          <w:rStyle w:val="Ninguno"/>
          <w:rFonts w:ascii="Century Gothic" w:hAnsi="Century Gothic"/>
        </w:rPr>
        <w:t>p</w:t>
      </w:r>
      <w:r>
        <w:rPr>
          <w:rStyle w:val="Ninguno"/>
          <w:rFonts w:ascii="Century Gothic" w:hAnsi="Century Gothic"/>
        </w:rPr>
        <w:t>ú</w:t>
      </w:r>
      <w:proofErr w:type="spellEnd"/>
      <w:r>
        <w:rPr>
          <w:rStyle w:val="Ninguno"/>
          <w:rFonts w:ascii="Century Gothic" w:hAnsi="Century Gothic"/>
          <w:lang w:val="pt-PT"/>
        </w:rPr>
        <w:t>blicas est</w:t>
      </w:r>
      <w:proofErr w:type="spellStart"/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n</w:t>
      </w:r>
      <w:proofErr w:type="spellEnd"/>
      <w:r>
        <w:rPr>
          <w:rStyle w:val="Ninguno"/>
          <w:rFonts w:ascii="Century Gothic" w:hAnsi="Century Gothic"/>
        </w:rPr>
        <w:t xml:space="preserve"> capacitadas, e</w:t>
      </w:r>
      <w:r>
        <w:rPr>
          <w:rStyle w:val="Ninguno"/>
          <w:rFonts w:ascii="Century Gothic" w:hAnsi="Century Gothic"/>
        </w:rPr>
        <w:t>specializadas y certificadas para desempe</w:t>
      </w:r>
      <w:r>
        <w:rPr>
          <w:rStyle w:val="Ninguno"/>
          <w:rFonts w:ascii="Century Gothic" w:hAnsi="Century Gothic"/>
        </w:rPr>
        <w:t>ñ</w:t>
      </w:r>
      <w:r>
        <w:rPr>
          <w:rStyle w:val="Ninguno"/>
          <w:rFonts w:ascii="Century Gothic" w:hAnsi="Century Gothic"/>
        </w:rPr>
        <w:t>ar sus labores con responsabilidad en aras del bien com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n.</w:t>
      </w:r>
    </w:p>
    <w:p w14:paraId="568DD672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Dada la importancia que reviste este tema, el Plan Estatal de Desarrollo 2022-2077, Chihuahua, dentro del eje </w:t>
      </w:r>
      <w:r>
        <w:rPr>
          <w:rStyle w:val="Ninguno"/>
          <w:rFonts w:ascii="Century Gothic" w:hAnsi="Century Gothic"/>
        </w:rPr>
        <w:t>“</w:t>
      </w:r>
      <w:r>
        <w:rPr>
          <w:rStyle w:val="Ninguno"/>
          <w:rFonts w:ascii="Century Gothic" w:hAnsi="Century Gothic"/>
        </w:rPr>
        <w:t xml:space="preserve">Buen Gobierno, Transparencia y </w:t>
      </w:r>
      <w:r>
        <w:rPr>
          <w:rStyle w:val="Ninguno"/>
          <w:rFonts w:ascii="Century Gothic" w:hAnsi="Century Gothic"/>
        </w:rPr>
        <w:t>Participaci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Ciudadana</w:t>
      </w:r>
      <w:r>
        <w:rPr>
          <w:rStyle w:val="Ninguno"/>
          <w:rFonts w:ascii="Century Gothic" w:hAnsi="Century Gothic"/>
        </w:rPr>
        <w:t>”</w:t>
      </w:r>
      <w:r>
        <w:rPr>
          <w:rStyle w:val="Ninguno"/>
          <w:rFonts w:ascii="Century Gothic" w:hAnsi="Century Gothic"/>
        </w:rPr>
        <w:t>, en sus l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 xml:space="preserve">neas de </w:t>
      </w:r>
      <w:proofErr w:type="spellStart"/>
      <w:r>
        <w:rPr>
          <w:rStyle w:val="Ninguno"/>
          <w:rFonts w:ascii="Century Gothic" w:hAnsi="Century Gothic"/>
        </w:rPr>
        <w:t>acci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it-IT"/>
        </w:rPr>
        <w:t>n dispone precisamente impulsar la implementaci</w:t>
      </w:r>
      <w:proofErr w:type="spellStart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</w:t>
      </w:r>
      <w:proofErr w:type="spellEnd"/>
      <w:r>
        <w:rPr>
          <w:rStyle w:val="Ninguno"/>
          <w:rFonts w:ascii="Century Gothic" w:hAnsi="Century Gothic"/>
        </w:rPr>
        <w:t xml:space="preserve"> del Servicio Profesional de Carrera en la Administraci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n </w:t>
      </w:r>
      <w:proofErr w:type="spellStart"/>
      <w:r>
        <w:rPr>
          <w:rStyle w:val="Ninguno"/>
          <w:rFonts w:ascii="Century Gothic" w:hAnsi="Century Gothic"/>
        </w:rPr>
        <w:t>P</w:t>
      </w:r>
      <w:r>
        <w:rPr>
          <w:rStyle w:val="Ninguno"/>
          <w:rFonts w:ascii="Century Gothic" w:hAnsi="Century Gothic"/>
        </w:rPr>
        <w:t>ú</w:t>
      </w:r>
      <w:proofErr w:type="spellEnd"/>
      <w:r>
        <w:rPr>
          <w:rStyle w:val="Ninguno"/>
          <w:rFonts w:ascii="Century Gothic" w:hAnsi="Century Gothic"/>
          <w:lang w:val="pt-PT"/>
        </w:rPr>
        <w:t xml:space="preserve">blica. </w:t>
      </w:r>
    </w:p>
    <w:p w14:paraId="1A68A863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lastRenderedPageBreak/>
        <w:t>Por esto, consideramos oportuno se ampli</w:t>
      </w:r>
      <w:r>
        <w:rPr>
          <w:rStyle w:val="Ninguno"/>
          <w:rFonts w:ascii="Century Gothic" w:hAnsi="Century Gothic"/>
        </w:rPr>
        <w:t xml:space="preserve">é </w:t>
      </w:r>
      <w:r>
        <w:rPr>
          <w:rStyle w:val="Ninguno"/>
          <w:rFonts w:ascii="Century Gothic" w:hAnsi="Century Gothic"/>
        </w:rPr>
        <w:t>la iniciativa que se le asign</w:t>
      </w:r>
      <w:r>
        <w:rPr>
          <w:rStyle w:val="Ninguno"/>
          <w:rFonts w:ascii="Century Gothic" w:hAnsi="Century Gothic"/>
        </w:rPr>
        <w:t xml:space="preserve">ó </w:t>
      </w:r>
      <w:r>
        <w:rPr>
          <w:rStyle w:val="Ninguno"/>
          <w:rFonts w:ascii="Century Gothic" w:hAnsi="Century Gothic"/>
          <w:lang w:val="it-IT"/>
        </w:rPr>
        <w:t>el n</w:t>
      </w:r>
      <w:proofErr w:type="spellStart"/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>mero</w:t>
      </w:r>
      <w:proofErr w:type="spellEnd"/>
      <w:r>
        <w:rPr>
          <w:rStyle w:val="Ninguno"/>
          <w:rFonts w:ascii="Century Gothic" w:hAnsi="Century Gothic"/>
        </w:rPr>
        <w:t xml:space="preserve"> de asunt</w:t>
      </w:r>
      <w:r>
        <w:rPr>
          <w:rStyle w:val="Ninguno"/>
          <w:rFonts w:ascii="Century Gothic" w:hAnsi="Century Gothic"/>
        </w:rPr>
        <w:t>o 1063, que en p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rrafos anteriores ya lo refer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,  que pretende elevar a rango constitucional, la creaci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de un Instituto de Asistencia Jur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dica del Estado de Chihuahua, que tenga como finalidad el establecimiento de una defensor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p</w:t>
      </w:r>
      <w:r>
        <w:rPr>
          <w:rStyle w:val="Ninguno"/>
          <w:rFonts w:ascii="Century Gothic" w:hAnsi="Century Gothic"/>
        </w:rPr>
        <w:t>ú</w:t>
      </w:r>
      <w:r>
        <w:rPr>
          <w:rStyle w:val="Ninguno"/>
          <w:rFonts w:ascii="Century Gothic" w:hAnsi="Century Gothic"/>
        </w:rPr>
        <w:t xml:space="preserve">blica de calidad, que </w:t>
      </w:r>
      <w:r>
        <w:rPr>
          <w:rStyle w:val="Ninguno"/>
          <w:rFonts w:ascii="Century Gothic" w:hAnsi="Century Gothic"/>
        </w:rPr>
        <w:t>vele por los derechos de las personas imputadas por el Estado, as</w:t>
      </w:r>
      <w:r>
        <w:rPr>
          <w:rStyle w:val="Ninguno"/>
          <w:rFonts w:ascii="Century Gothic" w:hAnsi="Century Gothic"/>
        </w:rPr>
        <w:t xml:space="preserve">í </w:t>
      </w:r>
      <w:r>
        <w:rPr>
          <w:rStyle w:val="Ninguno"/>
          <w:rFonts w:ascii="Century Gothic" w:hAnsi="Century Gothic"/>
        </w:rPr>
        <w:t>como el contribuir a la eliminaci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de los obst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culos y las barreras que impidan o restrinjan el acceso a la justicia, a trav</w:t>
      </w:r>
      <w:r>
        <w:rPr>
          <w:rStyle w:val="Ninguno"/>
          <w:rFonts w:ascii="Century Gothic" w:hAnsi="Century Gothic"/>
        </w:rPr>
        <w:t>é</w:t>
      </w:r>
      <w:r>
        <w:rPr>
          <w:rStyle w:val="Ninguno"/>
          <w:rFonts w:ascii="Century Gothic" w:hAnsi="Century Gothic"/>
        </w:rPr>
        <w:t>s de la prestaci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de servicios de asistencia a las personas qu</w:t>
      </w:r>
      <w:r>
        <w:rPr>
          <w:rStyle w:val="Ninguno"/>
          <w:rFonts w:ascii="Century Gothic" w:hAnsi="Century Gothic"/>
        </w:rPr>
        <w:t>e no pueden sufragar los gastos de orientaci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n, asesor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y representaci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 xml:space="preserve">n </w:t>
      </w:r>
      <w:proofErr w:type="spellStart"/>
      <w:r>
        <w:rPr>
          <w:rStyle w:val="Ninguno"/>
          <w:rFonts w:ascii="Century Gothic" w:hAnsi="Century Gothic"/>
        </w:rPr>
        <w:t>jur</w:t>
      </w:r>
      <w:r>
        <w:rPr>
          <w:rStyle w:val="Ninguno"/>
          <w:rFonts w:ascii="Century Gothic" w:hAnsi="Century Gothic"/>
        </w:rPr>
        <w:t>í</w:t>
      </w:r>
      <w:proofErr w:type="spellEnd"/>
      <w:r>
        <w:rPr>
          <w:rStyle w:val="Ninguno"/>
          <w:rFonts w:ascii="Century Gothic" w:hAnsi="Century Gothic"/>
          <w:lang w:val="it-IT"/>
        </w:rPr>
        <w:t xml:space="preserve">dica. </w:t>
      </w:r>
    </w:p>
    <w:p w14:paraId="3C1090B1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Es preciso mencionar que, dicha iniciativa se present</w:t>
      </w:r>
      <w:r>
        <w:rPr>
          <w:rStyle w:val="Ninguno"/>
          <w:rFonts w:ascii="Century Gothic" w:hAnsi="Century Gothic"/>
        </w:rPr>
        <w:t xml:space="preserve">ó </w:t>
      </w:r>
      <w:r>
        <w:rPr>
          <w:rStyle w:val="Ninguno"/>
          <w:rFonts w:ascii="Century Gothic" w:hAnsi="Century Gothic"/>
        </w:rPr>
        <w:t>el treinta de mayo del a</w:t>
      </w:r>
      <w:r>
        <w:rPr>
          <w:rStyle w:val="Ninguno"/>
          <w:rFonts w:ascii="Century Gothic" w:hAnsi="Century Gothic"/>
        </w:rPr>
        <w:t>ñ</w:t>
      </w:r>
      <w:r>
        <w:rPr>
          <w:rStyle w:val="Ninguno"/>
          <w:rFonts w:ascii="Century Gothic" w:hAnsi="Century Gothic"/>
        </w:rPr>
        <w:t>o en curso en Oficial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de Partes de este Poder Legislativo, por nuestro Grupo Parlamentari</w:t>
      </w:r>
      <w:r>
        <w:rPr>
          <w:rStyle w:val="Ninguno"/>
          <w:rFonts w:ascii="Century Gothic" w:hAnsi="Century Gothic"/>
        </w:rPr>
        <w:t>o la cual fue turnada el 31 de mayo del a</w:t>
      </w:r>
      <w:r>
        <w:rPr>
          <w:rStyle w:val="Ninguno"/>
          <w:rFonts w:ascii="Century Gothic" w:hAnsi="Century Gothic"/>
        </w:rPr>
        <w:t>ñ</w:t>
      </w:r>
      <w:r>
        <w:rPr>
          <w:rStyle w:val="Ninguno"/>
          <w:rFonts w:ascii="Century Gothic" w:hAnsi="Century Gothic"/>
        </w:rPr>
        <w:t>o en curso a la Comisi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Especial de la Reforma Integral a Constitucional.</w:t>
      </w:r>
    </w:p>
    <w:p w14:paraId="628BAF04" w14:textId="77777777" w:rsidR="00FD5EDD" w:rsidRDefault="00BC02FA">
      <w:pPr>
        <w:pStyle w:val="CuerpoA"/>
        <w:spacing w:after="160" w:line="360" w:lineRule="auto"/>
        <w:ind w:firstLine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En virtud de lo anteriormente expuesto y con fundamento en lo dispuesto por los art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culos invocados en el proemio, someto a consideraci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e</w:t>
      </w:r>
      <w:r>
        <w:rPr>
          <w:rStyle w:val="Ninguno"/>
          <w:rFonts w:ascii="Century Gothic" w:hAnsi="Century Gothic"/>
        </w:rPr>
        <w:t xml:space="preserve">l siguiente proyecto de </w:t>
      </w:r>
    </w:p>
    <w:p w14:paraId="23C608B1" w14:textId="77777777" w:rsidR="00FD5EDD" w:rsidRDefault="00BC02FA">
      <w:pPr>
        <w:pStyle w:val="CuerpoA"/>
        <w:spacing w:after="160"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32"/>
          <w:szCs w:val="32"/>
          <w:lang w:val="da-DK"/>
        </w:rPr>
      </w:pPr>
      <w:r>
        <w:rPr>
          <w:rStyle w:val="Ninguno"/>
          <w:rFonts w:ascii="Century Gothic" w:hAnsi="Century Gothic"/>
          <w:b/>
          <w:bCs/>
          <w:sz w:val="32"/>
          <w:szCs w:val="32"/>
          <w:lang w:val="da-DK"/>
        </w:rPr>
        <w:t>DECRETO</w:t>
      </w:r>
    </w:p>
    <w:p w14:paraId="7F4838C7" w14:textId="77777777" w:rsidR="00FD5EDD" w:rsidRDefault="00BC02FA">
      <w:pPr>
        <w:pStyle w:val="Ttulo4"/>
        <w:tabs>
          <w:tab w:val="left" w:pos="3686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b w:val="0"/>
          <w:bCs w:val="0"/>
          <w:sz w:val="28"/>
          <w:szCs w:val="28"/>
        </w:rPr>
      </w:pPr>
      <w:r>
        <w:rPr>
          <w:rStyle w:val="Ninguno"/>
          <w:rFonts w:ascii="Century Gothic" w:hAnsi="Century Gothic"/>
          <w:sz w:val="28"/>
          <w:szCs w:val="28"/>
        </w:rPr>
        <w:t>ART</w:t>
      </w:r>
      <w:r>
        <w:rPr>
          <w:rStyle w:val="Ninguno"/>
          <w:rFonts w:ascii="Century Gothic" w:hAnsi="Century Gothic"/>
          <w:sz w:val="28"/>
          <w:szCs w:val="28"/>
        </w:rPr>
        <w:t>Í</w:t>
      </w:r>
      <w:r>
        <w:rPr>
          <w:rStyle w:val="Ninguno"/>
          <w:rFonts w:ascii="Century Gothic" w:hAnsi="Century Gothic"/>
          <w:sz w:val="28"/>
          <w:szCs w:val="28"/>
        </w:rPr>
        <w:t xml:space="preserve">CULO </w:t>
      </w:r>
      <w:r>
        <w:rPr>
          <w:rStyle w:val="Ninguno"/>
          <w:rFonts w:ascii="Century Gothic" w:hAnsi="Century Gothic"/>
          <w:sz w:val="28"/>
          <w:szCs w:val="28"/>
        </w:rPr>
        <w:t>Ú</w:t>
      </w:r>
      <w:r>
        <w:rPr>
          <w:rStyle w:val="Ninguno"/>
          <w:rFonts w:ascii="Century Gothic" w:hAnsi="Century Gothic"/>
          <w:sz w:val="28"/>
          <w:szCs w:val="28"/>
        </w:rPr>
        <w:t xml:space="preserve">NICO.- </w:t>
      </w:r>
      <w:r>
        <w:rPr>
          <w:rStyle w:val="Ninguno"/>
          <w:rFonts w:ascii="Century Gothic" w:hAnsi="Century Gothic"/>
          <w:b w:val="0"/>
          <w:bCs w:val="0"/>
        </w:rPr>
        <w:t>Se ampl</w:t>
      </w:r>
      <w:r>
        <w:rPr>
          <w:rStyle w:val="Ninguno"/>
          <w:rFonts w:ascii="Century Gothic" w:hAnsi="Century Gothic"/>
          <w:b w:val="0"/>
          <w:bCs w:val="0"/>
        </w:rPr>
        <w:t>í</w:t>
      </w:r>
      <w:r>
        <w:rPr>
          <w:rStyle w:val="Ninguno"/>
          <w:rFonts w:ascii="Century Gothic" w:hAnsi="Century Gothic"/>
          <w:b w:val="0"/>
          <w:bCs w:val="0"/>
        </w:rPr>
        <w:t>a la iniciativa con n</w:t>
      </w:r>
      <w:r>
        <w:rPr>
          <w:rStyle w:val="Ninguno"/>
          <w:rFonts w:ascii="Century Gothic" w:hAnsi="Century Gothic"/>
          <w:b w:val="0"/>
          <w:bCs w:val="0"/>
        </w:rPr>
        <w:t>ú</w:t>
      </w:r>
      <w:r>
        <w:rPr>
          <w:rStyle w:val="Ninguno"/>
          <w:rFonts w:ascii="Century Gothic" w:hAnsi="Century Gothic"/>
          <w:b w:val="0"/>
          <w:bCs w:val="0"/>
        </w:rPr>
        <w:t>mero de asunto 1063, presentada por el Grupo Parlamentario de Partido Acci</w:t>
      </w:r>
      <w:r>
        <w:rPr>
          <w:rStyle w:val="Ninguno"/>
          <w:rFonts w:ascii="Century Gothic" w:hAnsi="Century Gothic"/>
          <w:b w:val="0"/>
          <w:bCs w:val="0"/>
        </w:rPr>
        <w:t>ó</w:t>
      </w:r>
      <w:r>
        <w:rPr>
          <w:rStyle w:val="Ninguno"/>
          <w:rFonts w:ascii="Century Gothic" w:hAnsi="Century Gothic"/>
          <w:b w:val="0"/>
          <w:bCs w:val="0"/>
        </w:rPr>
        <w:t>n Nacional, la cual fue turnada el 31 de mayo del a</w:t>
      </w:r>
      <w:r>
        <w:rPr>
          <w:rStyle w:val="Ninguno"/>
          <w:rFonts w:ascii="Century Gothic" w:hAnsi="Century Gothic"/>
          <w:b w:val="0"/>
          <w:bCs w:val="0"/>
        </w:rPr>
        <w:t>ñ</w:t>
      </w:r>
      <w:r>
        <w:rPr>
          <w:rStyle w:val="Ninguno"/>
          <w:rFonts w:ascii="Century Gothic" w:hAnsi="Century Gothic"/>
          <w:b w:val="0"/>
          <w:bCs w:val="0"/>
        </w:rPr>
        <w:t xml:space="preserve">o en curso para su estudio y dictamen a la </w:t>
      </w:r>
      <w:r>
        <w:rPr>
          <w:rStyle w:val="Ninguno"/>
          <w:rFonts w:ascii="Century Gothic" w:hAnsi="Century Gothic"/>
          <w:b w:val="0"/>
          <w:bCs w:val="0"/>
        </w:rPr>
        <w:t>Comisi</w:t>
      </w:r>
      <w:r>
        <w:rPr>
          <w:rStyle w:val="Ninguno"/>
          <w:rFonts w:ascii="Century Gothic" w:hAnsi="Century Gothic"/>
          <w:b w:val="0"/>
          <w:bCs w:val="0"/>
        </w:rPr>
        <w:t>ó</w:t>
      </w:r>
      <w:r>
        <w:rPr>
          <w:rStyle w:val="Ninguno"/>
          <w:rFonts w:ascii="Century Gothic" w:hAnsi="Century Gothic"/>
          <w:b w:val="0"/>
          <w:bCs w:val="0"/>
        </w:rPr>
        <w:t>n Especial para la Reforma Integral de la Constituci</w:t>
      </w:r>
      <w:r>
        <w:rPr>
          <w:rStyle w:val="Ninguno"/>
          <w:rFonts w:ascii="Century Gothic" w:hAnsi="Century Gothic"/>
          <w:b w:val="0"/>
          <w:bCs w:val="0"/>
        </w:rPr>
        <w:t>ó</w:t>
      </w:r>
      <w:r>
        <w:rPr>
          <w:rStyle w:val="Ninguno"/>
          <w:rFonts w:ascii="Century Gothic" w:hAnsi="Century Gothic"/>
          <w:b w:val="0"/>
          <w:bCs w:val="0"/>
        </w:rPr>
        <w:t>n Pol</w:t>
      </w:r>
      <w:r>
        <w:rPr>
          <w:rStyle w:val="Ninguno"/>
          <w:rFonts w:ascii="Century Gothic" w:hAnsi="Century Gothic"/>
          <w:b w:val="0"/>
          <w:bCs w:val="0"/>
        </w:rPr>
        <w:t>í</w:t>
      </w:r>
      <w:r>
        <w:rPr>
          <w:rStyle w:val="Ninguno"/>
          <w:rFonts w:ascii="Century Gothic" w:hAnsi="Century Gothic"/>
          <w:b w:val="0"/>
          <w:bCs w:val="0"/>
        </w:rPr>
        <w:t>tica del Estado de Chihuahua, incorpor</w:t>
      </w:r>
      <w:r>
        <w:rPr>
          <w:rStyle w:val="Ninguno"/>
          <w:rFonts w:ascii="Century Gothic" w:hAnsi="Century Gothic"/>
          <w:b w:val="0"/>
          <w:bCs w:val="0"/>
        </w:rPr>
        <w:t>á</w:t>
      </w:r>
      <w:r>
        <w:rPr>
          <w:rStyle w:val="Ninguno"/>
          <w:rFonts w:ascii="Century Gothic" w:hAnsi="Century Gothic"/>
          <w:b w:val="0"/>
          <w:bCs w:val="0"/>
        </w:rPr>
        <w:t>ndole al t</w:t>
      </w:r>
      <w:r>
        <w:rPr>
          <w:rStyle w:val="Ninguno"/>
          <w:rFonts w:ascii="Century Gothic" w:hAnsi="Century Gothic"/>
          <w:b w:val="0"/>
          <w:bCs w:val="0"/>
        </w:rPr>
        <w:t>í</w:t>
      </w:r>
      <w:r>
        <w:rPr>
          <w:rStyle w:val="Ninguno"/>
          <w:rFonts w:ascii="Century Gothic" w:hAnsi="Century Gothic"/>
          <w:b w:val="0"/>
          <w:bCs w:val="0"/>
        </w:rPr>
        <w:t>tulo IX, un cap</w:t>
      </w:r>
      <w:r>
        <w:rPr>
          <w:rStyle w:val="Ninguno"/>
          <w:rFonts w:ascii="Century Gothic" w:hAnsi="Century Gothic"/>
          <w:b w:val="0"/>
          <w:bCs w:val="0"/>
        </w:rPr>
        <w:t>í</w:t>
      </w:r>
      <w:r>
        <w:rPr>
          <w:rStyle w:val="Ninguno"/>
          <w:rFonts w:ascii="Century Gothic" w:hAnsi="Century Gothic"/>
          <w:b w:val="0"/>
          <w:bCs w:val="0"/>
        </w:rPr>
        <w:t xml:space="preserve">tulo VI, para intitularse </w:t>
      </w:r>
      <w:r>
        <w:rPr>
          <w:rStyle w:val="Ninguno"/>
          <w:rFonts w:ascii="Century Gothic" w:hAnsi="Century Gothic"/>
          <w:b w:val="0"/>
          <w:bCs w:val="0"/>
        </w:rPr>
        <w:t>“</w:t>
      </w:r>
      <w:r>
        <w:rPr>
          <w:rStyle w:val="Ninguno"/>
          <w:rFonts w:ascii="Century Gothic" w:hAnsi="Century Gothic"/>
          <w:b w:val="0"/>
          <w:bCs w:val="0"/>
        </w:rPr>
        <w:t>Del Servicio Profesional de Carrera de las Personas Defensoras P</w:t>
      </w:r>
      <w:r>
        <w:rPr>
          <w:rStyle w:val="Ninguno"/>
          <w:rFonts w:ascii="Century Gothic" w:hAnsi="Century Gothic"/>
          <w:b w:val="0"/>
          <w:bCs w:val="0"/>
        </w:rPr>
        <w:t>ú</w:t>
      </w:r>
      <w:r>
        <w:rPr>
          <w:rStyle w:val="Ninguno"/>
          <w:rFonts w:ascii="Century Gothic" w:hAnsi="Century Gothic"/>
          <w:b w:val="0"/>
          <w:bCs w:val="0"/>
        </w:rPr>
        <w:t>blicas</w:t>
      </w:r>
      <w:r>
        <w:rPr>
          <w:rStyle w:val="Ninguno"/>
          <w:rFonts w:ascii="Century Gothic" w:hAnsi="Century Gothic"/>
          <w:b w:val="0"/>
          <w:bCs w:val="0"/>
        </w:rPr>
        <w:t>”</w:t>
      </w:r>
      <w:r>
        <w:rPr>
          <w:rStyle w:val="Ninguno"/>
          <w:rFonts w:ascii="Century Gothic" w:hAnsi="Century Gothic"/>
          <w:b w:val="0"/>
          <w:bCs w:val="0"/>
        </w:rPr>
        <w:t>, que contiene los art</w:t>
      </w:r>
      <w:r>
        <w:rPr>
          <w:rStyle w:val="Ninguno"/>
          <w:rFonts w:ascii="Century Gothic" w:hAnsi="Century Gothic"/>
          <w:b w:val="0"/>
          <w:bCs w:val="0"/>
        </w:rPr>
        <w:t>í</w:t>
      </w:r>
      <w:r>
        <w:rPr>
          <w:rStyle w:val="Ninguno"/>
          <w:rFonts w:ascii="Century Gothic" w:hAnsi="Century Gothic"/>
          <w:b w:val="0"/>
          <w:bCs w:val="0"/>
        </w:rPr>
        <w:t>cu</w:t>
      </w:r>
      <w:r>
        <w:rPr>
          <w:rStyle w:val="Ninguno"/>
          <w:rFonts w:ascii="Century Gothic" w:hAnsi="Century Gothic"/>
          <w:b w:val="0"/>
          <w:bCs w:val="0"/>
        </w:rPr>
        <w:t>los 117 BIS Y 117 TER,  a la  Constituci</w:t>
      </w:r>
      <w:r>
        <w:rPr>
          <w:rStyle w:val="Ninguno"/>
          <w:rFonts w:ascii="Century Gothic" w:hAnsi="Century Gothic"/>
          <w:b w:val="0"/>
          <w:bCs w:val="0"/>
        </w:rPr>
        <w:t>ó</w:t>
      </w:r>
      <w:r>
        <w:rPr>
          <w:rStyle w:val="Ninguno"/>
          <w:rFonts w:ascii="Century Gothic" w:hAnsi="Century Gothic"/>
          <w:b w:val="0"/>
          <w:bCs w:val="0"/>
        </w:rPr>
        <w:t>n Pol</w:t>
      </w:r>
      <w:r>
        <w:rPr>
          <w:rStyle w:val="Ninguno"/>
          <w:rFonts w:ascii="Century Gothic" w:hAnsi="Century Gothic"/>
          <w:b w:val="0"/>
          <w:bCs w:val="0"/>
        </w:rPr>
        <w:t>í</w:t>
      </w:r>
      <w:r>
        <w:rPr>
          <w:rStyle w:val="Ninguno"/>
          <w:rFonts w:ascii="Century Gothic" w:hAnsi="Century Gothic"/>
          <w:b w:val="0"/>
          <w:bCs w:val="0"/>
        </w:rPr>
        <w:t>tica del Estado de Chihuahua para quedar como sigue</w:t>
      </w:r>
      <w:r>
        <w:rPr>
          <w:rStyle w:val="Ninguno"/>
          <w:rFonts w:ascii="Century Gothic" w:hAnsi="Century Gothic"/>
          <w:b w:val="0"/>
          <w:bCs w:val="0"/>
          <w:sz w:val="28"/>
          <w:szCs w:val="28"/>
        </w:rPr>
        <w:t>:</w:t>
      </w:r>
    </w:p>
    <w:p w14:paraId="10B71944" w14:textId="77777777" w:rsidR="00FD5EDD" w:rsidRDefault="00BC02FA">
      <w:pPr>
        <w:pStyle w:val="CuerpoA"/>
        <w:spacing w:after="160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lastRenderedPageBreak/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</w:rPr>
        <w:t>TULO VI</w:t>
      </w:r>
    </w:p>
    <w:p w14:paraId="5B50F9A1" w14:textId="77777777" w:rsidR="00FD5EDD" w:rsidRDefault="00BC02FA">
      <w:pPr>
        <w:pStyle w:val="CuerpoA"/>
        <w:spacing w:after="160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DEL SERVICIO PROFESIONAL DE CARRERA DE LAS PERSONAS DEFENSORAS P</w:t>
      </w:r>
      <w:r>
        <w:rPr>
          <w:rStyle w:val="Ninguno"/>
          <w:rFonts w:ascii="Arial" w:hAnsi="Arial"/>
          <w:b/>
          <w:bCs/>
        </w:rPr>
        <w:t>Ú</w:t>
      </w:r>
      <w:r>
        <w:rPr>
          <w:rStyle w:val="Ninguno"/>
          <w:rFonts w:ascii="Arial" w:hAnsi="Arial"/>
          <w:b/>
          <w:bCs/>
          <w:lang w:val="da-DK"/>
        </w:rPr>
        <w:t>BLICA</w:t>
      </w:r>
    </w:p>
    <w:p w14:paraId="4C856A9B" w14:textId="77777777" w:rsidR="00FD5EDD" w:rsidRDefault="00BC02FA">
      <w:pPr>
        <w:pStyle w:val="CuerpoA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de-DE"/>
        </w:rPr>
        <w:t>ART</w:t>
      </w:r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</w:rPr>
        <w:t xml:space="preserve">CULO 117 BIS. Con el objeto de garantizar un servicio de </w:t>
      </w:r>
      <w:r>
        <w:rPr>
          <w:rStyle w:val="Ninguno"/>
          <w:rFonts w:ascii="Century Gothic" w:hAnsi="Century Gothic"/>
          <w:b/>
          <w:bCs/>
        </w:rPr>
        <w:t>defensor</w:t>
      </w:r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</w:rPr>
        <w:t>a p</w:t>
      </w:r>
      <w:r>
        <w:rPr>
          <w:rStyle w:val="Ninguno"/>
          <w:rFonts w:ascii="Century Gothic" w:hAnsi="Century Gothic"/>
          <w:b/>
          <w:bCs/>
        </w:rPr>
        <w:t>ú</w:t>
      </w:r>
      <w:r>
        <w:rPr>
          <w:rStyle w:val="Ninguno"/>
          <w:rFonts w:ascii="Century Gothic" w:hAnsi="Century Gothic"/>
          <w:b/>
          <w:bCs/>
        </w:rPr>
        <w:t>blica de calidad para la poblaci</w:t>
      </w:r>
      <w:r>
        <w:rPr>
          <w:rStyle w:val="Ninguno"/>
          <w:rFonts w:ascii="Century Gothic" w:hAnsi="Century Gothic"/>
          <w:b/>
          <w:bCs/>
        </w:rPr>
        <w:t>ó</w:t>
      </w:r>
      <w:r>
        <w:rPr>
          <w:rStyle w:val="Ninguno"/>
          <w:rFonts w:ascii="Century Gothic" w:hAnsi="Century Gothic"/>
          <w:b/>
          <w:bCs/>
        </w:rPr>
        <w:t>n, se instituye el Servicio Profesional de Carrera, el cual regular</w:t>
      </w:r>
      <w:r>
        <w:rPr>
          <w:rStyle w:val="Ninguno"/>
          <w:rFonts w:ascii="Century Gothic" w:hAnsi="Century Gothic"/>
          <w:b/>
          <w:bCs/>
        </w:rPr>
        <w:t xml:space="preserve">á </w:t>
      </w:r>
      <w:r>
        <w:rPr>
          <w:rStyle w:val="Ninguno"/>
          <w:rFonts w:ascii="Century Gothic" w:hAnsi="Century Gothic"/>
          <w:b/>
          <w:bCs/>
        </w:rPr>
        <w:t>la selecci</w:t>
      </w:r>
      <w:r>
        <w:rPr>
          <w:rStyle w:val="Ninguno"/>
          <w:rFonts w:ascii="Century Gothic" w:hAnsi="Century Gothic"/>
          <w:b/>
          <w:bCs/>
        </w:rPr>
        <w:t>ó</w:t>
      </w:r>
      <w:r>
        <w:rPr>
          <w:rStyle w:val="Ninguno"/>
          <w:rFonts w:ascii="Century Gothic" w:hAnsi="Century Gothic"/>
          <w:b/>
          <w:bCs/>
        </w:rPr>
        <w:t>n, ingreso, adscripci</w:t>
      </w:r>
      <w:r>
        <w:rPr>
          <w:rStyle w:val="Ninguno"/>
          <w:rFonts w:ascii="Century Gothic" w:hAnsi="Century Gothic"/>
          <w:b/>
          <w:bCs/>
        </w:rPr>
        <w:t>ó</w:t>
      </w:r>
      <w:r>
        <w:rPr>
          <w:rStyle w:val="Ninguno"/>
          <w:rFonts w:ascii="Century Gothic" w:hAnsi="Century Gothic"/>
          <w:b/>
          <w:bCs/>
        </w:rPr>
        <w:t>n, permanencia, promoci</w:t>
      </w:r>
      <w:r>
        <w:rPr>
          <w:rStyle w:val="Ninguno"/>
          <w:rFonts w:ascii="Century Gothic" w:hAnsi="Century Gothic"/>
          <w:b/>
          <w:bCs/>
        </w:rPr>
        <w:t>ó</w:t>
      </w:r>
      <w:r>
        <w:rPr>
          <w:rStyle w:val="Ninguno"/>
          <w:rFonts w:ascii="Century Gothic" w:hAnsi="Century Gothic"/>
          <w:b/>
          <w:bCs/>
        </w:rPr>
        <w:t>n, capacitaci</w:t>
      </w:r>
      <w:r>
        <w:rPr>
          <w:rStyle w:val="Ninguno"/>
          <w:rFonts w:ascii="Century Gothic" w:hAnsi="Century Gothic"/>
          <w:b/>
          <w:bCs/>
        </w:rPr>
        <w:t>ó</w:t>
      </w:r>
      <w:r>
        <w:rPr>
          <w:rStyle w:val="Ninguno"/>
          <w:rFonts w:ascii="Century Gothic" w:hAnsi="Century Gothic"/>
          <w:b/>
          <w:bCs/>
        </w:rPr>
        <w:t>n, est</w:t>
      </w:r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</w:rPr>
        <w:t>mulos y sanciones de la persona defensora p</w:t>
      </w:r>
      <w:r>
        <w:rPr>
          <w:rStyle w:val="Ninguno"/>
          <w:rFonts w:ascii="Century Gothic" w:hAnsi="Century Gothic"/>
          <w:b/>
          <w:bCs/>
        </w:rPr>
        <w:t>ú</w:t>
      </w:r>
      <w:r>
        <w:rPr>
          <w:rStyle w:val="Ninguno"/>
          <w:rFonts w:ascii="Century Gothic" w:hAnsi="Century Gothic"/>
          <w:b/>
          <w:bCs/>
        </w:rPr>
        <w:t>blica, en los t</w:t>
      </w:r>
      <w:r>
        <w:rPr>
          <w:rStyle w:val="Ninguno"/>
          <w:rFonts w:ascii="Century Gothic" w:hAnsi="Century Gothic"/>
          <w:b/>
          <w:bCs/>
        </w:rPr>
        <w:t>é</w:t>
      </w:r>
      <w:r>
        <w:rPr>
          <w:rStyle w:val="Ninguno"/>
          <w:rFonts w:ascii="Century Gothic" w:hAnsi="Century Gothic"/>
          <w:b/>
          <w:bCs/>
        </w:rPr>
        <w:t>rmi</w:t>
      </w:r>
      <w:r>
        <w:rPr>
          <w:rStyle w:val="Ninguno"/>
          <w:rFonts w:ascii="Century Gothic" w:hAnsi="Century Gothic"/>
          <w:b/>
          <w:bCs/>
        </w:rPr>
        <w:t>nos que se establezcan en t</w:t>
      </w:r>
      <w:r>
        <w:rPr>
          <w:rStyle w:val="Ninguno"/>
          <w:rFonts w:ascii="Century Gothic" w:hAnsi="Century Gothic"/>
          <w:b/>
          <w:bCs/>
        </w:rPr>
        <w:t>é</w:t>
      </w:r>
      <w:r>
        <w:rPr>
          <w:rStyle w:val="Ninguno"/>
          <w:rFonts w:ascii="Century Gothic" w:hAnsi="Century Gothic"/>
          <w:b/>
          <w:bCs/>
        </w:rPr>
        <w:t xml:space="preserve">rminos de Ley. </w:t>
      </w:r>
    </w:p>
    <w:p w14:paraId="3557A356" w14:textId="77777777" w:rsidR="00FD5EDD" w:rsidRDefault="00FD5EDD">
      <w:pPr>
        <w:pStyle w:val="CuerpoA"/>
        <w:ind w:left="709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7E21EAB6" w14:textId="77777777" w:rsidR="00FD5EDD" w:rsidRDefault="00BC02FA">
      <w:pPr>
        <w:pStyle w:val="CuerpoA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de-DE"/>
        </w:rPr>
        <w:t>ART</w:t>
      </w:r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</w:rPr>
        <w:t>CULO 117 TER. Los principios que regir</w:t>
      </w:r>
      <w:r>
        <w:rPr>
          <w:rStyle w:val="Ninguno"/>
          <w:rFonts w:ascii="Century Gothic" w:hAnsi="Century Gothic"/>
          <w:b/>
          <w:bCs/>
        </w:rPr>
        <w:t>á</w:t>
      </w:r>
      <w:r>
        <w:rPr>
          <w:rStyle w:val="Ninguno"/>
          <w:rFonts w:ascii="Century Gothic" w:hAnsi="Century Gothic"/>
          <w:b/>
          <w:bCs/>
        </w:rPr>
        <w:t xml:space="preserve">n al Servicio Profesional de Carrera son la excelencia, profesionalismo, objetividad, </w:t>
      </w:r>
      <w:proofErr w:type="gramStart"/>
      <w:r>
        <w:rPr>
          <w:rStyle w:val="Ninguno"/>
          <w:rFonts w:ascii="Century Gothic" w:hAnsi="Century Gothic"/>
          <w:b/>
          <w:bCs/>
        </w:rPr>
        <w:t>imparcialidad,  independencia</w:t>
      </w:r>
      <w:proofErr w:type="gramEnd"/>
      <w:r>
        <w:rPr>
          <w:rStyle w:val="Ninguno"/>
          <w:rFonts w:ascii="Century Gothic" w:hAnsi="Century Gothic"/>
          <w:b/>
          <w:bCs/>
        </w:rPr>
        <w:t>, paridad de g</w:t>
      </w:r>
      <w:r>
        <w:rPr>
          <w:rStyle w:val="Ninguno"/>
          <w:rFonts w:ascii="Century Gothic" w:hAnsi="Century Gothic"/>
          <w:b/>
          <w:bCs/>
        </w:rPr>
        <w:t>é</w:t>
      </w:r>
      <w:r>
        <w:rPr>
          <w:rStyle w:val="Ninguno"/>
          <w:rFonts w:ascii="Century Gothic" w:hAnsi="Century Gothic"/>
          <w:b/>
          <w:bCs/>
        </w:rPr>
        <w:t xml:space="preserve">nero y </w:t>
      </w:r>
      <w:proofErr w:type="spellStart"/>
      <w:r>
        <w:rPr>
          <w:rStyle w:val="Ninguno"/>
          <w:rFonts w:ascii="Century Gothic" w:hAnsi="Century Gothic"/>
          <w:b/>
          <w:bCs/>
        </w:rPr>
        <w:t>antig</w:t>
      </w:r>
      <w:r>
        <w:rPr>
          <w:rStyle w:val="Ninguno"/>
          <w:rFonts w:ascii="Century Gothic" w:hAnsi="Century Gothic"/>
          <w:b/>
          <w:bCs/>
        </w:rPr>
        <w:t>ü</w:t>
      </w:r>
      <w:proofErr w:type="spellEnd"/>
      <w:r>
        <w:rPr>
          <w:rStyle w:val="Ninguno"/>
          <w:rFonts w:ascii="Century Gothic" w:hAnsi="Century Gothic"/>
          <w:b/>
          <w:bCs/>
          <w:lang w:val="pt-PT"/>
        </w:rPr>
        <w:t>edad.</w:t>
      </w:r>
    </w:p>
    <w:p w14:paraId="76364B77" w14:textId="77777777" w:rsidR="00FD5EDD" w:rsidRDefault="00FD5EDD">
      <w:pPr>
        <w:pStyle w:val="CuerpoA"/>
        <w:spacing w:after="160"/>
        <w:jc w:val="center"/>
        <w:rPr>
          <w:rStyle w:val="Ninguno"/>
          <w:rFonts w:ascii="Arial" w:eastAsia="Arial" w:hAnsi="Arial" w:cs="Arial"/>
          <w:b/>
          <w:bCs/>
        </w:rPr>
      </w:pPr>
    </w:p>
    <w:p w14:paraId="1BF9FE1B" w14:textId="77777777" w:rsidR="00FD5EDD" w:rsidRDefault="00BC02FA">
      <w:pPr>
        <w:pStyle w:val="CuerpoA"/>
        <w:spacing w:after="160"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36"/>
          <w:szCs w:val="36"/>
          <w:lang w:val="de-DE"/>
        </w:rPr>
      </w:pPr>
      <w:r>
        <w:rPr>
          <w:rStyle w:val="Ninguno"/>
          <w:rFonts w:ascii="Century Gothic" w:hAnsi="Century Gothic"/>
          <w:b/>
          <w:bCs/>
          <w:sz w:val="36"/>
          <w:szCs w:val="36"/>
          <w:lang w:val="de-DE"/>
        </w:rPr>
        <w:t>TRANSITORIOS</w:t>
      </w:r>
    </w:p>
    <w:p w14:paraId="60961E9C" w14:textId="77777777" w:rsidR="00FD5EDD" w:rsidRDefault="00BC02FA">
      <w:pPr>
        <w:pStyle w:val="CuerpoA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b/>
          <w:bCs/>
          <w:sz w:val="28"/>
          <w:szCs w:val="28"/>
          <w:lang w:val="de-DE"/>
        </w:rPr>
        <w:t>ART</w:t>
      </w:r>
      <w:r>
        <w:rPr>
          <w:rStyle w:val="Ninguno"/>
          <w:rFonts w:ascii="Century Gothic" w:hAnsi="Century Gothic"/>
          <w:b/>
          <w:bCs/>
          <w:sz w:val="28"/>
          <w:szCs w:val="28"/>
        </w:rPr>
        <w:t>Í</w:t>
      </w:r>
      <w:r>
        <w:rPr>
          <w:rStyle w:val="Ninguno"/>
          <w:rFonts w:ascii="Century Gothic" w:hAnsi="Century Gothic"/>
          <w:b/>
          <w:bCs/>
          <w:sz w:val="28"/>
          <w:szCs w:val="28"/>
        </w:rPr>
        <w:t xml:space="preserve">CULO </w:t>
      </w:r>
      <w:r>
        <w:rPr>
          <w:rStyle w:val="Ninguno"/>
          <w:rFonts w:ascii="Century Gothic" w:hAnsi="Century Gothic"/>
          <w:b/>
          <w:bCs/>
          <w:sz w:val="28"/>
          <w:szCs w:val="28"/>
          <w:lang w:val="de-DE"/>
        </w:rPr>
        <w:t>PRIMERO</w:t>
      </w:r>
      <w:r>
        <w:rPr>
          <w:rStyle w:val="Ninguno"/>
          <w:rFonts w:ascii="Century Gothic" w:hAnsi="Century Gothic"/>
          <w:b/>
          <w:bCs/>
          <w:sz w:val="28"/>
          <w:szCs w:val="28"/>
        </w:rPr>
        <w:t>.</w:t>
      </w:r>
      <w:r>
        <w:rPr>
          <w:rStyle w:val="Ninguno"/>
          <w:rFonts w:ascii="Century Gothic" w:hAnsi="Century Gothic"/>
          <w:b/>
          <w:bCs/>
          <w:lang w:val="ru-RU"/>
        </w:rPr>
        <w:t xml:space="preserve"> - </w:t>
      </w:r>
      <w:r>
        <w:rPr>
          <w:rStyle w:val="Ninguno"/>
          <w:rFonts w:ascii="Century Gothic" w:hAnsi="Century Gothic"/>
        </w:rPr>
        <w:t xml:space="preserve"> El presente</w:t>
      </w:r>
      <w:r>
        <w:rPr>
          <w:rStyle w:val="Ninguno"/>
          <w:rFonts w:ascii="Century Gothic" w:hAnsi="Century Gothic"/>
          <w:lang w:val="pt-PT"/>
        </w:rPr>
        <w:t xml:space="preserve"> decreto entrar</w:t>
      </w:r>
      <w:r>
        <w:rPr>
          <w:rStyle w:val="Ninguno"/>
          <w:rFonts w:ascii="Century Gothic" w:hAnsi="Century Gothic"/>
        </w:rPr>
        <w:t xml:space="preserve">á </w:t>
      </w:r>
      <w:r>
        <w:rPr>
          <w:rStyle w:val="Ninguno"/>
          <w:rFonts w:ascii="Century Gothic" w:hAnsi="Century Gothic"/>
        </w:rPr>
        <w:t>en vigor al d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 siguiente de su publicaci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en el Peri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dico Oficial del Estado.</w:t>
      </w:r>
    </w:p>
    <w:p w14:paraId="7A21277A" w14:textId="77777777" w:rsidR="00FD5EDD" w:rsidRDefault="00BC02FA">
      <w:pPr>
        <w:pStyle w:val="CuerpoA"/>
        <w:spacing w:line="36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b/>
          <w:bCs/>
          <w:sz w:val="28"/>
          <w:szCs w:val="28"/>
          <w:lang w:val="de-DE"/>
        </w:rPr>
        <w:t>ART</w:t>
      </w:r>
      <w:r>
        <w:rPr>
          <w:rStyle w:val="Ninguno"/>
          <w:rFonts w:ascii="Century Gothic" w:hAnsi="Century Gothic"/>
          <w:b/>
          <w:bCs/>
          <w:sz w:val="28"/>
          <w:szCs w:val="28"/>
        </w:rPr>
        <w:t>Í</w:t>
      </w:r>
      <w:r>
        <w:rPr>
          <w:rStyle w:val="Ninguno"/>
          <w:rFonts w:ascii="Century Gothic" w:hAnsi="Century Gothic"/>
          <w:b/>
          <w:bCs/>
          <w:sz w:val="28"/>
          <w:szCs w:val="28"/>
        </w:rPr>
        <w:t>CULO SEGUNDO</w:t>
      </w:r>
      <w:r>
        <w:rPr>
          <w:rStyle w:val="Ninguno"/>
          <w:rFonts w:ascii="Century Gothic" w:hAnsi="Century Gothic"/>
          <w:b/>
          <w:bCs/>
        </w:rPr>
        <w:t>.-</w:t>
      </w:r>
      <w:r>
        <w:rPr>
          <w:rStyle w:val="Ninguno"/>
          <w:rFonts w:ascii="Century Gothic" w:hAnsi="Century Gothic"/>
        </w:rPr>
        <w:t xml:space="preserve"> Conforme a lo dispuesto por el art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 xml:space="preserve">culo 202 de la </w:t>
      </w:r>
      <w:proofErr w:type="spellStart"/>
      <w:r>
        <w:rPr>
          <w:rStyle w:val="Ninguno"/>
          <w:rFonts w:ascii="Century Gothic" w:hAnsi="Century Gothic"/>
        </w:rPr>
        <w:t>Constituci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de-DE"/>
        </w:rPr>
        <w:t>n Pol</w:t>
      </w:r>
      <w:proofErr w:type="spellStart"/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tica</w:t>
      </w:r>
      <w:proofErr w:type="spellEnd"/>
      <w:r>
        <w:rPr>
          <w:rStyle w:val="Ninguno"/>
          <w:rFonts w:ascii="Century Gothic" w:hAnsi="Century Gothic"/>
        </w:rPr>
        <w:t xml:space="preserve"> del Estado, env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 xml:space="preserve">ese copia de las </w:t>
      </w:r>
      <w:r>
        <w:rPr>
          <w:rStyle w:val="Ninguno"/>
          <w:rFonts w:ascii="Century Gothic" w:hAnsi="Century Gothic"/>
        </w:rPr>
        <w:t>iniciativas, del dictamen y del Diario de los Debates del Congreso, a los Ayuntamientos de los sesenta y siete Municipios que integran la Entidad y, en su oportunidad, h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</w:rPr>
        <w:t>gase por el Congreso del Estado o por la Diputaci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Permanente, en su caso, el c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mputo</w:t>
      </w:r>
      <w:r>
        <w:rPr>
          <w:rStyle w:val="Ninguno"/>
          <w:rFonts w:ascii="Century Gothic" w:hAnsi="Century Gothic"/>
        </w:rPr>
        <w:t xml:space="preserve"> de los votos de los Ayuntamientos y la declaratoria de haber sido aprobada la presente reforma.</w:t>
      </w:r>
    </w:p>
    <w:p w14:paraId="64F4673C" w14:textId="77777777" w:rsidR="00FD5EDD" w:rsidRDefault="00FD5EDD">
      <w:pPr>
        <w:pStyle w:val="CuerpoA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0F2942A4" w14:textId="77777777" w:rsidR="00FD5EDD" w:rsidRDefault="00BC02FA">
      <w:pPr>
        <w:pStyle w:val="CuerpoA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Dado en el Sal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</w:rPr>
        <w:t>n de Sesiones a los ___d</w:t>
      </w:r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</w:rPr>
        <w:t>as del mes de del a</w:t>
      </w:r>
      <w:r>
        <w:rPr>
          <w:rStyle w:val="Ninguno"/>
          <w:rFonts w:ascii="Century Gothic" w:hAnsi="Century Gothic"/>
        </w:rPr>
        <w:t>ñ</w:t>
      </w:r>
      <w:r>
        <w:rPr>
          <w:rStyle w:val="Ninguno"/>
          <w:rFonts w:ascii="Century Gothic" w:hAnsi="Century Gothic"/>
        </w:rPr>
        <w:t xml:space="preserve">o dos mil </w:t>
      </w:r>
      <w:proofErr w:type="spellStart"/>
      <w:r>
        <w:rPr>
          <w:rStyle w:val="Ninguno"/>
          <w:rFonts w:ascii="Century Gothic" w:hAnsi="Century Gothic"/>
        </w:rPr>
        <w:t>veintid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pt-PT"/>
        </w:rPr>
        <w:t>s.</w:t>
      </w:r>
    </w:p>
    <w:p w14:paraId="3CEE38E3" w14:textId="77777777" w:rsidR="00FD5EDD" w:rsidRDefault="00BC02FA">
      <w:pPr>
        <w:pStyle w:val="CuerpoAA"/>
        <w:spacing w:line="360" w:lineRule="auto"/>
        <w:jc w:val="center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</w:rPr>
        <w:t>ATENTAMENTE</w:t>
      </w:r>
    </w:p>
    <w:p w14:paraId="1A0935DB" w14:textId="77777777" w:rsidR="00FD5EDD" w:rsidRDefault="00FD5EDD">
      <w:pPr>
        <w:pStyle w:val="CuerpoAA"/>
        <w:spacing w:line="360" w:lineRule="auto"/>
        <w:jc w:val="center"/>
        <w:rPr>
          <w:rStyle w:val="Ninguno"/>
          <w:rFonts w:ascii="Century Gothic" w:eastAsia="Century Gothic" w:hAnsi="Century Gothic" w:cs="Century Gothic"/>
          <w:sz w:val="24"/>
          <w:szCs w:val="24"/>
        </w:rPr>
      </w:pPr>
    </w:p>
    <w:p w14:paraId="6E63E0C8" w14:textId="77777777" w:rsidR="00FD5EDD" w:rsidRDefault="00BC02FA">
      <w:pPr>
        <w:pStyle w:val="CuerpoAA"/>
        <w:spacing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</w:rPr>
        <w:lastRenderedPageBreak/>
        <w:t>DIP. ISELA MART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Í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NEZ D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Í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AZ</w:t>
      </w:r>
    </w:p>
    <w:p w14:paraId="08B34AC7" w14:textId="77777777" w:rsidR="00FD5EDD" w:rsidRDefault="00FD5EDD">
      <w:pPr>
        <w:pStyle w:val="CuerpoAA"/>
      </w:pPr>
    </w:p>
    <w:tbl>
      <w:tblPr>
        <w:tblStyle w:val="TableNormal"/>
        <w:tblW w:w="916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575"/>
      </w:tblGrid>
      <w:tr w:rsidR="00FD5EDD" w14:paraId="3DB67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859FB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FB0DA09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MARISELA TERRAZAS MU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Ñ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OZ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5BAB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22E8524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 xml:space="preserve">           DIP. ISMAEL P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É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REZ PAV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</w:tc>
      </w:tr>
      <w:tr w:rsidR="00FD5EDD" w14:paraId="7A903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9B9A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6EA41E10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92231B7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1FDA1485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ROC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O GUADALUPE SARMIENTO RUFINO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0065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40E5E082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4DE2AF72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0C71888D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 xml:space="preserve">             DIP. SA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Ú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L MIRELES CORRAL</w:t>
            </w:r>
          </w:p>
        </w:tc>
      </w:tr>
      <w:tr w:rsidR="00FD5EDD" w14:paraId="75D4F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8DBA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EC4DFFA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1D157A2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 xml:space="preserve">DIP. ANA MARGARITA BLACKALLER PRIETO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A536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7A9DEDC4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17B780CD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JOS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 xml:space="preserve">É 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ALFREDO CH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Á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VEZ MADRID</w:t>
            </w:r>
          </w:p>
        </w:tc>
      </w:tr>
      <w:tr w:rsidR="00FD5EDD" w14:paraId="1EADF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1229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0355662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93FBCE0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CARLOS ALFREDO OLSON SAN VICENTE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BDF5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4AD3F04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5573C38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 xml:space="preserve">DIP. CARLA 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YAMILETH RIVAS MART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NEZ</w:t>
            </w:r>
          </w:p>
        </w:tc>
      </w:tr>
      <w:tr w:rsidR="00FD5EDD" w14:paraId="6C802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BAD0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74607C80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4952A85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598CF912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ROBERTO MARCELINO CARRE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N HUITR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0FB1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6B32BF35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14DE4027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D4FE139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LUIS ALBERTO AGUILAR LOZOYA</w:t>
            </w:r>
          </w:p>
        </w:tc>
      </w:tr>
      <w:tr w:rsidR="00FD5EDD" w14:paraId="27994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62F0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5AAE584B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6D7E1D8B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DIANA IVETTE PEREDA GUTI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É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RREZ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57B5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171781F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691A0E08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 xml:space="preserve">DIP. GABRIEL 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Á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NGEL GARC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A CANT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Ú</w:t>
            </w:r>
          </w:p>
        </w:tc>
      </w:tr>
      <w:tr w:rsidR="00FD5EDD" w14:paraId="133BE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D585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79181692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2C26D547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68D0D08B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YESENIA GUADALUPE REYES CALZAD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56D7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1F5930A0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BAB3EA5" w14:textId="77777777" w:rsidR="00FD5EDD" w:rsidRDefault="00FD5EDD">
            <w:pPr>
              <w:pStyle w:val="CuerpoAA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38F1596" w14:textId="77777777" w:rsidR="00FD5EDD" w:rsidRDefault="00BC02FA">
            <w:pPr>
              <w:pStyle w:val="CuerpoAA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DIP. MARIO HUMBERTO V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Á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 xml:space="preserve">ZQUEZ 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</w:rPr>
              <w:t>ROBLES</w:t>
            </w:r>
          </w:p>
        </w:tc>
      </w:tr>
    </w:tbl>
    <w:p w14:paraId="7C094906" w14:textId="77777777" w:rsidR="00FD5EDD" w:rsidRDefault="00FD5EDD">
      <w:pPr>
        <w:pStyle w:val="CuerpoAA"/>
        <w:widowControl w:val="0"/>
        <w:spacing w:line="240" w:lineRule="auto"/>
        <w:ind w:left="108" w:hanging="108"/>
      </w:pPr>
    </w:p>
    <w:sectPr w:rsidR="00FD5EDD">
      <w:headerReference w:type="default" r:id="rId6"/>
      <w:footerReference w:type="default" r:id="rId7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6106" w14:textId="77777777" w:rsidR="00BC02FA" w:rsidRDefault="00BC02FA">
      <w:r>
        <w:separator/>
      </w:r>
    </w:p>
  </w:endnote>
  <w:endnote w:type="continuationSeparator" w:id="0">
    <w:p w14:paraId="48501B22" w14:textId="77777777" w:rsidR="00BC02FA" w:rsidRDefault="00BC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CCCD" w14:textId="77777777" w:rsidR="00FD5EDD" w:rsidRDefault="00BC02FA">
    <w:pPr>
      <w:pStyle w:val="CuerpoAA"/>
      <w:tabs>
        <w:tab w:val="center" w:pos="4419"/>
        <w:tab w:val="right" w:pos="8818"/>
      </w:tabs>
      <w:spacing w:after="0" w:line="240" w:lineRule="auto"/>
      <w:jc w:val="center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816FC2">
      <w:rPr>
        <w:rStyle w:val="Ninguno"/>
        <w:noProof/>
      </w:rPr>
      <w:t>1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E8D9" w14:textId="77777777" w:rsidR="00BC02FA" w:rsidRDefault="00BC02FA">
      <w:r>
        <w:separator/>
      </w:r>
    </w:p>
  </w:footnote>
  <w:footnote w:type="continuationSeparator" w:id="0">
    <w:p w14:paraId="6872CE8B" w14:textId="77777777" w:rsidR="00BC02FA" w:rsidRDefault="00BC02FA">
      <w:r>
        <w:continuationSeparator/>
      </w:r>
    </w:p>
  </w:footnote>
  <w:footnote w:type="continuationNotice" w:id="1">
    <w:p w14:paraId="6FEA404E" w14:textId="77777777" w:rsidR="00BC02FA" w:rsidRDefault="00BC02FA"/>
  </w:footnote>
  <w:footnote w:id="2">
    <w:p w14:paraId="47C82B52" w14:textId="77777777" w:rsidR="00FD5EDD" w:rsidRDefault="00BC02FA">
      <w:pPr>
        <w:pStyle w:val="Textonotapie"/>
      </w:pPr>
      <w:r>
        <w:rPr>
          <w:rStyle w:val="Ninguno"/>
          <w:rFonts w:ascii="Century Gothic" w:eastAsia="Century Gothic" w:hAnsi="Century Gothic" w:cs="Century Gothic"/>
          <w:shd w:val="clear" w:color="auto" w:fill="FFFFFF"/>
          <w:vertAlign w:val="superscript"/>
        </w:rPr>
        <w:footnoteRef/>
      </w:r>
      <w:r>
        <w:rPr>
          <w:rStyle w:val="NingunoA"/>
          <w:rFonts w:eastAsia="Arial Unicode MS" w:cs="Arial Unicode MS"/>
        </w:rPr>
        <w:t xml:space="preserve"> https://www.scielo.org.mx/scielo.php?script=sci_arttext&amp;pid=S1405-91932015000100006</w:t>
      </w:r>
    </w:p>
  </w:footnote>
  <w:footnote w:id="3">
    <w:p w14:paraId="6532B464" w14:textId="77777777" w:rsidR="00FD5EDD" w:rsidRDefault="00BC02FA">
      <w:pPr>
        <w:pStyle w:val="Textonotapie"/>
      </w:pPr>
      <w:r>
        <w:rPr>
          <w:rStyle w:val="Ninguno"/>
          <w:rFonts w:ascii="Century Gothic" w:eastAsia="Century Gothic" w:hAnsi="Century Gothic" w:cs="Century Gothic"/>
          <w:vertAlign w:val="superscript"/>
        </w:rPr>
        <w:footnoteRef/>
      </w:r>
      <w:r>
        <w:rPr>
          <w:rStyle w:val="NingunoA"/>
          <w:rFonts w:eastAsia="Arial Unicode MS" w:cs="Arial Unicode MS"/>
        </w:rPr>
        <w:t xml:space="preserve"> http://www.stj.gob.mx/defensoria/index.php</w:t>
      </w:r>
    </w:p>
  </w:footnote>
  <w:footnote w:id="4">
    <w:p w14:paraId="653F44BB" w14:textId="77777777" w:rsidR="00FD5EDD" w:rsidRDefault="00BC02FA">
      <w:pPr>
        <w:pStyle w:val="Textonotapie"/>
      </w:pPr>
      <w:r>
        <w:rPr>
          <w:rStyle w:val="Ninguno"/>
          <w:rFonts w:ascii="Century Gothic" w:eastAsia="Century Gothic" w:hAnsi="Century Gothic" w:cs="Century Gothic"/>
          <w:shd w:val="clear" w:color="auto" w:fill="FFFFFF"/>
          <w:vertAlign w:val="superscript"/>
          <w:lang w:val="es-ES_tradnl"/>
        </w:rPr>
        <w:footnoteRef/>
      </w:r>
      <w:r>
        <w:rPr>
          <w:rStyle w:val="Ninguno"/>
          <w:lang w:val="es-ES_tradnl"/>
        </w:rPr>
        <w:t xml:space="preserve"> https://www.scielo.org.mx/scielo.php?script=sci_arttext&amp;pid=S1405-91932015000100006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BF4" w14:textId="77777777" w:rsidR="00FD5EDD" w:rsidRDefault="00BC02FA">
    <w:pPr>
      <w:pStyle w:val="CuerpoAA"/>
      <w:widowControl w:val="0"/>
      <w:tabs>
        <w:tab w:val="left" w:pos="5544"/>
      </w:tabs>
      <w:spacing w:after="0" w:line="20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C3F1A6" wp14:editId="6A1A3948">
          <wp:simplePos x="0" y="0"/>
          <wp:positionH relativeFrom="page">
            <wp:posOffset>259080</wp:posOffset>
          </wp:positionH>
          <wp:positionV relativeFrom="page">
            <wp:posOffset>202969</wp:posOffset>
          </wp:positionV>
          <wp:extent cx="1061085" cy="1017905"/>
          <wp:effectExtent l="0" t="0" r="0" b="0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B14600B" wp14:editId="27B53427">
          <wp:simplePos x="0" y="0"/>
          <wp:positionH relativeFrom="page">
            <wp:posOffset>6151672</wp:posOffset>
          </wp:positionH>
          <wp:positionV relativeFrom="page">
            <wp:posOffset>301729</wp:posOffset>
          </wp:positionV>
          <wp:extent cx="857250" cy="857250"/>
          <wp:effectExtent l="0" t="0" r="0" b="0"/>
          <wp:wrapNone/>
          <wp:docPr id="1073741826" name="officeArt object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tipoDescripción generada automáticamente con confianza media" descr="Logotipo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6D9E91CF" wp14:editId="774CA3A3">
          <wp:simplePos x="0" y="0"/>
          <wp:positionH relativeFrom="page">
            <wp:posOffset>1212980</wp:posOffset>
          </wp:positionH>
          <wp:positionV relativeFrom="page">
            <wp:posOffset>406814</wp:posOffset>
          </wp:positionV>
          <wp:extent cx="4654109" cy="457200"/>
          <wp:effectExtent l="0" t="0" r="0" b="0"/>
          <wp:wrapNone/>
          <wp:docPr id="1073741827" name="officeArt object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ormaDescripción generada automáticamente con confianza media" descr="Forma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65410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22EA4B7" wp14:editId="6271EE19">
              <wp:simplePos x="0" y="0"/>
              <wp:positionH relativeFrom="page">
                <wp:posOffset>6472236</wp:posOffset>
              </wp:positionH>
              <wp:positionV relativeFrom="page">
                <wp:posOffset>18459129</wp:posOffset>
              </wp:positionV>
              <wp:extent cx="248284" cy="224900"/>
              <wp:effectExtent l="0" t="0" r="0" b="0"/>
              <wp:wrapNone/>
              <wp:docPr id="1073741828" name="officeArt object" descr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4" cy="224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C484A37" w14:textId="77777777" w:rsidR="00FD5EDD" w:rsidRDefault="00BC02FA">
                          <w:pPr>
                            <w:pStyle w:val="CuerpoAA"/>
                            <w:spacing w:after="0" w:line="245" w:lineRule="auto"/>
                            <w:ind w:left="40" w:firstLine="80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24"/>
                              <w:szCs w:val="24"/>
                              <w:lang w:val="de-DE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09.6pt;margin-top:1453.5pt;width:19.5pt;height:17.7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 A A"/>
                      <w:spacing w:after="0" w:line="245" w:lineRule="auto"/>
                      <w:ind w:left="40" w:firstLine="80"/>
                    </w:pPr>
                    <w:r>
                      <w:rPr>
                        <w:rStyle w:val="Ninguno"/>
                        <w:rFonts w:ascii="Arial" w:hAnsi="Arial"/>
                        <w:sz w:val="24"/>
                        <w:szCs w:val="24"/>
                        <w:rtl w:val="0"/>
                        <w:lang w:val="de-DE"/>
                      </w:rPr>
                      <w:t xml:space="preserve"> PAGE 1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Style w:val="Ninguno"/>
        <w:rFonts w:ascii="Times New Roman" w:hAnsi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DD"/>
    <w:rsid w:val="001C4CAF"/>
    <w:rsid w:val="00816FC2"/>
    <w:rsid w:val="00BC02FA"/>
    <w:rsid w:val="00D60724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C5FD"/>
  <w15:docId w15:val="{5ACDE0FD-F918-46EC-905F-96A73B1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uiPriority w:val="9"/>
    <w:unhideWhenUsed/>
    <w:qFormat/>
    <w:pPr>
      <w:spacing w:before="100" w:after="100"/>
      <w:outlineLvl w:val="3"/>
    </w:pPr>
    <w:rPr>
      <w:rFonts w:cs="Arial Unicode MS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A">
    <w:name w:val="Cuerpo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notapie">
    <w:name w:val="footnote text"/>
    <w:rPr>
      <w:rFonts w:eastAsia="Times New Roman"/>
      <w:color w:val="000000"/>
      <w:u w:color="000000"/>
      <w:lang w:val="en-US"/>
    </w:rPr>
  </w:style>
  <w:style w:type="character" w:customStyle="1" w:styleId="NingunoA">
    <w:name w:val="Ninguno A"/>
    <w:basedOn w:val="Ninguno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1818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Soto Jimenez</dc:creator>
  <cp:lastModifiedBy>Priscila Soto Jimenez</cp:lastModifiedBy>
  <cp:revision>2</cp:revision>
  <dcterms:created xsi:type="dcterms:W3CDTF">2022-11-17T15:08:00Z</dcterms:created>
  <dcterms:modified xsi:type="dcterms:W3CDTF">2022-11-17T15:08:00Z</dcterms:modified>
</cp:coreProperties>
</file>