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7CCF4D" w14:textId="77777777" w:rsidR="00C17393" w:rsidRPr="00C17393" w:rsidRDefault="00C17393" w:rsidP="00C17393">
      <w:pPr>
        <w:spacing w:line="360" w:lineRule="auto"/>
        <w:rPr>
          <w:rFonts w:ascii="Century Gothic" w:eastAsia="Century Gothic" w:hAnsi="Century Gothic" w:cs="Century Gothic"/>
          <w:b/>
          <w:sz w:val="24"/>
          <w:szCs w:val="24"/>
        </w:rPr>
      </w:pPr>
      <w:bookmarkStart w:id="0" w:name="_GoBack"/>
      <w:bookmarkEnd w:id="0"/>
      <w:r w:rsidRPr="00C17393">
        <w:rPr>
          <w:rFonts w:ascii="Century Gothic" w:eastAsia="Century Gothic" w:hAnsi="Century Gothic" w:cs="Century Gothic"/>
          <w:b/>
          <w:sz w:val="24"/>
          <w:szCs w:val="24"/>
        </w:rPr>
        <w:t>H. CONGRESO DEL ESTADO DE CHIHUAHUA.</w:t>
      </w:r>
    </w:p>
    <w:p w14:paraId="6C298E6B" w14:textId="77777777" w:rsidR="00C17393" w:rsidRPr="00C17393" w:rsidRDefault="00C17393" w:rsidP="00C17393">
      <w:pPr>
        <w:spacing w:line="360" w:lineRule="auto"/>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PRESENTE:</w:t>
      </w:r>
    </w:p>
    <w:p w14:paraId="114989B9" w14:textId="77777777" w:rsidR="00C17393" w:rsidRPr="00C17393" w:rsidRDefault="00C17393" w:rsidP="00C17393">
      <w:pPr>
        <w:spacing w:line="360" w:lineRule="auto"/>
        <w:rPr>
          <w:rFonts w:ascii="Century Gothic" w:eastAsia="Century Gothic" w:hAnsi="Century Gothic" w:cs="Century Gothic"/>
          <w:sz w:val="24"/>
          <w:szCs w:val="24"/>
        </w:rPr>
      </w:pPr>
    </w:p>
    <w:p w14:paraId="4D353295" w14:textId="47BFEC59" w:rsidR="00C17393" w:rsidRPr="00C17393" w:rsidRDefault="00C17393" w:rsidP="00C17393">
      <w:pPr>
        <w:spacing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 xml:space="preserve">Los que suscriben, </w:t>
      </w:r>
      <w:r w:rsidRPr="00C17393">
        <w:rPr>
          <w:rFonts w:ascii="Century Gothic" w:eastAsia="Century Gothic" w:hAnsi="Century Gothic" w:cs="Century Gothic"/>
          <w:b/>
          <w:sz w:val="24"/>
          <w:szCs w:val="24"/>
        </w:rPr>
        <w:t xml:space="preserve">Ilse América García Soto, Benjamín Carrera Chávez, Edin Cuauhtémoc Estrada Sotelo, Leticia Ortega Máynez, Óscar Daniel Avitia Arellanes, Rosana Díaz Reyes, Gustavo de la Rosa Hickerson, Magdalena Rentería Pérez, María Antonieta Pérez Reyes, David Óscar Castrejón Rivas, </w:t>
      </w:r>
      <w:r w:rsidRPr="00C17393">
        <w:rPr>
          <w:rFonts w:ascii="Century Gothic" w:eastAsia="Century Gothic" w:hAnsi="Century Gothic" w:cs="Century Gothic"/>
          <w:sz w:val="24"/>
          <w:szCs w:val="24"/>
        </w:rPr>
        <w:t xml:space="preserve">en nuestro carácter de Diputados de la Sexagésima Séptima Legislatura del Honorable Congreso del Estado de Chihuahua e integrantes del Grupo Parlamentario de </w:t>
      </w:r>
      <w:r w:rsidRPr="00C17393">
        <w:rPr>
          <w:rFonts w:ascii="Century Gothic" w:eastAsia="Century Gothic" w:hAnsi="Century Gothic" w:cs="Century Gothic"/>
          <w:b/>
          <w:sz w:val="24"/>
          <w:szCs w:val="24"/>
        </w:rPr>
        <w:t>MORENA</w:t>
      </w:r>
      <w:r w:rsidRPr="00C17393">
        <w:rPr>
          <w:rFonts w:ascii="Century Gothic" w:eastAsia="Century Gothic" w:hAnsi="Century Gothic" w:cs="Century Gothic"/>
          <w:sz w:val="24"/>
          <w:szCs w:val="24"/>
        </w:rPr>
        <w:t>; con fundamento en lo que disponen los artículos 167, fracción I y 16</w:t>
      </w:r>
      <w:r>
        <w:rPr>
          <w:rFonts w:ascii="Century Gothic" w:eastAsia="Century Gothic" w:hAnsi="Century Gothic" w:cs="Century Gothic"/>
          <w:sz w:val="24"/>
          <w:szCs w:val="24"/>
        </w:rPr>
        <w:t>9</w:t>
      </w:r>
      <w:r w:rsidRPr="00C17393">
        <w:rPr>
          <w:rFonts w:ascii="Century Gothic" w:eastAsia="Century Gothic" w:hAnsi="Century Gothic" w:cs="Century Gothic"/>
          <w:sz w:val="24"/>
          <w:szCs w:val="24"/>
        </w:rPr>
        <w:t xml:space="preserve">, todos de la Ley Orgánica del Poder Legislativo; artículo 2, fracción IX del Reglamento Interior y de Prácticas Parlamentarias del Poder Legislativo, comparezco ante esta Honorable Soberanía a fin de presentar </w:t>
      </w:r>
      <w:r w:rsidRPr="00C17393">
        <w:rPr>
          <w:rFonts w:ascii="Century Gothic" w:eastAsia="Century Gothic" w:hAnsi="Century Gothic" w:cs="Century Gothic"/>
          <w:b/>
          <w:sz w:val="24"/>
          <w:szCs w:val="24"/>
        </w:rPr>
        <w:t>Proposición con carácter de Punto de acuerdo, a fin de exhortar</w:t>
      </w:r>
      <w:r>
        <w:rPr>
          <w:rFonts w:ascii="Century Gothic" w:eastAsia="Century Gothic" w:hAnsi="Century Gothic" w:cs="Century Gothic"/>
          <w:b/>
          <w:sz w:val="24"/>
          <w:szCs w:val="24"/>
        </w:rPr>
        <w:t xml:space="preserve"> a la Secretaría de Hacienda, la Fiscalía General del Estado y el Instituto Chihuahuense de las Mujeres, incrementen el presupuesto destinado a la atención de mujeres víctimas de violencia</w:t>
      </w:r>
      <w:r w:rsidRPr="00C17393">
        <w:rPr>
          <w:rFonts w:ascii="Century Gothic" w:eastAsia="Century Gothic" w:hAnsi="Century Gothic" w:cs="Century Gothic"/>
          <w:b/>
          <w:sz w:val="24"/>
          <w:szCs w:val="24"/>
        </w:rPr>
        <w:t>,</w:t>
      </w:r>
      <w:r w:rsidRPr="00C17393">
        <w:rPr>
          <w:rFonts w:ascii="Century Gothic" w:eastAsia="Century Gothic" w:hAnsi="Century Gothic" w:cs="Century Gothic"/>
          <w:sz w:val="24"/>
          <w:szCs w:val="24"/>
        </w:rPr>
        <w:t xml:space="preserve"> lo anterior con sustento en la siguiente:</w:t>
      </w:r>
    </w:p>
    <w:p w14:paraId="0CE256B3" w14:textId="77777777" w:rsidR="00C17393" w:rsidRPr="00C17393" w:rsidRDefault="00C17393" w:rsidP="00C17393">
      <w:pPr>
        <w:spacing w:line="360" w:lineRule="auto"/>
        <w:jc w:val="both"/>
        <w:rPr>
          <w:rFonts w:ascii="Century Gothic" w:eastAsia="Century Gothic" w:hAnsi="Century Gothic" w:cs="Century Gothic"/>
          <w:b/>
          <w:sz w:val="24"/>
          <w:szCs w:val="24"/>
        </w:rPr>
      </w:pPr>
    </w:p>
    <w:p w14:paraId="6224B8F6" w14:textId="51CD0C1C" w:rsidR="00C17393" w:rsidRDefault="00C17393" w:rsidP="00C17393">
      <w:pPr>
        <w:spacing w:line="360" w:lineRule="auto"/>
        <w:jc w:val="center"/>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EXPOSICIÓN DE MOTIVOS:</w:t>
      </w:r>
    </w:p>
    <w:p w14:paraId="425660D1" w14:textId="77777777" w:rsidR="00C17393" w:rsidRPr="00C17393" w:rsidRDefault="00C17393" w:rsidP="00C17393">
      <w:pPr>
        <w:spacing w:line="360" w:lineRule="auto"/>
        <w:jc w:val="center"/>
        <w:rPr>
          <w:rFonts w:ascii="Century Gothic" w:eastAsia="Century Gothic" w:hAnsi="Century Gothic" w:cs="Century Gothic"/>
          <w:b/>
          <w:sz w:val="24"/>
          <w:szCs w:val="24"/>
        </w:rPr>
      </w:pPr>
    </w:p>
    <w:p w14:paraId="35D8AE74" w14:textId="4BC80AC0" w:rsidR="00C17393" w:rsidRDefault="00C17393" w:rsidP="00C17393">
      <w:pPr>
        <w:spacing w:before="240" w:after="24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A lo largo de la historia,</w:t>
      </w:r>
      <w:r>
        <w:rPr>
          <w:rFonts w:ascii="Century Gothic" w:eastAsia="Century Gothic" w:hAnsi="Century Gothic" w:cs="Century Gothic"/>
          <w:sz w:val="24"/>
          <w:szCs w:val="24"/>
        </w:rPr>
        <w:t xml:space="preserve"> a las mujeres se nos ha visto como “</w:t>
      </w:r>
      <w:r w:rsidRPr="00C17393">
        <w:rPr>
          <w:rFonts w:ascii="Century Gothic" w:eastAsia="Century Gothic" w:hAnsi="Century Gothic" w:cs="Century Gothic"/>
          <w:sz w:val="24"/>
          <w:szCs w:val="24"/>
        </w:rPr>
        <w:t>un grupo vulnerado en virtud de su condición de género</w:t>
      </w:r>
      <w:r>
        <w:rPr>
          <w:rFonts w:ascii="Century Gothic" w:eastAsia="Century Gothic" w:hAnsi="Century Gothic" w:cs="Century Gothic"/>
          <w:sz w:val="24"/>
          <w:szCs w:val="24"/>
        </w:rPr>
        <w:t>”. M</w:t>
      </w:r>
      <w:r w:rsidRPr="00C17393">
        <w:rPr>
          <w:rFonts w:ascii="Century Gothic" w:eastAsia="Century Gothic" w:hAnsi="Century Gothic" w:cs="Century Gothic"/>
          <w:sz w:val="24"/>
          <w:szCs w:val="24"/>
        </w:rPr>
        <w:t>ás que ser tratada</w:t>
      </w:r>
      <w:r>
        <w:rPr>
          <w:rFonts w:ascii="Century Gothic" w:eastAsia="Century Gothic" w:hAnsi="Century Gothic" w:cs="Century Gothic"/>
          <w:sz w:val="24"/>
          <w:szCs w:val="24"/>
        </w:rPr>
        <w:t>s</w:t>
      </w:r>
      <w:r w:rsidRPr="00C17393">
        <w:rPr>
          <w:rFonts w:ascii="Century Gothic" w:eastAsia="Century Gothic" w:hAnsi="Century Gothic" w:cs="Century Gothic"/>
          <w:sz w:val="24"/>
          <w:szCs w:val="24"/>
        </w:rPr>
        <w:t xml:space="preserve"> con la dignidad que debe tener </w:t>
      </w:r>
      <w:r>
        <w:rPr>
          <w:rFonts w:ascii="Century Gothic" w:eastAsia="Century Gothic" w:hAnsi="Century Gothic" w:cs="Century Gothic"/>
          <w:sz w:val="24"/>
          <w:szCs w:val="24"/>
        </w:rPr>
        <w:t>una persona</w:t>
      </w:r>
      <w:r w:rsidRPr="00C17393">
        <w:rPr>
          <w:rFonts w:ascii="Century Gothic" w:eastAsia="Century Gothic" w:hAnsi="Century Gothic" w:cs="Century Gothic"/>
          <w:sz w:val="24"/>
          <w:szCs w:val="24"/>
        </w:rPr>
        <w:t xml:space="preserve">, fue manipulada </w:t>
      </w:r>
      <w:r>
        <w:rPr>
          <w:rFonts w:ascii="Century Gothic" w:eastAsia="Century Gothic" w:hAnsi="Century Gothic" w:cs="Century Gothic"/>
          <w:sz w:val="24"/>
          <w:szCs w:val="24"/>
        </w:rPr>
        <w:t xml:space="preserve">y utilizada </w:t>
      </w:r>
      <w:r w:rsidRPr="00C17393">
        <w:rPr>
          <w:rFonts w:ascii="Century Gothic" w:eastAsia="Century Gothic" w:hAnsi="Century Gothic" w:cs="Century Gothic"/>
          <w:sz w:val="24"/>
          <w:szCs w:val="24"/>
        </w:rPr>
        <w:t>como objeto.</w:t>
      </w:r>
    </w:p>
    <w:p w14:paraId="1D4F4D7B" w14:textId="2E63383C" w:rsidR="00B97EB5" w:rsidRDefault="00B97EB5" w:rsidP="00B97EB5">
      <w:pPr>
        <w:spacing w:before="24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Esta perspectiva nos llevó a reconocer que </w:t>
      </w:r>
      <w:r w:rsidRPr="00B97EB5">
        <w:rPr>
          <w:rFonts w:ascii="Century Gothic" w:eastAsia="Century Gothic" w:hAnsi="Century Gothic" w:cs="Century Gothic"/>
          <w:sz w:val="24"/>
          <w:szCs w:val="24"/>
        </w:rPr>
        <w:t xml:space="preserve">no existen </w:t>
      </w:r>
      <w:r>
        <w:rPr>
          <w:rFonts w:ascii="Century Gothic" w:eastAsia="Century Gothic" w:hAnsi="Century Gothic" w:cs="Century Gothic"/>
          <w:sz w:val="24"/>
          <w:szCs w:val="24"/>
        </w:rPr>
        <w:t xml:space="preserve">políticas públicas, ni </w:t>
      </w:r>
      <w:r w:rsidRPr="00B97EB5">
        <w:rPr>
          <w:rFonts w:ascii="Century Gothic" w:eastAsia="Century Gothic" w:hAnsi="Century Gothic" w:cs="Century Gothic"/>
          <w:sz w:val="24"/>
          <w:szCs w:val="24"/>
        </w:rPr>
        <w:t>presupuestos públicos neutrales en materia de género y de que</w:t>
      </w:r>
      <w:r>
        <w:rPr>
          <w:rFonts w:ascii="Century Gothic" w:eastAsia="Century Gothic" w:hAnsi="Century Gothic" w:cs="Century Gothic"/>
          <w:sz w:val="24"/>
          <w:szCs w:val="24"/>
        </w:rPr>
        <w:t xml:space="preserve"> de</w:t>
      </w:r>
      <w:r w:rsidRPr="00B97EB5">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w:t>
      </w:r>
      <w:r w:rsidRPr="00B97EB5">
        <w:rPr>
          <w:rFonts w:ascii="Century Gothic" w:eastAsia="Century Gothic" w:hAnsi="Century Gothic" w:cs="Century Gothic"/>
          <w:sz w:val="24"/>
          <w:szCs w:val="24"/>
        </w:rPr>
        <w:t>la ceguera de género puede agravar las desigualdades existentes</w:t>
      </w:r>
      <w:r>
        <w:rPr>
          <w:rFonts w:ascii="Century Gothic" w:eastAsia="Century Gothic" w:hAnsi="Century Gothic" w:cs="Century Gothic"/>
          <w:sz w:val="24"/>
          <w:szCs w:val="24"/>
        </w:rPr>
        <w:t>”.</w:t>
      </w:r>
    </w:p>
    <w:p w14:paraId="2F711171" w14:textId="77777777" w:rsidR="00B97EB5" w:rsidRPr="00B97EB5" w:rsidRDefault="00B97EB5" w:rsidP="00B97EB5">
      <w:pPr>
        <w:spacing w:before="240" w:after="240" w:line="360" w:lineRule="auto"/>
        <w:jc w:val="both"/>
        <w:rPr>
          <w:rFonts w:ascii="Century Gothic" w:eastAsia="Century Gothic" w:hAnsi="Century Gothic" w:cs="Century Gothic"/>
          <w:sz w:val="24"/>
          <w:szCs w:val="24"/>
        </w:rPr>
      </w:pPr>
    </w:p>
    <w:p w14:paraId="192DB602" w14:textId="77777777" w:rsidR="00C17393" w:rsidRPr="00C17393" w:rsidRDefault="00C17393" w:rsidP="00C17393">
      <w:pPr>
        <w:spacing w:before="240" w:after="24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Con base en lo anterior podemos mencionar que cuando se trata de presupuesto que va dirigido a instituciones con labores de género como las anteriores, siempre se tiene que jerarquizar la prioridad que cada organización tiene en cuestión de impacto sobre la población.</w:t>
      </w:r>
    </w:p>
    <w:p w14:paraId="09AC1943" w14:textId="77777777" w:rsidR="00C17393" w:rsidRPr="00C17393" w:rsidRDefault="00C17393" w:rsidP="00C17393">
      <w:pPr>
        <w:spacing w:before="240" w:after="240" w:line="360" w:lineRule="auto"/>
        <w:jc w:val="both"/>
        <w:rPr>
          <w:rFonts w:ascii="Century Gothic" w:eastAsia="Century Gothic" w:hAnsi="Century Gothic" w:cs="Century Gothic"/>
          <w:sz w:val="24"/>
          <w:szCs w:val="24"/>
        </w:rPr>
      </w:pPr>
    </w:p>
    <w:p w14:paraId="2A51CB1A" w14:textId="038E7EBA" w:rsidR="00C17393" w:rsidRPr="00C17393" w:rsidRDefault="00C17393" w:rsidP="00C17393">
      <w:pPr>
        <w:spacing w:before="240" w:after="24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En razón de esto, hacemos alusión a la importancia de la redistribución del presupuesto de estas instituciones que se encargan de salvaguardar los derechos de la mujer, tenemos demasiados años de historia que avalan el por qué es fundamental aportar a sus mismas causas.</w:t>
      </w:r>
    </w:p>
    <w:p w14:paraId="1EE95AEC" w14:textId="77777777" w:rsidR="00C17393" w:rsidRPr="00C17393" w:rsidRDefault="00C17393" w:rsidP="00C17393">
      <w:pPr>
        <w:spacing w:before="240" w:after="240" w:line="360" w:lineRule="auto"/>
        <w:jc w:val="both"/>
        <w:rPr>
          <w:rFonts w:ascii="Century Gothic" w:eastAsia="Century Gothic" w:hAnsi="Century Gothic" w:cs="Century Gothic"/>
          <w:sz w:val="24"/>
          <w:szCs w:val="24"/>
        </w:rPr>
      </w:pPr>
    </w:p>
    <w:p w14:paraId="7951C53B" w14:textId="46A298EB" w:rsidR="00C17393" w:rsidRPr="00C17393" w:rsidRDefault="00C17393" w:rsidP="00C17393">
      <w:pPr>
        <w:spacing w:before="240" w:after="24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 xml:space="preserve">Existen múltiples problemáticas relativas a cuestiones de género, según estadísticas del Proyecto de Datos de Eventos y Ubicación de Conflictos, en México hubo alrededor de 359 manifestaciones contra la violencia de género en 2020, que fue un incremento del 76% respecto al año anterior. Así mismo el Índice de Paz en México nos menciona </w:t>
      </w:r>
      <w:r w:rsidR="00B97EB5" w:rsidRPr="00C17393">
        <w:rPr>
          <w:rFonts w:ascii="Century Gothic" w:eastAsia="Century Gothic" w:hAnsi="Century Gothic" w:cs="Century Gothic"/>
          <w:sz w:val="24"/>
          <w:szCs w:val="24"/>
        </w:rPr>
        <w:t>que la</w:t>
      </w:r>
      <w:r w:rsidRPr="00C17393">
        <w:rPr>
          <w:rFonts w:ascii="Century Gothic" w:eastAsia="Century Gothic" w:hAnsi="Century Gothic" w:cs="Century Gothic"/>
          <w:sz w:val="24"/>
          <w:szCs w:val="24"/>
        </w:rPr>
        <w:t xml:space="preserve"> tasa de violencia familiar alcanzó 547 casos por cada 100,000 habitantes en el año 2020.</w:t>
      </w:r>
    </w:p>
    <w:p w14:paraId="51085CCC" w14:textId="77777777" w:rsidR="00C17393" w:rsidRPr="00C17393" w:rsidRDefault="00C17393" w:rsidP="00C17393">
      <w:pPr>
        <w:spacing w:before="240" w:after="240" w:line="360" w:lineRule="auto"/>
        <w:jc w:val="both"/>
        <w:rPr>
          <w:rFonts w:ascii="Century Gothic" w:eastAsia="Century Gothic" w:hAnsi="Century Gothic" w:cs="Century Gothic"/>
          <w:sz w:val="24"/>
          <w:szCs w:val="24"/>
        </w:rPr>
      </w:pPr>
    </w:p>
    <w:p w14:paraId="48DCDB65" w14:textId="6AF173A2" w:rsidR="00C17393" w:rsidRPr="00C17393" w:rsidRDefault="00C17393" w:rsidP="00C17393">
      <w:pPr>
        <w:spacing w:before="240" w:after="24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 xml:space="preserve">El año 2021 fue el año con más feminicidios en la historia de México con 1,006, según el secretario ejecutivo del sistema nacional de seguridad pública. Ese mismo año se rompió el máximo histórico en delitos de </w:t>
      </w:r>
      <w:r w:rsidRPr="00C17393">
        <w:rPr>
          <w:rFonts w:ascii="Century Gothic" w:eastAsia="Century Gothic" w:hAnsi="Century Gothic" w:cs="Century Gothic"/>
          <w:sz w:val="24"/>
          <w:szCs w:val="24"/>
        </w:rPr>
        <w:lastRenderedPageBreak/>
        <w:t>violación con 21,188 denuncias equivalente a un 28% más que en 2020 que tuvo 16,154.</w:t>
      </w:r>
    </w:p>
    <w:p w14:paraId="5BD99100" w14:textId="77777777" w:rsidR="00C17393" w:rsidRPr="00C17393" w:rsidRDefault="00C17393" w:rsidP="00C17393">
      <w:pPr>
        <w:spacing w:before="240" w:after="240" w:line="360" w:lineRule="auto"/>
        <w:jc w:val="both"/>
        <w:rPr>
          <w:rFonts w:ascii="Century Gothic" w:eastAsia="Century Gothic" w:hAnsi="Century Gothic" w:cs="Century Gothic"/>
          <w:sz w:val="24"/>
          <w:szCs w:val="24"/>
        </w:rPr>
      </w:pPr>
    </w:p>
    <w:p w14:paraId="449C88A3" w14:textId="77777777" w:rsidR="00C17393" w:rsidRPr="00C17393" w:rsidRDefault="00C17393" w:rsidP="00C17393">
      <w:pPr>
        <w:spacing w:before="240" w:after="24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Las mujeres son las principales víctimas de delitos sexuales, ocho casos por cada uno en hombres. Según el Instituto Nacional de Estadística y Geografía, en 2021 se reportaron 3,140 delitos sexuales contra mujeres los cuales 142 fueron violaciones.</w:t>
      </w:r>
    </w:p>
    <w:p w14:paraId="4432B4AC" w14:textId="77777777" w:rsidR="00C17393" w:rsidRPr="00C17393" w:rsidRDefault="00C17393" w:rsidP="00C17393">
      <w:pPr>
        <w:spacing w:before="240" w:after="240" w:line="360" w:lineRule="auto"/>
        <w:jc w:val="both"/>
        <w:rPr>
          <w:rFonts w:ascii="Century Gothic" w:eastAsia="Century Gothic" w:hAnsi="Century Gothic" w:cs="Century Gothic"/>
          <w:sz w:val="24"/>
          <w:szCs w:val="24"/>
        </w:rPr>
      </w:pPr>
    </w:p>
    <w:p w14:paraId="684A140E" w14:textId="0CA051DB" w:rsidR="00C17393" w:rsidRPr="00C17393" w:rsidRDefault="00C17393" w:rsidP="00C17393">
      <w:pPr>
        <w:spacing w:before="240" w:after="24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Actualmente, en cuestión legislativa podemos observar que ya se contemplan esas susodichas garantías a la mujer, pero sustantivamente, es decir, en la materialidad de los hechos ¿Se lleva a cabo lo que de manera formal se establece en nuestras leyes?</w:t>
      </w:r>
    </w:p>
    <w:p w14:paraId="7CF05AAA" w14:textId="77777777" w:rsidR="00C17393" w:rsidRPr="00C17393" w:rsidRDefault="00C17393" w:rsidP="00C17393">
      <w:pPr>
        <w:spacing w:before="240" w:after="240" w:line="360" w:lineRule="auto"/>
        <w:jc w:val="both"/>
        <w:rPr>
          <w:rFonts w:ascii="Century Gothic" w:eastAsia="Century Gothic" w:hAnsi="Century Gothic" w:cs="Century Gothic"/>
          <w:sz w:val="24"/>
          <w:szCs w:val="24"/>
        </w:rPr>
      </w:pPr>
    </w:p>
    <w:p w14:paraId="2BD31615" w14:textId="77777777" w:rsidR="00C17393" w:rsidRPr="00C17393" w:rsidRDefault="00C17393" w:rsidP="00C17393">
      <w:pPr>
        <w:spacing w:before="240" w:after="24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Fuerte cuestionamiento, pero la respuesta siempre es la misma, tenemos demasiadas insuficiencias para llevar a cabo la protección que nuestras mismas leyes emanan, y razón de ello se puede atribuir al poco presupuesto que se le otorgan a la institución que tienen como fin el proteger determinados derechos y dar pie para que se puedan ejercer y cumplir.</w:t>
      </w:r>
    </w:p>
    <w:p w14:paraId="5C02F3E0" w14:textId="77777777" w:rsidR="00C17393" w:rsidRPr="00C17393" w:rsidRDefault="00C17393" w:rsidP="00C17393">
      <w:pPr>
        <w:spacing w:before="240" w:after="240" w:line="360" w:lineRule="auto"/>
        <w:jc w:val="both"/>
        <w:rPr>
          <w:rFonts w:ascii="Century Gothic" w:eastAsia="Century Gothic" w:hAnsi="Century Gothic" w:cs="Century Gothic"/>
          <w:sz w:val="24"/>
          <w:szCs w:val="24"/>
        </w:rPr>
      </w:pPr>
    </w:p>
    <w:p w14:paraId="7852C6D1" w14:textId="77777777" w:rsidR="00C17393" w:rsidRPr="00C17393" w:rsidRDefault="00C17393" w:rsidP="00C17393">
      <w:pPr>
        <w:spacing w:before="240" w:after="24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No es ninguna novedad que una afectación seria que vive cualquier organización es la falta de presupuesto, esto limita su infraestructura y su capacidad para poder llevar a cabo de forma eficaz y efectiva su labor.</w:t>
      </w:r>
    </w:p>
    <w:p w14:paraId="1AA23617" w14:textId="77777777" w:rsidR="00C17393" w:rsidRPr="00C17393" w:rsidRDefault="00C17393" w:rsidP="00C17393">
      <w:pPr>
        <w:spacing w:before="240" w:after="240" w:line="360" w:lineRule="auto"/>
        <w:jc w:val="both"/>
        <w:rPr>
          <w:rFonts w:ascii="Century Gothic" w:eastAsia="Century Gothic" w:hAnsi="Century Gothic" w:cs="Century Gothic"/>
          <w:sz w:val="24"/>
          <w:szCs w:val="24"/>
        </w:rPr>
      </w:pPr>
    </w:p>
    <w:p w14:paraId="5C01D510" w14:textId="504089FE" w:rsidR="00C17393" w:rsidRPr="00C17393" w:rsidRDefault="00C17393" w:rsidP="00C17393">
      <w:pPr>
        <w:spacing w:before="240" w:after="24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lastRenderedPageBreak/>
        <w:t>Para otorgar un derecho solo es necesario proclamarlo, pero lo importante es garantizar, y para esto es necesario de mecanismos que constituyan una estructura que genere condiciones para que el individuo pueda llevar a cabo la ejercitación plena del mismo, de otra forma, ¿De qué sirve algo estipulado si no existe la materialización pertinente?</w:t>
      </w:r>
    </w:p>
    <w:p w14:paraId="4D57B64E" w14:textId="77777777" w:rsidR="00C17393" w:rsidRPr="00C17393" w:rsidRDefault="00C17393" w:rsidP="00C17393">
      <w:pPr>
        <w:spacing w:before="240" w:after="240" w:line="360" w:lineRule="auto"/>
        <w:jc w:val="both"/>
        <w:rPr>
          <w:rFonts w:ascii="Century Gothic" w:eastAsia="Century Gothic" w:hAnsi="Century Gothic" w:cs="Century Gothic"/>
          <w:sz w:val="24"/>
          <w:szCs w:val="24"/>
        </w:rPr>
      </w:pPr>
    </w:p>
    <w:p w14:paraId="38F9B2F7" w14:textId="03193128" w:rsidR="00C17393" w:rsidRPr="00C17393" w:rsidRDefault="00C17393" w:rsidP="00C17393">
      <w:pPr>
        <w:spacing w:before="240" w:after="24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Estas necesidades son notorias, ya que nuestro estado se encuentra bajo Alerta de Violencia de Género, el cual es un mecanismo de protección a los derechos humanos de las mujeres, para esto es la Ley General de Acceso de las Mujeres a una Vida Libre de Violencia establece un conjunto de acciones gubernamentales de emergencia para enfrentar y erradicar la violencia feminicida o cualquier agravio comparado que impida el ejercicio pleno de los derechos. Dichas políticas públicas se encuentran imposibilitadas por la clara falta de recursos económicos y materiales, por ello las titulares de los diversos institutos municipales de la mujer se encuentran ante una gran impotencia ya que, aunque su deseo sea el de otorgar el mayor apoyo a todas las mujeres víctimas de algún tipo penal en su contra no pueden hacerlo.</w:t>
      </w:r>
    </w:p>
    <w:p w14:paraId="5E538565" w14:textId="77777777" w:rsidR="00C17393" w:rsidRPr="00C17393" w:rsidRDefault="00C17393" w:rsidP="00C17393">
      <w:pPr>
        <w:spacing w:before="240" w:after="240" w:line="360" w:lineRule="auto"/>
        <w:jc w:val="both"/>
        <w:rPr>
          <w:rFonts w:ascii="Century Gothic" w:eastAsia="Century Gothic" w:hAnsi="Century Gothic" w:cs="Century Gothic"/>
          <w:sz w:val="24"/>
          <w:szCs w:val="24"/>
        </w:rPr>
      </w:pPr>
    </w:p>
    <w:p w14:paraId="45316176" w14:textId="66D14011" w:rsidR="00C17393" w:rsidRDefault="00C17393" w:rsidP="00C17393">
      <w:pPr>
        <w:spacing w:before="240" w:after="24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Dentro de las principales necesidades que imperan son:</w:t>
      </w:r>
    </w:p>
    <w:p w14:paraId="0493BE12" w14:textId="77777777" w:rsidR="00B97EB5" w:rsidRPr="00C17393" w:rsidRDefault="00B97EB5" w:rsidP="00C17393">
      <w:pPr>
        <w:spacing w:before="240" w:after="240" w:line="360" w:lineRule="auto"/>
        <w:jc w:val="both"/>
        <w:rPr>
          <w:rFonts w:ascii="Century Gothic" w:eastAsia="Century Gothic" w:hAnsi="Century Gothic" w:cs="Century Gothic"/>
          <w:sz w:val="24"/>
          <w:szCs w:val="24"/>
        </w:rPr>
      </w:pPr>
    </w:p>
    <w:p w14:paraId="1274C9AE" w14:textId="32EF6F9D" w:rsidR="00C17393" w:rsidRPr="00C17393" w:rsidRDefault="00C17393" w:rsidP="00C17393">
      <w:pPr>
        <w:pStyle w:val="Prrafodelista"/>
        <w:numPr>
          <w:ilvl w:val="0"/>
          <w:numId w:val="6"/>
        </w:numPr>
        <w:spacing w:before="240" w:after="24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Equipos de psicología.</w:t>
      </w:r>
    </w:p>
    <w:p w14:paraId="2569DB93" w14:textId="36D88169" w:rsidR="00C17393" w:rsidRPr="00C17393" w:rsidRDefault="00B97EB5" w:rsidP="00C17393">
      <w:pPr>
        <w:pStyle w:val="Prrafodelista"/>
        <w:numPr>
          <w:ilvl w:val="0"/>
          <w:numId w:val="6"/>
        </w:numPr>
        <w:spacing w:before="240" w:after="24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Asesoría</w:t>
      </w:r>
      <w:r w:rsidR="00C17393" w:rsidRPr="00C17393">
        <w:rPr>
          <w:rFonts w:ascii="Century Gothic" w:eastAsia="Century Gothic" w:hAnsi="Century Gothic" w:cs="Century Gothic"/>
          <w:sz w:val="24"/>
          <w:szCs w:val="24"/>
        </w:rPr>
        <w:t xml:space="preserve"> legal integral para las víctimas.</w:t>
      </w:r>
    </w:p>
    <w:p w14:paraId="69195531" w14:textId="2AE97BAD" w:rsidR="00C17393" w:rsidRPr="00C17393" w:rsidRDefault="00C17393" w:rsidP="00C17393">
      <w:pPr>
        <w:pStyle w:val="Prrafodelista"/>
        <w:numPr>
          <w:ilvl w:val="0"/>
          <w:numId w:val="6"/>
        </w:numPr>
        <w:spacing w:before="240" w:after="24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Trabajadoras sociales.</w:t>
      </w:r>
    </w:p>
    <w:p w14:paraId="0BE61AE3" w14:textId="5A3A7037" w:rsidR="00C17393" w:rsidRPr="00C17393" w:rsidRDefault="00C17393" w:rsidP="00C17393">
      <w:pPr>
        <w:pStyle w:val="Prrafodelista"/>
        <w:numPr>
          <w:ilvl w:val="0"/>
          <w:numId w:val="6"/>
        </w:numPr>
        <w:spacing w:before="240" w:after="24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Así como un protocolo y atención integral para devolverles la vida a las mujeres, tales como programas laborales y casas de resguardo, así como campañas masivas para que las mujeres conozcan sus derechos y cómo ejercerlos.</w:t>
      </w:r>
    </w:p>
    <w:p w14:paraId="15A22107" w14:textId="77777777" w:rsidR="00C17393" w:rsidRPr="00C17393" w:rsidRDefault="00C17393" w:rsidP="00C17393">
      <w:pPr>
        <w:spacing w:before="240" w:after="240" w:line="360" w:lineRule="auto"/>
        <w:jc w:val="both"/>
        <w:rPr>
          <w:rFonts w:ascii="Century Gothic" w:eastAsia="Century Gothic" w:hAnsi="Century Gothic" w:cs="Century Gothic"/>
          <w:sz w:val="24"/>
          <w:szCs w:val="24"/>
        </w:rPr>
      </w:pPr>
    </w:p>
    <w:p w14:paraId="07D9C39E" w14:textId="77777777" w:rsidR="00C17393" w:rsidRPr="00C17393" w:rsidRDefault="00C17393" w:rsidP="00C17393">
      <w:pPr>
        <w:spacing w:before="240" w:after="24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Todo este conjunto de acciones y circunscripciones requieren de recursos económicos, que más que un gasto debemos visualizarlo como una inversión en nuestras mujeres Chihuahuenses.</w:t>
      </w:r>
    </w:p>
    <w:p w14:paraId="48322F1B" w14:textId="77777777" w:rsidR="00C17393" w:rsidRPr="00C17393" w:rsidRDefault="00C17393" w:rsidP="00C17393">
      <w:pPr>
        <w:spacing w:before="240" w:after="240" w:line="360" w:lineRule="auto"/>
        <w:jc w:val="both"/>
        <w:rPr>
          <w:rFonts w:ascii="Century Gothic" w:eastAsia="Century Gothic" w:hAnsi="Century Gothic" w:cs="Century Gothic"/>
          <w:sz w:val="24"/>
          <w:szCs w:val="24"/>
        </w:rPr>
      </w:pPr>
    </w:p>
    <w:p w14:paraId="068EAB41" w14:textId="1490293D" w:rsidR="00C17393" w:rsidRPr="00C17393" w:rsidRDefault="00C17393" w:rsidP="00C17393">
      <w:pPr>
        <w:spacing w:before="240" w:after="24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 xml:space="preserve">Tomando estos ejemplos como prototipos en materia de género es menester mencionar la importancia de gestionar y otorgar los recursos necesarios a las instituciones encargadas de llevar a cabo tan importante labor, tales como la Fiscalía especializada en Atención a Mujeres Víctimas del delito por Razones de Género y a la </w:t>
      </w:r>
      <w:r w:rsidR="00B97EB5" w:rsidRPr="00C17393">
        <w:rPr>
          <w:rFonts w:ascii="Century Gothic" w:eastAsia="Century Gothic" w:hAnsi="Century Gothic" w:cs="Century Gothic"/>
          <w:sz w:val="24"/>
          <w:szCs w:val="24"/>
        </w:rPr>
        <w:t>Familia,</w:t>
      </w:r>
      <w:r w:rsidRPr="00C17393">
        <w:rPr>
          <w:rFonts w:ascii="Century Gothic" w:eastAsia="Century Gothic" w:hAnsi="Century Gothic" w:cs="Century Gothic"/>
          <w:sz w:val="24"/>
          <w:szCs w:val="24"/>
        </w:rPr>
        <w:t xml:space="preserve"> así como el Instituto Chihuahuense de las Mujeres y los institutos municipales de las mujeres. </w:t>
      </w:r>
    </w:p>
    <w:p w14:paraId="2A4C9E67" w14:textId="77777777" w:rsidR="00C17393" w:rsidRPr="00C17393" w:rsidRDefault="00C17393" w:rsidP="00C17393">
      <w:pPr>
        <w:spacing w:before="240" w:after="240" w:line="360" w:lineRule="auto"/>
        <w:jc w:val="both"/>
        <w:rPr>
          <w:rFonts w:ascii="Century Gothic" w:eastAsia="Century Gothic" w:hAnsi="Century Gothic" w:cs="Century Gothic"/>
          <w:sz w:val="24"/>
          <w:szCs w:val="24"/>
        </w:rPr>
      </w:pPr>
    </w:p>
    <w:p w14:paraId="58659B53" w14:textId="77777777" w:rsidR="00C17393" w:rsidRPr="00C17393" w:rsidRDefault="00C17393" w:rsidP="00C17393">
      <w:pPr>
        <w:spacing w:before="240" w:after="24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Actualmente el Instituto Chihuahuense de las Mujeres cuenta con un presupuesto total de 70 millones 81 mil 610 pesos, los cuales están distribuidos de la siguiente manera:</w:t>
      </w:r>
    </w:p>
    <w:p w14:paraId="4D04AB0C" w14:textId="77777777" w:rsidR="00C17393" w:rsidRPr="00C17393" w:rsidRDefault="00C17393" w:rsidP="00C17393">
      <w:pPr>
        <w:spacing w:before="240" w:after="240" w:line="360" w:lineRule="auto"/>
        <w:jc w:val="both"/>
        <w:rPr>
          <w:rFonts w:ascii="Century Gothic" w:eastAsia="Century Gothic" w:hAnsi="Century Gothic" w:cs="Century Gothic"/>
          <w:sz w:val="24"/>
          <w:szCs w:val="24"/>
        </w:rPr>
      </w:pPr>
    </w:p>
    <w:p w14:paraId="4722DAC7" w14:textId="4E5A88BF" w:rsidR="00C17393" w:rsidRPr="00C17393" w:rsidRDefault="00C17393" w:rsidP="00C17393">
      <w:pPr>
        <w:numPr>
          <w:ilvl w:val="0"/>
          <w:numId w:val="2"/>
        </w:numPr>
        <w:spacing w:before="24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 xml:space="preserve">17 </w:t>
      </w:r>
      <w:r>
        <w:rPr>
          <w:rFonts w:ascii="Century Gothic" w:eastAsia="Century Gothic" w:hAnsi="Century Gothic" w:cs="Century Gothic"/>
          <w:sz w:val="24"/>
          <w:szCs w:val="24"/>
        </w:rPr>
        <w:t>m</w:t>
      </w:r>
      <w:r w:rsidRPr="00C17393">
        <w:rPr>
          <w:rFonts w:ascii="Century Gothic" w:eastAsia="Century Gothic" w:hAnsi="Century Gothic" w:cs="Century Gothic"/>
          <w:sz w:val="24"/>
          <w:szCs w:val="24"/>
        </w:rPr>
        <w:t xml:space="preserve">illones 104 mil 138 </w:t>
      </w:r>
      <w:r>
        <w:rPr>
          <w:rFonts w:ascii="Century Gothic" w:eastAsia="Century Gothic" w:hAnsi="Century Gothic" w:cs="Century Gothic"/>
          <w:sz w:val="24"/>
          <w:szCs w:val="24"/>
        </w:rPr>
        <w:t xml:space="preserve">pesos </w:t>
      </w:r>
      <w:r w:rsidRPr="00C17393">
        <w:rPr>
          <w:rFonts w:ascii="Century Gothic" w:eastAsia="Century Gothic" w:hAnsi="Century Gothic" w:cs="Century Gothic"/>
          <w:sz w:val="24"/>
          <w:szCs w:val="24"/>
        </w:rPr>
        <w:t xml:space="preserve">corresponden a servicios personales </w:t>
      </w:r>
    </w:p>
    <w:p w14:paraId="1F2FE1F5" w14:textId="7D293AA8" w:rsidR="00C17393" w:rsidRPr="00C17393" w:rsidRDefault="00C17393" w:rsidP="00C17393">
      <w:pPr>
        <w:numPr>
          <w:ilvl w:val="0"/>
          <w:numId w:val="2"/>
        </w:numPr>
        <w:spacing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567 mil 918</w:t>
      </w:r>
      <w:r>
        <w:rPr>
          <w:rFonts w:ascii="Century Gothic" w:eastAsia="Century Gothic" w:hAnsi="Century Gothic" w:cs="Century Gothic"/>
          <w:sz w:val="24"/>
          <w:szCs w:val="24"/>
        </w:rPr>
        <w:t xml:space="preserve"> pesos</w:t>
      </w:r>
      <w:r w:rsidRPr="00C17393">
        <w:rPr>
          <w:rFonts w:ascii="Century Gothic" w:eastAsia="Century Gothic" w:hAnsi="Century Gothic" w:cs="Century Gothic"/>
          <w:sz w:val="24"/>
          <w:szCs w:val="24"/>
        </w:rPr>
        <w:t xml:space="preserve"> de materiales y suministros.</w:t>
      </w:r>
    </w:p>
    <w:p w14:paraId="0AFC296E" w14:textId="3C7F02CA" w:rsidR="00C17393" w:rsidRPr="00C17393" w:rsidRDefault="00C17393" w:rsidP="00C17393">
      <w:pPr>
        <w:numPr>
          <w:ilvl w:val="0"/>
          <w:numId w:val="2"/>
        </w:numPr>
        <w:spacing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 xml:space="preserve">27 millones 14 mil 779 </w:t>
      </w:r>
      <w:r>
        <w:rPr>
          <w:rFonts w:ascii="Century Gothic" w:eastAsia="Century Gothic" w:hAnsi="Century Gothic" w:cs="Century Gothic"/>
          <w:sz w:val="24"/>
          <w:szCs w:val="24"/>
        </w:rPr>
        <w:t xml:space="preserve">pesos </w:t>
      </w:r>
      <w:r w:rsidRPr="00C17393">
        <w:rPr>
          <w:rFonts w:ascii="Century Gothic" w:eastAsia="Century Gothic" w:hAnsi="Century Gothic" w:cs="Century Gothic"/>
          <w:sz w:val="24"/>
          <w:szCs w:val="24"/>
        </w:rPr>
        <w:t>en servicios generales</w:t>
      </w:r>
    </w:p>
    <w:p w14:paraId="06CE27FF" w14:textId="6F9ADB9E" w:rsidR="00C17393" w:rsidRPr="00C17393" w:rsidRDefault="00C17393" w:rsidP="00C17393">
      <w:pPr>
        <w:numPr>
          <w:ilvl w:val="0"/>
          <w:numId w:val="2"/>
        </w:numPr>
        <w:spacing w:after="24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25 millones 394 mil 774 pesos en transferencias, asignaciones, subsidios y otras ayudas.</w:t>
      </w:r>
    </w:p>
    <w:p w14:paraId="2DE11C9B" w14:textId="77777777" w:rsidR="00C17393" w:rsidRPr="00C17393" w:rsidRDefault="00C17393" w:rsidP="00C17393">
      <w:pPr>
        <w:spacing w:before="240" w:after="240" w:line="360" w:lineRule="auto"/>
        <w:jc w:val="both"/>
        <w:rPr>
          <w:rFonts w:ascii="Century Gothic" w:eastAsia="Century Gothic" w:hAnsi="Century Gothic" w:cs="Century Gothic"/>
          <w:sz w:val="24"/>
          <w:szCs w:val="24"/>
        </w:rPr>
      </w:pPr>
    </w:p>
    <w:p w14:paraId="30133E47" w14:textId="22E82D3E" w:rsidR="00C17393" w:rsidRDefault="00C17393" w:rsidP="00C17393">
      <w:pPr>
        <w:spacing w:before="240" w:after="24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En términos programáticos el ICHMUJERES maneja dos programas presupuestarios:</w:t>
      </w:r>
    </w:p>
    <w:p w14:paraId="401C6C47" w14:textId="77777777" w:rsidR="00C17393" w:rsidRPr="00C17393" w:rsidRDefault="00C17393" w:rsidP="00C17393">
      <w:pPr>
        <w:spacing w:before="240" w:after="240" w:line="360" w:lineRule="auto"/>
        <w:jc w:val="both"/>
        <w:rPr>
          <w:rFonts w:ascii="Century Gothic" w:eastAsia="Century Gothic" w:hAnsi="Century Gothic" w:cs="Century Gothic"/>
          <w:sz w:val="24"/>
          <w:szCs w:val="24"/>
        </w:rPr>
      </w:pPr>
    </w:p>
    <w:p w14:paraId="6D48E6B5" w14:textId="27D8FCF1" w:rsidR="00C17393" w:rsidRPr="00C17393" w:rsidRDefault="00C17393" w:rsidP="00C17393">
      <w:pPr>
        <w:pStyle w:val="Prrafodelista"/>
        <w:numPr>
          <w:ilvl w:val="0"/>
          <w:numId w:val="5"/>
        </w:numPr>
        <w:spacing w:before="240" w:after="24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Prevención y atención de mujeres en situación de violencia por un monto de 50 millones 772 mil 748 pesos, y con el propósito: “Mujeres en situación de violencia que acuden a los centros de atención y solicitan los servicios del instituto son atendidas en tiempo y forma”.</w:t>
      </w:r>
    </w:p>
    <w:p w14:paraId="20C7A172" w14:textId="4D80939D" w:rsidR="00C17393" w:rsidRPr="00C17393" w:rsidRDefault="00C17393" w:rsidP="00C17393">
      <w:pPr>
        <w:pStyle w:val="Prrafodelista"/>
        <w:numPr>
          <w:ilvl w:val="0"/>
          <w:numId w:val="5"/>
        </w:numPr>
        <w:spacing w:before="240" w:after="240" w:line="360" w:lineRule="auto"/>
        <w:jc w:val="both"/>
        <w:rPr>
          <w:rFonts w:ascii="Century Gothic" w:eastAsia="Century Gothic" w:hAnsi="Century Gothic" w:cs="Century Gothic"/>
          <w:sz w:val="24"/>
          <w:szCs w:val="24"/>
        </w:rPr>
      </w:pPr>
      <w:r w:rsidRPr="00C17393">
        <w:rPr>
          <w:rFonts w:ascii="Century Gothic" w:eastAsia="Times New Roman" w:hAnsi="Century Gothic" w:cs="Times New Roman"/>
          <w:sz w:val="24"/>
          <w:szCs w:val="24"/>
        </w:rPr>
        <w:t>Institucionalización</w:t>
      </w:r>
      <w:r w:rsidRPr="00C17393">
        <w:rPr>
          <w:rFonts w:ascii="Century Gothic" w:eastAsia="Century Gothic" w:hAnsi="Century Gothic" w:cs="Century Gothic"/>
          <w:sz w:val="24"/>
          <w:szCs w:val="24"/>
        </w:rPr>
        <w:t xml:space="preserve"> de la perspectiva de género en la administración pública por un monto de 19 millones 308 mil 862, y con el propósito: “Las dependencias gubernamentales son fortalecidas por el Instituto Chihuahuense de las Mujeres para que logren implementar los procesos para la transversalidad de la perspectiva de género”.</w:t>
      </w:r>
    </w:p>
    <w:p w14:paraId="56FF46D3" w14:textId="77777777" w:rsidR="00C17393" w:rsidRDefault="00C17393" w:rsidP="00C17393">
      <w:pPr>
        <w:spacing w:before="240" w:after="240" w:line="360" w:lineRule="auto"/>
        <w:jc w:val="both"/>
        <w:rPr>
          <w:rFonts w:ascii="Century Gothic" w:eastAsia="Century Gothic" w:hAnsi="Century Gothic" w:cs="Century Gothic"/>
          <w:sz w:val="24"/>
          <w:szCs w:val="24"/>
        </w:rPr>
      </w:pPr>
    </w:p>
    <w:p w14:paraId="20E5EF80" w14:textId="2CFBE7FB" w:rsidR="00C17393" w:rsidRPr="00C17393" w:rsidRDefault="00C17393" w:rsidP="00C17393">
      <w:pPr>
        <w:spacing w:before="240" w:after="24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Dentro de servicios generales encontramos para viáticos en el país, pasajes aéreos y pasajes terrestres de 104 mil pesos, gastos de representación por 67 mil 640 pesos, así como servicios profesionales, científicos y técnicos integrales por 24 millones 481 mil 511 pesos.</w:t>
      </w:r>
    </w:p>
    <w:p w14:paraId="3021B786" w14:textId="77777777" w:rsidR="00C17393" w:rsidRPr="00C17393" w:rsidRDefault="00C17393" w:rsidP="00C17393">
      <w:pPr>
        <w:spacing w:before="240" w:after="240" w:line="360" w:lineRule="auto"/>
        <w:jc w:val="both"/>
        <w:rPr>
          <w:rFonts w:ascii="Century Gothic" w:eastAsia="Century Gothic" w:hAnsi="Century Gothic" w:cs="Century Gothic"/>
          <w:sz w:val="24"/>
          <w:szCs w:val="24"/>
        </w:rPr>
      </w:pPr>
    </w:p>
    <w:p w14:paraId="188A6819" w14:textId="798AC972" w:rsidR="00C17393" w:rsidRDefault="00C17393" w:rsidP="00C17393">
      <w:pPr>
        <w:spacing w:before="240" w:after="24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Ahora bien, los recursos federales que recibe el ICHMUJERES es de un monto de 24 millones 481 mil 511., mismo que se corresponde directamente con la cantidad de servicios profesionales, científicos y técnicos integrales, el cual se encuentra dividido en gastos que ya mencione con anterioridad y que considero deben someterse a una variabilidad de los mismos para otorgar un trato digno e integral a las usuarias de él.</w:t>
      </w:r>
    </w:p>
    <w:p w14:paraId="5C5F14C5" w14:textId="77777777" w:rsidR="00B97EB5" w:rsidRPr="00C17393" w:rsidRDefault="00B97EB5" w:rsidP="00C17393">
      <w:pPr>
        <w:spacing w:before="240" w:after="240" w:line="360" w:lineRule="auto"/>
        <w:jc w:val="both"/>
        <w:rPr>
          <w:rFonts w:ascii="Century Gothic" w:eastAsia="Century Gothic" w:hAnsi="Century Gothic" w:cs="Century Gothic"/>
          <w:sz w:val="24"/>
          <w:szCs w:val="24"/>
        </w:rPr>
      </w:pPr>
    </w:p>
    <w:p w14:paraId="10C84773" w14:textId="46ACBB3C" w:rsidR="00C17393" w:rsidRDefault="00C17393" w:rsidP="00C17393">
      <w:pPr>
        <w:spacing w:before="240" w:after="24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Paralelo a lo anteriormente mencionado en el año 2022 el presupuesto de la Fiscalía Especializada en Atención a Mujeres Víctimas del Delito por Razones de Género y a la Familia fue de 68 millones 397 mil 917 pesos.</w:t>
      </w:r>
    </w:p>
    <w:p w14:paraId="6B97B553" w14:textId="77777777" w:rsidR="00B97EB5" w:rsidRPr="00C17393" w:rsidRDefault="00B97EB5" w:rsidP="00C17393">
      <w:pPr>
        <w:spacing w:before="240" w:after="240" w:line="360" w:lineRule="auto"/>
        <w:jc w:val="both"/>
        <w:rPr>
          <w:rFonts w:ascii="Century Gothic" w:eastAsia="Century Gothic" w:hAnsi="Century Gothic" w:cs="Century Gothic"/>
          <w:sz w:val="24"/>
          <w:szCs w:val="24"/>
        </w:rPr>
      </w:pPr>
    </w:p>
    <w:p w14:paraId="6E69BB60" w14:textId="3EB94D30" w:rsidR="00C17393" w:rsidRPr="00C17393" w:rsidRDefault="00C17393" w:rsidP="00C17393">
      <w:pPr>
        <w:spacing w:before="240" w:after="24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 xml:space="preserve">Es fundamental mencionar que al 30 de septiembre de 2022 la Fiscalía General del Estado tenía un subejercicio total de 1 mil 199 millones 509 mil 613 pesos en general, de los cuales 568 millones 354 mil 64 pesos son de materiales y suministros, así como 223 millones 084 mil 715 pesos de servicios generales, según las clasificaciones del gasto del presupuesto de egresos del Estado para el Ejercicio fiscal 2022,así como el estado </w:t>
      </w:r>
      <w:r w:rsidR="00B97EB5" w:rsidRPr="00C17393">
        <w:rPr>
          <w:rFonts w:ascii="Century Gothic" w:eastAsia="Century Gothic" w:hAnsi="Century Gothic" w:cs="Century Gothic"/>
          <w:sz w:val="24"/>
          <w:szCs w:val="24"/>
        </w:rPr>
        <w:t>analítico</w:t>
      </w:r>
      <w:r w:rsidRPr="00C17393">
        <w:rPr>
          <w:rFonts w:ascii="Century Gothic" w:eastAsia="Century Gothic" w:hAnsi="Century Gothic" w:cs="Century Gothic"/>
          <w:sz w:val="24"/>
          <w:szCs w:val="24"/>
        </w:rPr>
        <w:t xml:space="preserve"> de los egresos en sus clasificaciones económica y funcional por dependencia al tercer trimestre del 2022.</w:t>
      </w:r>
    </w:p>
    <w:p w14:paraId="69463F58" w14:textId="77777777" w:rsidR="00C17393" w:rsidRPr="00C17393" w:rsidRDefault="00C17393" w:rsidP="00C17393">
      <w:pPr>
        <w:spacing w:before="240" w:after="240" w:line="360" w:lineRule="auto"/>
        <w:jc w:val="both"/>
        <w:rPr>
          <w:rFonts w:ascii="Century Gothic" w:eastAsia="Century Gothic" w:hAnsi="Century Gothic" w:cs="Century Gothic"/>
          <w:sz w:val="24"/>
          <w:szCs w:val="24"/>
        </w:rPr>
      </w:pPr>
    </w:p>
    <w:p w14:paraId="46F8FB58" w14:textId="65D2F5D0" w:rsidR="00C17393" w:rsidRPr="00C17393" w:rsidRDefault="00C17393" w:rsidP="00C17393">
      <w:pPr>
        <w:spacing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sz w:val="24"/>
          <w:szCs w:val="24"/>
        </w:rPr>
        <w:t>Por lo anteriormente expuesto, nos permitimos someter a consideración de este H. congreso del Estado, la siguiente proposición con carácter de:</w:t>
      </w:r>
    </w:p>
    <w:p w14:paraId="58CF39C8" w14:textId="77777777" w:rsidR="00C17393" w:rsidRPr="00C17393" w:rsidRDefault="00C17393" w:rsidP="00C17393">
      <w:pPr>
        <w:spacing w:line="360" w:lineRule="auto"/>
        <w:jc w:val="center"/>
        <w:rPr>
          <w:rFonts w:ascii="Century Gothic" w:eastAsia="Century Gothic" w:hAnsi="Century Gothic" w:cs="Century Gothic"/>
          <w:b/>
          <w:sz w:val="24"/>
          <w:szCs w:val="24"/>
        </w:rPr>
      </w:pPr>
    </w:p>
    <w:p w14:paraId="20E88D31" w14:textId="77777777" w:rsidR="00C17393" w:rsidRPr="00C17393" w:rsidRDefault="00C17393" w:rsidP="00C17393">
      <w:pPr>
        <w:spacing w:line="360" w:lineRule="auto"/>
        <w:rPr>
          <w:rFonts w:ascii="Century Gothic" w:eastAsia="Century Gothic" w:hAnsi="Century Gothic" w:cs="Century Gothic"/>
          <w:b/>
          <w:sz w:val="24"/>
          <w:szCs w:val="24"/>
        </w:rPr>
      </w:pPr>
    </w:p>
    <w:p w14:paraId="147D5AFC" w14:textId="77777777" w:rsidR="00C17393" w:rsidRPr="00C17393" w:rsidRDefault="00C17393" w:rsidP="00C17393">
      <w:pPr>
        <w:spacing w:line="360" w:lineRule="auto"/>
        <w:jc w:val="center"/>
        <w:rPr>
          <w:rFonts w:ascii="Century Gothic" w:eastAsia="Century Gothic" w:hAnsi="Century Gothic" w:cs="Century Gothic"/>
          <w:b/>
          <w:sz w:val="24"/>
          <w:szCs w:val="24"/>
        </w:rPr>
      </w:pPr>
    </w:p>
    <w:p w14:paraId="28182248" w14:textId="77777777" w:rsidR="00C17393" w:rsidRPr="00C17393" w:rsidRDefault="00C17393" w:rsidP="00C17393">
      <w:pPr>
        <w:spacing w:line="360" w:lineRule="auto"/>
        <w:jc w:val="center"/>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A C U E R D O:</w:t>
      </w:r>
    </w:p>
    <w:p w14:paraId="40E7E87E" w14:textId="77777777" w:rsidR="00C17393" w:rsidRPr="00C17393" w:rsidRDefault="00C17393" w:rsidP="00C17393">
      <w:pPr>
        <w:spacing w:line="360" w:lineRule="auto"/>
        <w:rPr>
          <w:rFonts w:ascii="Century Gothic" w:eastAsia="Century Gothic" w:hAnsi="Century Gothic" w:cs="Century Gothic"/>
          <w:sz w:val="24"/>
          <w:szCs w:val="24"/>
        </w:rPr>
      </w:pPr>
    </w:p>
    <w:p w14:paraId="1BCEF66D" w14:textId="692D226C" w:rsidR="00C17393" w:rsidRPr="00C17393" w:rsidRDefault="00C17393" w:rsidP="00C17393">
      <w:pPr>
        <w:spacing w:before="240" w:after="24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b/>
          <w:sz w:val="24"/>
          <w:szCs w:val="24"/>
        </w:rPr>
        <w:t>PRIMERO.</w:t>
      </w:r>
      <w:r w:rsidR="00B97EB5">
        <w:rPr>
          <w:rFonts w:ascii="Century Gothic" w:eastAsia="Century Gothic" w:hAnsi="Century Gothic" w:cs="Century Gothic"/>
          <w:b/>
          <w:sz w:val="24"/>
          <w:szCs w:val="24"/>
        </w:rPr>
        <w:t xml:space="preserve"> </w:t>
      </w:r>
      <w:r w:rsidRPr="00C17393">
        <w:rPr>
          <w:rFonts w:ascii="Century Gothic" w:eastAsia="Century Gothic" w:hAnsi="Century Gothic" w:cs="Century Gothic"/>
          <w:sz w:val="24"/>
          <w:szCs w:val="24"/>
        </w:rPr>
        <w:t xml:space="preserve">La Sexagésima Séptima Legislatura del Honorable Congreso del Estado de Chihuahua, exhorta de manera respetuosa a la Secretaría de Hacienda, así como al Instituto Chihuahuense de las Mujeres para que en virtud de sus facultades, proyectan que el 50% del presupuesto de los gastos por las cuentas correspondientes a viáticos en el país, pasajes aéreos, pasajes terrestres y gastos de representación, así como la totalidad de servicios profesionales, científicos y técnicos integrales, que se proyectaron en el Ejercicio Fiscal 2022, se direccionen hacia el capítulo 4000 de transferencias, asignaciones, subsidios y otras ayudas en el Anteproyecto de Presupuesto de Egresos para el Ejercicio Fiscal 2023, del Instituto Chihuahuense de las Mujeres, </w:t>
      </w:r>
    </w:p>
    <w:p w14:paraId="6DD08677" w14:textId="77777777" w:rsidR="00C17393" w:rsidRPr="00C17393" w:rsidRDefault="00C17393" w:rsidP="00C17393">
      <w:pPr>
        <w:spacing w:before="240" w:after="240" w:line="360" w:lineRule="auto"/>
        <w:jc w:val="both"/>
        <w:rPr>
          <w:rFonts w:ascii="Century Gothic" w:eastAsia="Century Gothic" w:hAnsi="Century Gothic" w:cs="Century Gothic"/>
          <w:sz w:val="24"/>
          <w:szCs w:val="24"/>
        </w:rPr>
      </w:pPr>
    </w:p>
    <w:p w14:paraId="73C37F62" w14:textId="77777777" w:rsidR="00C17393" w:rsidRPr="00C17393" w:rsidRDefault="00C17393" w:rsidP="00C17393">
      <w:pPr>
        <w:spacing w:before="240" w:after="24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b/>
          <w:sz w:val="24"/>
          <w:szCs w:val="24"/>
        </w:rPr>
        <w:t>SEGUNDO.</w:t>
      </w:r>
      <w:r w:rsidRPr="00C17393">
        <w:rPr>
          <w:rFonts w:ascii="Century Gothic" w:eastAsia="Century Gothic" w:hAnsi="Century Gothic" w:cs="Century Gothic"/>
          <w:sz w:val="24"/>
          <w:szCs w:val="24"/>
        </w:rPr>
        <w:t xml:space="preserve"> La Sexagésima Séptima Legislatura del Honorable Congreso del Estado de Chihuahua, exhorta de manera respetuosa a la Secretaría de Hacienda, así como a la Fiscalía General del Estado, para que los ahorros derivados del ejercicio fiscal 2022 por austeridad, así como el subejercicio resultante de los capítulos 2000 de materiales y suministros y 3000 de servicios generales de la Fiscalía General del Estado, se transfieran y adicionen para el capítulo 1000 de servicios personales y 4000 de transferencias, asignaciones, subsidios y otras ayudas que le correspondan a la Fiscalía Especializada en Atención a  Mujeres Víctimas del Delito por Razones de Género y a la Familia.</w:t>
      </w:r>
    </w:p>
    <w:p w14:paraId="2DFAD20E" w14:textId="77777777" w:rsidR="00C17393" w:rsidRPr="00C17393" w:rsidRDefault="00C17393" w:rsidP="00C17393">
      <w:pPr>
        <w:spacing w:before="240" w:after="240" w:line="360" w:lineRule="auto"/>
        <w:jc w:val="both"/>
        <w:rPr>
          <w:rFonts w:ascii="Century Gothic" w:eastAsia="Century Gothic" w:hAnsi="Century Gothic" w:cs="Century Gothic"/>
          <w:sz w:val="24"/>
          <w:szCs w:val="24"/>
        </w:rPr>
      </w:pPr>
    </w:p>
    <w:p w14:paraId="0A593BE1" w14:textId="0864E08B" w:rsidR="00C17393" w:rsidRPr="00C17393" w:rsidRDefault="00C17393" w:rsidP="00C17393">
      <w:pPr>
        <w:spacing w:before="240" w:line="360" w:lineRule="auto"/>
        <w:jc w:val="both"/>
        <w:rPr>
          <w:rFonts w:ascii="Century Gothic" w:eastAsia="Century Gothic" w:hAnsi="Century Gothic" w:cs="Century Gothic"/>
          <w:sz w:val="24"/>
          <w:szCs w:val="24"/>
        </w:rPr>
      </w:pPr>
      <w:r w:rsidRPr="00C17393">
        <w:rPr>
          <w:rFonts w:ascii="Century Gothic" w:eastAsia="Century Gothic" w:hAnsi="Century Gothic" w:cs="Century Gothic"/>
          <w:b/>
          <w:sz w:val="24"/>
          <w:szCs w:val="24"/>
        </w:rPr>
        <w:t>TERCERO.</w:t>
      </w:r>
      <w:r w:rsidRPr="00C17393">
        <w:rPr>
          <w:rFonts w:ascii="Century Gothic" w:eastAsia="Century Gothic" w:hAnsi="Century Gothic" w:cs="Century Gothic"/>
          <w:sz w:val="24"/>
          <w:szCs w:val="24"/>
        </w:rPr>
        <w:t xml:space="preserve"> Envíese copia del presente acuerdo, así como de la iniciativa que le dio origen, a las autoridades mencionadas en los artículos primero y segundo para su conocimiento y los efectos a los que haya lugar.</w:t>
      </w:r>
    </w:p>
    <w:p w14:paraId="2106F4C9" w14:textId="77777777" w:rsidR="00C17393" w:rsidRPr="00C17393" w:rsidRDefault="00C17393" w:rsidP="00C17393">
      <w:pPr>
        <w:spacing w:before="240" w:line="360" w:lineRule="auto"/>
        <w:jc w:val="both"/>
        <w:rPr>
          <w:rFonts w:ascii="Century Gothic" w:eastAsia="Century Gothic" w:hAnsi="Century Gothic" w:cs="Century Gothic"/>
          <w:sz w:val="24"/>
          <w:szCs w:val="24"/>
        </w:rPr>
      </w:pPr>
    </w:p>
    <w:p w14:paraId="15DD1CA2" w14:textId="6A7E084C" w:rsidR="00C17393" w:rsidRPr="00C17393" w:rsidRDefault="00C17393" w:rsidP="00C17393">
      <w:pPr>
        <w:spacing w:after="0" w:line="360" w:lineRule="auto"/>
        <w:jc w:val="both"/>
        <w:rPr>
          <w:rFonts w:ascii="Century Gothic" w:hAnsi="Century Gothic"/>
          <w:sz w:val="24"/>
          <w:szCs w:val="24"/>
          <w:lang w:val="es-ES"/>
        </w:rPr>
      </w:pPr>
      <w:r w:rsidRPr="00C17393">
        <w:rPr>
          <w:rFonts w:ascii="Century Gothic" w:hAnsi="Century Gothic"/>
          <w:sz w:val="24"/>
          <w:szCs w:val="24"/>
          <w:lang w:val="es-ES"/>
        </w:rPr>
        <w:t>D A D O en el recinto oficial del Poder Legislativo, a</w:t>
      </w:r>
      <w:r>
        <w:rPr>
          <w:rFonts w:ascii="Century Gothic" w:hAnsi="Century Gothic"/>
          <w:sz w:val="24"/>
          <w:szCs w:val="24"/>
          <w:lang w:val="es-ES"/>
        </w:rPr>
        <w:t xml:space="preserve"> los veintisiete días </w:t>
      </w:r>
      <w:r w:rsidRPr="00C17393">
        <w:rPr>
          <w:rFonts w:ascii="Century Gothic" w:hAnsi="Century Gothic"/>
          <w:sz w:val="24"/>
          <w:szCs w:val="24"/>
          <w:lang w:val="es-ES"/>
        </w:rPr>
        <w:t>de octubre de</w:t>
      </w:r>
      <w:r>
        <w:rPr>
          <w:rFonts w:ascii="Century Gothic" w:hAnsi="Century Gothic"/>
          <w:sz w:val="24"/>
          <w:szCs w:val="24"/>
          <w:lang w:val="es-ES"/>
        </w:rPr>
        <w:t xml:space="preserve">l año </w:t>
      </w:r>
      <w:r w:rsidRPr="00C17393">
        <w:rPr>
          <w:rFonts w:ascii="Century Gothic" w:hAnsi="Century Gothic"/>
          <w:sz w:val="24"/>
          <w:szCs w:val="24"/>
          <w:lang w:val="es-ES"/>
        </w:rPr>
        <w:t>dos mil veintidós.</w:t>
      </w:r>
    </w:p>
    <w:p w14:paraId="76533FAE" w14:textId="77777777" w:rsidR="00C17393" w:rsidRPr="00C17393" w:rsidRDefault="00C17393" w:rsidP="00C17393">
      <w:pPr>
        <w:spacing w:after="0" w:line="360" w:lineRule="auto"/>
        <w:jc w:val="both"/>
        <w:rPr>
          <w:rFonts w:ascii="Century Gothic" w:hAnsi="Century Gothic"/>
          <w:sz w:val="24"/>
          <w:szCs w:val="24"/>
          <w:lang w:val="es-ES"/>
        </w:rPr>
      </w:pPr>
    </w:p>
    <w:p w14:paraId="5EA0419A" w14:textId="77777777" w:rsidR="00C17393" w:rsidRPr="00C17393" w:rsidRDefault="00C17393" w:rsidP="00C17393">
      <w:pPr>
        <w:spacing w:line="360" w:lineRule="auto"/>
        <w:jc w:val="center"/>
        <w:rPr>
          <w:rFonts w:ascii="Century Gothic" w:hAnsi="Century Gothic" w:cs="Times New Roman"/>
          <w:b/>
          <w:bCs/>
          <w:color w:val="000000"/>
          <w:sz w:val="24"/>
          <w:szCs w:val="24"/>
        </w:rPr>
      </w:pPr>
      <w:r w:rsidRPr="00C17393">
        <w:rPr>
          <w:rFonts w:ascii="Century Gothic" w:hAnsi="Century Gothic" w:cs="Times New Roman"/>
          <w:b/>
          <w:bCs/>
          <w:color w:val="000000"/>
          <w:sz w:val="24"/>
          <w:szCs w:val="24"/>
        </w:rPr>
        <w:t>ATENTAMENTE,</w:t>
      </w:r>
    </w:p>
    <w:p w14:paraId="66A93907" w14:textId="77777777" w:rsidR="00C17393" w:rsidRPr="00C17393" w:rsidRDefault="00C17393" w:rsidP="00C17393">
      <w:pPr>
        <w:spacing w:after="240" w:line="360" w:lineRule="auto"/>
        <w:rPr>
          <w:rFonts w:ascii="Century Gothic" w:eastAsia="Times New Roman" w:hAnsi="Century Gothic" w:cs="Times New Roman"/>
          <w:sz w:val="24"/>
          <w:szCs w:val="24"/>
        </w:rPr>
      </w:pPr>
    </w:p>
    <w:tbl>
      <w:tblPr>
        <w:tblW w:w="9072" w:type="dxa"/>
        <w:tblLook w:val="04A0" w:firstRow="1" w:lastRow="0" w:firstColumn="1" w:lastColumn="0" w:noHBand="0" w:noVBand="1"/>
      </w:tblPr>
      <w:tblGrid>
        <w:gridCol w:w="4253"/>
        <w:gridCol w:w="4819"/>
      </w:tblGrid>
      <w:tr w:rsidR="00C17393" w:rsidRPr="00C17393" w14:paraId="664442B6" w14:textId="77777777" w:rsidTr="00693D65">
        <w:tc>
          <w:tcPr>
            <w:tcW w:w="4253" w:type="dxa"/>
          </w:tcPr>
          <w:p w14:paraId="04FDA50D" w14:textId="77777777" w:rsidR="00C17393" w:rsidRPr="00C17393" w:rsidRDefault="00C17393" w:rsidP="00C17393">
            <w:pPr>
              <w:spacing w:after="0" w:line="360" w:lineRule="auto"/>
              <w:ind w:left="-2" w:hanging="2"/>
              <w:jc w:val="center"/>
              <w:rPr>
                <w:rFonts w:ascii="Century Gothic" w:hAnsi="Century Gothic" w:cs="Times New Roman"/>
                <w:b/>
                <w:bCs/>
                <w:color w:val="000000"/>
                <w:sz w:val="24"/>
                <w:szCs w:val="24"/>
              </w:rPr>
            </w:pPr>
            <w:r w:rsidRPr="00C17393">
              <w:rPr>
                <w:rFonts w:ascii="Century Gothic" w:hAnsi="Century Gothic" w:cs="Times New Roman"/>
                <w:b/>
                <w:bCs/>
                <w:color w:val="000000"/>
                <w:sz w:val="24"/>
                <w:szCs w:val="24"/>
              </w:rPr>
              <w:t>DIP. ILSE AMÉRICA GARCÍA SOTO.</w:t>
            </w:r>
          </w:p>
        </w:tc>
        <w:tc>
          <w:tcPr>
            <w:tcW w:w="4819" w:type="dxa"/>
          </w:tcPr>
          <w:p w14:paraId="11B19F98" w14:textId="77777777" w:rsidR="00C17393" w:rsidRPr="00C17393" w:rsidRDefault="00C17393" w:rsidP="00C17393">
            <w:pPr>
              <w:spacing w:after="0" w:line="360" w:lineRule="auto"/>
              <w:ind w:left="-2" w:hanging="2"/>
              <w:jc w:val="center"/>
              <w:rPr>
                <w:rFonts w:ascii="Century Gothic" w:hAnsi="Century Gothic" w:cs="Times New Roman"/>
                <w:b/>
                <w:bCs/>
                <w:color w:val="000000"/>
                <w:sz w:val="24"/>
                <w:szCs w:val="24"/>
              </w:rPr>
            </w:pPr>
            <w:r w:rsidRPr="00C17393">
              <w:rPr>
                <w:rFonts w:ascii="Century Gothic" w:hAnsi="Century Gothic" w:cs="Times New Roman"/>
                <w:b/>
                <w:bCs/>
                <w:color w:val="000000"/>
                <w:sz w:val="24"/>
                <w:szCs w:val="24"/>
              </w:rPr>
              <w:t>DIP. EDIN CUAUHTÉMOC ESTRADA SOTELO.</w:t>
            </w:r>
          </w:p>
        </w:tc>
      </w:tr>
      <w:tr w:rsidR="00C17393" w:rsidRPr="00C17393" w14:paraId="3435E5D3" w14:textId="77777777" w:rsidTr="00693D65">
        <w:tc>
          <w:tcPr>
            <w:tcW w:w="4253" w:type="dxa"/>
            <w:hideMark/>
          </w:tcPr>
          <w:p w14:paraId="63C03EAB" w14:textId="77777777" w:rsidR="00C17393" w:rsidRPr="00C17393" w:rsidRDefault="00C17393" w:rsidP="00C17393">
            <w:pPr>
              <w:spacing w:after="0" w:line="360" w:lineRule="auto"/>
              <w:ind w:left="-2" w:hanging="2"/>
              <w:jc w:val="center"/>
              <w:rPr>
                <w:rFonts w:ascii="Century Gothic" w:hAnsi="Century Gothic" w:cs="Times New Roman"/>
                <w:b/>
                <w:bCs/>
                <w:color w:val="000000"/>
                <w:sz w:val="24"/>
                <w:szCs w:val="24"/>
              </w:rPr>
            </w:pPr>
          </w:p>
          <w:p w14:paraId="61311E4E" w14:textId="77777777" w:rsidR="00C17393" w:rsidRPr="00C17393" w:rsidRDefault="00C17393" w:rsidP="00C17393">
            <w:pPr>
              <w:spacing w:after="0" w:line="360" w:lineRule="auto"/>
              <w:ind w:left="-2" w:hanging="2"/>
              <w:jc w:val="center"/>
              <w:rPr>
                <w:rFonts w:ascii="Century Gothic" w:hAnsi="Century Gothic" w:cs="Times New Roman"/>
                <w:b/>
                <w:bCs/>
                <w:color w:val="000000"/>
                <w:sz w:val="24"/>
                <w:szCs w:val="24"/>
              </w:rPr>
            </w:pPr>
          </w:p>
          <w:p w14:paraId="34647DAA" w14:textId="77777777" w:rsidR="00C17393" w:rsidRPr="00C17393" w:rsidRDefault="00C17393" w:rsidP="00C17393">
            <w:pPr>
              <w:spacing w:after="0" w:line="360" w:lineRule="auto"/>
              <w:ind w:left="-2" w:hanging="2"/>
              <w:jc w:val="center"/>
              <w:rPr>
                <w:rFonts w:ascii="Century Gothic" w:hAnsi="Century Gothic" w:cs="Times New Roman"/>
                <w:b/>
                <w:bCs/>
                <w:color w:val="000000"/>
                <w:sz w:val="24"/>
                <w:szCs w:val="24"/>
              </w:rPr>
            </w:pPr>
          </w:p>
          <w:p w14:paraId="0E35A8BF" w14:textId="77777777" w:rsidR="00C17393" w:rsidRPr="00C17393" w:rsidRDefault="00C17393" w:rsidP="00C17393">
            <w:pPr>
              <w:spacing w:after="0" w:line="360" w:lineRule="auto"/>
              <w:jc w:val="center"/>
              <w:rPr>
                <w:rFonts w:ascii="Century Gothic" w:eastAsiaTheme="minorHAnsi" w:hAnsi="Century Gothic" w:cs="Times New Roman"/>
                <w:sz w:val="24"/>
                <w:szCs w:val="24"/>
              </w:rPr>
            </w:pPr>
            <w:r w:rsidRPr="00C17393">
              <w:rPr>
                <w:rFonts w:ascii="Century Gothic" w:hAnsi="Century Gothic" w:cs="Times New Roman"/>
                <w:b/>
                <w:bCs/>
                <w:color w:val="000000"/>
                <w:sz w:val="24"/>
                <w:szCs w:val="24"/>
              </w:rPr>
              <w:t>DIP. BENJAMÍN CARRERA CHÁVEZ.</w:t>
            </w:r>
          </w:p>
        </w:tc>
        <w:tc>
          <w:tcPr>
            <w:tcW w:w="4819" w:type="dxa"/>
            <w:hideMark/>
          </w:tcPr>
          <w:p w14:paraId="3B974D87" w14:textId="77777777" w:rsidR="00C17393" w:rsidRPr="00C17393" w:rsidRDefault="00C17393" w:rsidP="00C17393">
            <w:pPr>
              <w:spacing w:after="0" w:line="360" w:lineRule="auto"/>
              <w:rPr>
                <w:rFonts w:ascii="Century Gothic" w:eastAsia="Times New Roman" w:hAnsi="Century Gothic" w:cs="Times New Roman"/>
                <w:sz w:val="24"/>
                <w:szCs w:val="24"/>
              </w:rPr>
            </w:pPr>
            <w:r w:rsidRPr="00C17393">
              <w:rPr>
                <w:rFonts w:ascii="Century Gothic" w:eastAsia="Times New Roman" w:hAnsi="Century Gothic" w:cs="Times New Roman"/>
                <w:sz w:val="24"/>
                <w:szCs w:val="24"/>
              </w:rPr>
              <w:br/>
            </w:r>
          </w:p>
          <w:p w14:paraId="3685F8FA" w14:textId="77777777" w:rsidR="00C17393" w:rsidRPr="00C17393" w:rsidRDefault="00C17393" w:rsidP="00C17393">
            <w:pPr>
              <w:spacing w:after="0" w:line="360" w:lineRule="auto"/>
              <w:rPr>
                <w:rFonts w:ascii="Century Gothic" w:eastAsia="Times New Roman" w:hAnsi="Century Gothic" w:cs="Times New Roman"/>
                <w:sz w:val="24"/>
                <w:szCs w:val="24"/>
              </w:rPr>
            </w:pPr>
          </w:p>
          <w:p w14:paraId="4CAD6CDB" w14:textId="16C76449" w:rsidR="00C17393" w:rsidRPr="00C17393" w:rsidRDefault="00C17393" w:rsidP="00C17393">
            <w:pPr>
              <w:spacing w:after="0" w:line="360" w:lineRule="auto"/>
              <w:ind w:left="-2" w:hanging="2"/>
              <w:jc w:val="center"/>
              <w:rPr>
                <w:rFonts w:ascii="Century Gothic" w:hAnsi="Century Gothic" w:cs="Times New Roman"/>
                <w:sz w:val="24"/>
                <w:szCs w:val="24"/>
              </w:rPr>
            </w:pPr>
            <w:r w:rsidRPr="00C17393">
              <w:rPr>
                <w:rFonts w:ascii="Century Gothic" w:hAnsi="Century Gothic" w:cs="Times New Roman"/>
                <w:b/>
                <w:bCs/>
                <w:color w:val="000000"/>
                <w:sz w:val="24"/>
                <w:szCs w:val="24"/>
              </w:rPr>
              <w:t>DIP. OSCAR DANIEL AVITIA ARELLANES</w:t>
            </w:r>
          </w:p>
        </w:tc>
      </w:tr>
      <w:tr w:rsidR="00C17393" w:rsidRPr="00C17393" w14:paraId="7863BDF6" w14:textId="77777777" w:rsidTr="00693D65">
        <w:tc>
          <w:tcPr>
            <w:tcW w:w="4253" w:type="dxa"/>
            <w:hideMark/>
          </w:tcPr>
          <w:p w14:paraId="12BEA872" w14:textId="77777777" w:rsidR="00C17393" w:rsidRPr="00C17393" w:rsidRDefault="00C17393" w:rsidP="00C17393">
            <w:pPr>
              <w:spacing w:after="0" w:line="360" w:lineRule="auto"/>
              <w:rPr>
                <w:rFonts w:ascii="Century Gothic" w:eastAsia="Times New Roman" w:hAnsi="Century Gothic" w:cs="Times New Roman"/>
                <w:sz w:val="24"/>
                <w:szCs w:val="24"/>
              </w:rPr>
            </w:pPr>
            <w:r w:rsidRPr="00C17393">
              <w:rPr>
                <w:rFonts w:ascii="Century Gothic" w:eastAsia="Times New Roman" w:hAnsi="Century Gothic" w:cs="Times New Roman"/>
                <w:sz w:val="24"/>
                <w:szCs w:val="24"/>
              </w:rPr>
              <w:br/>
            </w:r>
            <w:r w:rsidRPr="00C17393">
              <w:rPr>
                <w:rFonts w:ascii="Century Gothic" w:eastAsia="Times New Roman" w:hAnsi="Century Gothic" w:cs="Times New Roman"/>
                <w:sz w:val="24"/>
                <w:szCs w:val="24"/>
              </w:rPr>
              <w:br/>
            </w:r>
          </w:p>
          <w:p w14:paraId="3750DA42" w14:textId="77777777" w:rsidR="00C17393" w:rsidRPr="00C17393" w:rsidRDefault="00C17393" w:rsidP="00C17393">
            <w:pPr>
              <w:spacing w:after="0" w:line="360" w:lineRule="auto"/>
              <w:ind w:left="-2" w:hanging="2"/>
              <w:rPr>
                <w:rFonts w:ascii="Century Gothic" w:eastAsiaTheme="minorHAnsi" w:hAnsi="Century Gothic" w:cs="Times New Roman"/>
                <w:sz w:val="24"/>
                <w:szCs w:val="24"/>
              </w:rPr>
            </w:pPr>
            <w:r w:rsidRPr="00C17393">
              <w:rPr>
                <w:rFonts w:ascii="Century Gothic" w:hAnsi="Century Gothic" w:cs="Times New Roman"/>
                <w:b/>
                <w:bCs/>
                <w:color w:val="000000"/>
                <w:sz w:val="24"/>
                <w:szCs w:val="24"/>
              </w:rPr>
              <w:t>DIP. LETICIA ORTEGA MÁYNEZ.</w:t>
            </w:r>
          </w:p>
        </w:tc>
        <w:tc>
          <w:tcPr>
            <w:tcW w:w="4819" w:type="dxa"/>
            <w:hideMark/>
          </w:tcPr>
          <w:p w14:paraId="33D1DC56" w14:textId="77777777" w:rsidR="00C17393" w:rsidRPr="00C17393" w:rsidRDefault="00C17393" w:rsidP="00C17393">
            <w:pPr>
              <w:spacing w:after="0" w:line="360" w:lineRule="auto"/>
              <w:rPr>
                <w:rFonts w:ascii="Century Gothic" w:eastAsia="Times New Roman" w:hAnsi="Century Gothic" w:cs="Times New Roman"/>
                <w:sz w:val="24"/>
                <w:szCs w:val="24"/>
              </w:rPr>
            </w:pPr>
            <w:r w:rsidRPr="00C17393">
              <w:rPr>
                <w:rFonts w:ascii="Century Gothic" w:eastAsia="Times New Roman" w:hAnsi="Century Gothic" w:cs="Times New Roman"/>
                <w:sz w:val="24"/>
                <w:szCs w:val="24"/>
              </w:rPr>
              <w:br/>
            </w:r>
          </w:p>
          <w:p w14:paraId="14FE983A" w14:textId="77777777" w:rsidR="00C17393" w:rsidRPr="00C17393" w:rsidRDefault="00C17393" w:rsidP="00C17393">
            <w:pPr>
              <w:spacing w:after="0" w:line="360" w:lineRule="auto"/>
              <w:rPr>
                <w:rFonts w:ascii="Century Gothic" w:eastAsia="Times New Roman" w:hAnsi="Century Gothic" w:cs="Times New Roman"/>
                <w:sz w:val="24"/>
                <w:szCs w:val="24"/>
              </w:rPr>
            </w:pPr>
          </w:p>
          <w:p w14:paraId="06229967" w14:textId="77777777" w:rsidR="00C17393" w:rsidRPr="00C17393" w:rsidRDefault="00C17393" w:rsidP="00C17393">
            <w:pPr>
              <w:spacing w:after="0" w:line="360" w:lineRule="auto"/>
              <w:ind w:left="-2" w:hanging="2"/>
              <w:jc w:val="center"/>
              <w:rPr>
                <w:rFonts w:ascii="Century Gothic" w:eastAsiaTheme="minorHAnsi" w:hAnsi="Century Gothic" w:cs="Times New Roman"/>
                <w:sz w:val="24"/>
                <w:szCs w:val="24"/>
              </w:rPr>
            </w:pPr>
            <w:r w:rsidRPr="00C17393">
              <w:rPr>
                <w:rFonts w:ascii="Century Gothic" w:hAnsi="Century Gothic" w:cs="Times New Roman"/>
                <w:b/>
                <w:bCs/>
                <w:color w:val="000000"/>
                <w:sz w:val="24"/>
                <w:szCs w:val="24"/>
              </w:rPr>
              <w:t>DIP. GUSTAVO DE LA ROSA HICKERSON.</w:t>
            </w:r>
          </w:p>
        </w:tc>
      </w:tr>
      <w:tr w:rsidR="00C17393" w:rsidRPr="00C17393" w14:paraId="160331A2" w14:textId="77777777" w:rsidTr="00693D65">
        <w:tc>
          <w:tcPr>
            <w:tcW w:w="4253" w:type="dxa"/>
          </w:tcPr>
          <w:p w14:paraId="257B7364" w14:textId="77777777" w:rsidR="00C17393" w:rsidRPr="00C17393" w:rsidRDefault="00C17393" w:rsidP="00C17393">
            <w:pPr>
              <w:spacing w:after="0" w:line="360" w:lineRule="auto"/>
              <w:rPr>
                <w:rFonts w:ascii="Century Gothic" w:eastAsia="Times New Roman" w:hAnsi="Century Gothic" w:cs="Times New Roman"/>
                <w:sz w:val="24"/>
                <w:szCs w:val="24"/>
              </w:rPr>
            </w:pPr>
            <w:r w:rsidRPr="00C17393">
              <w:rPr>
                <w:rFonts w:ascii="Century Gothic" w:eastAsia="Times New Roman" w:hAnsi="Century Gothic" w:cs="Times New Roman"/>
                <w:sz w:val="24"/>
                <w:szCs w:val="24"/>
              </w:rPr>
              <w:br/>
            </w:r>
          </w:p>
          <w:p w14:paraId="0C0681E6" w14:textId="77777777" w:rsidR="00C17393" w:rsidRPr="00C17393" w:rsidRDefault="00C17393" w:rsidP="00C17393">
            <w:pPr>
              <w:spacing w:after="0" w:line="360" w:lineRule="auto"/>
              <w:ind w:left="-2" w:hanging="2"/>
              <w:jc w:val="center"/>
              <w:rPr>
                <w:rFonts w:ascii="Century Gothic" w:eastAsiaTheme="minorHAnsi" w:hAnsi="Century Gothic" w:cs="Times New Roman"/>
                <w:b/>
                <w:bCs/>
                <w:color w:val="000000"/>
                <w:sz w:val="24"/>
                <w:szCs w:val="24"/>
              </w:rPr>
            </w:pPr>
          </w:p>
          <w:p w14:paraId="70B1FB5D" w14:textId="77777777" w:rsidR="00C17393" w:rsidRPr="00C17393" w:rsidRDefault="00C17393" w:rsidP="00C17393">
            <w:pPr>
              <w:spacing w:after="0" w:line="360" w:lineRule="auto"/>
              <w:ind w:left="-2" w:hanging="2"/>
              <w:rPr>
                <w:rFonts w:ascii="Century Gothic" w:hAnsi="Century Gothic" w:cs="Times New Roman"/>
                <w:sz w:val="24"/>
                <w:szCs w:val="24"/>
              </w:rPr>
            </w:pPr>
            <w:r w:rsidRPr="00C17393">
              <w:rPr>
                <w:rFonts w:ascii="Century Gothic" w:hAnsi="Century Gothic" w:cs="Times New Roman"/>
                <w:b/>
                <w:bCs/>
                <w:color w:val="000000"/>
                <w:sz w:val="24"/>
                <w:szCs w:val="24"/>
              </w:rPr>
              <w:t>DIP. ROSANA DÍAZ REYES.</w:t>
            </w:r>
          </w:p>
        </w:tc>
        <w:tc>
          <w:tcPr>
            <w:tcW w:w="4819" w:type="dxa"/>
          </w:tcPr>
          <w:p w14:paraId="7705226E" w14:textId="77777777" w:rsidR="00C17393" w:rsidRPr="00C17393" w:rsidRDefault="00C17393" w:rsidP="00C17393">
            <w:pPr>
              <w:spacing w:after="0" w:line="360" w:lineRule="auto"/>
              <w:rPr>
                <w:rFonts w:ascii="Century Gothic" w:eastAsia="Times New Roman" w:hAnsi="Century Gothic" w:cs="Times New Roman"/>
                <w:sz w:val="24"/>
                <w:szCs w:val="24"/>
              </w:rPr>
            </w:pPr>
            <w:r w:rsidRPr="00C17393">
              <w:rPr>
                <w:rFonts w:ascii="Century Gothic" w:eastAsia="Times New Roman" w:hAnsi="Century Gothic" w:cs="Times New Roman"/>
                <w:sz w:val="24"/>
                <w:szCs w:val="24"/>
              </w:rPr>
              <w:br/>
            </w:r>
          </w:p>
          <w:p w14:paraId="1B06DBB6" w14:textId="77777777" w:rsidR="00C17393" w:rsidRPr="00C17393" w:rsidRDefault="00C17393" w:rsidP="00C17393">
            <w:pPr>
              <w:spacing w:after="0" w:line="360" w:lineRule="auto"/>
              <w:rPr>
                <w:rFonts w:ascii="Century Gothic" w:eastAsia="Times New Roman" w:hAnsi="Century Gothic" w:cs="Times New Roman"/>
                <w:sz w:val="24"/>
                <w:szCs w:val="24"/>
              </w:rPr>
            </w:pPr>
          </w:p>
          <w:p w14:paraId="7127916F" w14:textId="77777777" w:rsidR="00C17393" w:rsidRPr="00C17393" w:rsidRDefault="00C17393" w:rsidP="00C17393">
            <w:pPr>
              <w:spacing w:after="0" w:line="360" w:lineRule="auto"/>
              <w:ind w:left="-2" w:hanging="2"/>
              <w:jc w:val="center"/>
              <w:rPr>
                <w:rFonts w:ascii="Century Gothic" w:eastAsiaTheme="minorHAnsi" w:hAnsi="Century Gothic" w:cs="Times New Roman"/>
                <w:sz w:val="24"/>
                <w:szCs w:val="24"/>
              </w:rPr>
            </w:pPr>
            <w:r w:rsidRPr="00C17393">
              <w:rPr>
                <w:rFonts w:ascii="Century Gothic" w:hAnsi="Century Gothic" w:cs="Times New Roman"/>
                <w:b/>
                <w:bCs/>
                <w:color w:val="000000"/>
                <w:sz w:val="24"/>
                <w:szCs w:val="24"/>
              </w:rPr>
              <w:t>DIP. MARÍA ANTONIETA PÉREZ REYES.</w:t>
            </w:r>
          </w:p>
        </w:tc>
      </w:tr>
      <w:tr w:rsidR="00C17393" w:rsidRPr="00C17393" w14:paraId="23B9F01C" w14:textId="77777777" w:rsidTr="00693D65">
        <w:tc>
          <w:tcPr>
            <w:tcW w:w="4253" w:type="dxa"/>
          </w:tcPr>
          <w:p w14:paraId="1393D352" w14:textId="77777777" w:rsidR="00C17393" w:rsidRPr="00C17393" w:rsidRDefault="00C17393" w:rsidP="00C17393">
            <w:pPr>
              <w:spacing w:after="0" w:line="360" w:lineRule="auto"/>
              <w:rPr>
                <w:rFonts w:ascii="Century Gothic" w:eastAsia="Times New Roman" w:hAnsi="Century Gothic" w:cs="Times New Roman"/>
                <w:sz w:val="24"/>
                <w:szCs w:val="24"/>
              </w:rPr>
            </w:pPr>
            <w:r w:rsidRPr="00C17393">
              <w:rPr>
                <w:rFonts w:ascii="Century Gothic" w:eastAsia="Times New Roman" w:hAnsi="Century Gothic" w:cs="Times New Roman"/>
                <w:sz w:val="24"/>
                <w:szCs w:val="24"/>
              </w:rPr>
              <w:br/>
            </w:r>
          </w:p>
          <w:p w14:paraId="291E9E7F" w14:textId="77777777" w:rsidR="00C17393" w:rsidRPr="00C17393" w:rsidRDefault="00C17393" w:rsidP="00C17393">
            <w:pPr>
              <w:spacing w:after="0" w:line="360" w:lineRule="auto"/>
              <w:rPr>
                <w:rFonts w:ascii="Century Gothic" w:eastAsia="Times New Roman" w:hAnsi="Century Gothic" w:cs="Times New Roman"/>
                <w:sz w:val="24"/>
                <w:szCs w:val="24"/>
              </w:rPr>
            </w:pPr>
          </w:p>
          <w:p w14:paraId="75B7E0AE" w14:textId="59BA7ADF" w:rsidR="00C17393" w:rsidRPr="00C17393" w:rsidRDefault="00C17393" w:rsidP="00693D65">
            <w:pPr>
              <w:spacing w:after="0" w:line="360" w:lineRule="auto"/>
              <w:jc w:val="center"/>
              <w:rPr>
                <w:rFonts w:ascii="Century Gothic" w:eastAsia="Times New Roman" w:hAnsi="Century Gothic" w:cs="Times New Roman"/>
                <w:sz w:val="24"/>
                <w:szCs w:val="24"/>
              </w:rPr>
            </w:pPr>
            <w:r w:rsidRPr="00C17393">
              <w:rPr>
                <w:rFonts w:ascii="Century Gothic" w:hAnsi="Century Gothic" w:cs="Times New Roman"/>
                <w:b/>
                <w:bCs/>
                <w:color w:val="000000"/>
                <w:sz w:val="24"/>
                <w:szCs w:val="24"/>
              </w:rPr>
              <w:t>DIP. MAGDALENA RENTERÍA PÉREZ.</w:t>
            </w:r>
          </w:p>
          <w:p w14:paraId="2A337151" w14:textId="77777777" w:rsidR="00C17393" w:rsidRPr="00C17393" w:rsidRDefault="00C17393" w:rsidP="00C17393">
            <w:pPr>
              <w:spacing w:after="0" w:line="360" w:lineRule="auto"/>
              <w:ind w:left="-2" w:hanging="2"/>
              <w:jc w:val="center"/>
              <w:rPr>
                <w:rFonts w:ascii="Century Gothic" w:eastAsiaTheme="minorHAnsi" w:hAnsi="Century Gothic" w:cs="Times New Roman"/>
                <w:sz w:val="24"/>
                <w:szCs w:val="24"/>
              </w:rPr>
            </w:pPr>
          </w:p>
        </w:tc>
        <w:tc>
          <w:tcPr>
            <w:tcW w:w="4819" w:type="dxa"/>
          </w:tcPr>
          <w:p w14:paraId="128EFEE1" w14:textId="77777777" w:rsidR="00C17393" w:rsidRPr="00C17393" w:rsidRDefault="00C17393" w:rsidP="00C17393">
            <w:pPr>
              <w:spacing w:after="0" w:line="360" w:lineRule="auto"/>
              <w:rPr>
                <w:rFonts w:ascii="Century Gothic" w:eastAsia="Times New Roman" w:hAnsi="Century Gothic" w:cs="Times New Roman"/>
                <w:sz w:val="24"/>
                <w:szCs w:val="24"/>
              </w:rPr>
            </w:pPr>
            <w:r w:rsidRPr="00C17393">
              <w:rPr>
                <w:rFonts w:ascii="Century Gothic" w:eastAsia="Times New Roman" w:hAnsi="Century Gothic" w:cs="Times New Roman"/>
                <w:sz w:val="24"/>
                <w:szCs w:val="24"/>
              </w:rPr>
              <w:br/>
            </w:r>
          </w:p>
          <w:p w14:paraId="12D4B809" w14:textId="77777777" w:rsidR="00C17393" w:rsidRPr="00C17393" w:rsidRDefault="00C17393" w:rsidP="00C17393">
            <w:pPr>
              <w:spacing w:after="0" w:line="360" w:lineRule="auto"/>
              <w:rPr>
                <w:rFonts w:ascii="Century Gothic" w:eastAsia="Times New Roman" w:hAnsi="Century Gothic" w:cs="Times New Roman"/>
                <w:sz w:val="24"/>
                <w:szCs w:val="24"/>
              </w:rPr>
            </w:pPr>
          </w:p>
          <w:p w14:paraId="05A4F0E3" w14:textId="77777777" w:rsidR="00C17393" w:rsidRPr="00C17393" w:rsidRDefault="00C17393" w:rsidP="00C17393">
            <w:pPr>
              <w:spacing w:after="0" w:line="360" w:lineRule="auto"/>
              <w:ind w:left="-2" w:hanging="2"/>
              <w:jc w:val="center"/>
              <w:rPr>
                <w:rFonts w:ascii="Century Gothic" w:eastAsiaTheme="minorHAnsi" w:hAnsi="Century Gothic" w:cs="Times New Roman"/>
                <w:sz w:val="24"/>
                <w:szCs w:val="24"/>
              </w:rPr>
            </w:pPr>
            <w:r w:rsidRPr="00C17393">
              <w:rPr>
                <w:rFonts w:ascii="Century Gothic" w:hAnsi="Century Gothic" w:cs="Times New Roman"/>
                <w:b/>
                <w:bCs/>
                <w:color w:val="000000"/>
                <w:sz w:val="24"/>
                <w:szCs w:val="24"/>
              </w:rPr>
              <w:t>DIP. DAVID OSCAR CASTREJÓN RIVAS.</w:t>
            </w:r>
          </w:p>
        </w:tc>
      </w:tr>
    </w:tbl>
    <w:p w14:paraId="75740A57" w14:textId="2C210DEE" w:rsidR="00F0125B" w:rsidRPr="00C17393" w:rsidRDefault="00C17393" w:rsidP="00693D65">
      <w:pPr>
        <w:spacing w:after="0" w:line="240" w:lineRule="auto"/>
        <w:jc w:val="both"/>
        <w:rPr>
          <w:rFonts w:ascii="Century Gothic" w:hAnsi="Century Gothic"/>
          <w:sz w:val="24"/>
          <w:szCs w:val="24"/>
        </w:rPr>
      </w:pPr>
      <w:r w:rsidRPr="00693D65">
        <w:rPr>
          <w:rFonts w:ascii="Century Gothic" w:eastAsia="Arial Unicode MS" w:hAnsi="Century Gothic" w:cs="Arial"/>
          <w:bCs/>
          <w:i/>
          <w:iCs/>
          <w:sz w:val="18"/>
          <w:szCs w:val="18"/>
        </w:rPr>
        <w:t xml:space="preserve">La presente hoja de firmas corresponde a la </w:t>
      </w:r>
      <w:r w:rsidRPr="00693D65">
        <w:rPr>
          <w:rFonts w:ascii="Century Gothic" w:hAnsi="Century Gothic"/>
          <w:sz w:val="18"/>
          <w:szCs w:val="18"/>
        </w:rPr>
        <w:t>Proposición con carácter de Punto de Acuerdo</w:t>
      </w:r>
      <w:r w:rsidRPr="00693D65">
        <w:rPr>
          <w:rFonts w:ascii="Century Gothic" w:eastAsia="Arial Unicode MS" w:hAnsi="Century Gothic" w:cs="Arial"/>
          <w:bCs/>
          <w:i/>
          <w:iCs/>
          <w:sz w:val="18"/>
          <w:szCs w:val="18"/>
        </w:rPr>
        <w:t xml:space="preserve">, </w:t>
      </w:r>
      <w:r w:rsidR="00693D65" w:rsidRPr="00693D65">
        <w:rPr>
          <w:rFonts w:ascii="Century Gothic" w:eastAsia="Arial Unicode MS" w:hAnsi="Century Gothic" w:cs="Arial"/>
          <w:bCs/>
          <w:i/>
          <w:iCs/>
          <w:sz w:val="18"/>
          <w:szCs w:val="18"/>
        </w:rPr>
        <w:t>a fin de exhortar a la Secretaría de Hacienda, la Fiscalía General del Estado y el Instituto Chihuahuense de las Mujeres, incrementen el presupuesto destinado a la atención de mujeres víctimas de violencia</w:t>
      </w:r>
      <w:r w:rsidR="00693D65">
        <w:rPr>
          <w:rFonts w:ascii="Century Gothic" w:hAnsi="Century Gothic" w:cs="Arial"/>
          <w:bCs/>
          <w:i/>
          <w:iCs/>
          <w:sz w:val="18"/>
          <w:szCs w:val="18"/>
        </w:rPr>
        <w:t>.</w:t>
      </w:r>
    </w:p>
    <w:sectPr w:rsidR="00F0125B" w:rsidRPr="00C17393" w:rsidSect="00161787">
      <w:headerReference w:type="default" r:id="rId8"/>
      <w:footerReference w:type="default" r:id="rId9"/>
      <w:pgSz w:w="11906" w:h="16838"/>
      <w:pgMar w:top="2410" w:right="1701" w:bottom="141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14494B" w14:textId="77777777" w:rsidR="00426211" w:rsidRDefault="00426211" w:rsidP="00C17393">
      <w:pPr>
        <w:spacing w:after="0" w:line="240" w:lineRule="auto"/>
      </w:pPr>
      <w:r>
        <w:separator/>
      </w:r>
    </w:p>
  </w:endnote>
  <w:endnote w:type="continuationSeparator" w:id="0">
    <w:p w14:paraId="69D0155C" w14:textId="77777777" w:rsidR="00426211" w:rsidRDefault="00426211" w:rsidP="00C17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825341"/>
      <w:docPartObj>
        <w:docPartGallery w:val="Page Numbers (Bottom of Page)"/>
        <w:docPartUnique/>
      </w:docPartObj>
    </w:sdtPr>
    <w:sdtEndPr/>
    <w:sdtContent>
      <w:p w14:paraId="1979A4B3" w14:textId="77777777" w:rsidR="003F0F4E" w:rsidRDefault="00B97EB5">
        <w:pPr>
          <w:pStyle w:val="Piedepgina"/>
          <w:jc w:val="center"/>
        </w:pPr>
        <w:r>
          <w:fldChar w:fldCharType="begin"/>
        </w:r>
        <w:r>
          <w:instrText>PAGE   \* MERGEFORMAT</w:instrText>
        </w:r>
        <w:r>
          <w:fldChar w:fldCharType="separate"/>
        </w:r>
        <w:r w:rsidR="007A7404" w:rsidRPr="007A7404">
          <w:rPr>
            <w:noProof/>
            <w:lang w:val="es-ES"/>
          </w:rPr>
          <w:t>2</w:t>
        </w:r>
        <w:r>
          <w:fldChar w:fldCharType="end"/>
        </w:r>
      </w:p>
    </w:sdtContent>
  </w:sdt>
  <w:p w14:paraId="6AB02F08" w14:textId="77777777" w:rsidR="003F0F4E" w:rsidRDefault="007A74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545564" w14:textId="77777777" w:rsidR="00426211" w:rsidRDefault="00426211" w:rsidP="00C17393">
      <w:pPr>
        <w:spacing w:after="0" w:line="240" w:lineRule="auto"/>
      </w:pPr>
      <w:r>
        <w:separator/>
      </w:r>
    </w:p>
  </w:footnote>
  <w:footnote w:type="continuationSeparator" w:id="0">
    <w:p w14:paraId="54051AAC" w14:textId="77777777" w:rsidR="00426211" w:rsidRDefault="00426211" w:rsidP="00C173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90BA6" w14:textId="1655BAA7" w:rsidR="00161787" w:rsidRDefault="00B97EB5" w:rsidP="00C17393">
    <w:pPr>
      <w:pStyle w:val="Encabezado"/>
      <w:jc w:val="center"/>
    </w:pPr>
    <w:r w:rsidRPr="005A101D">
      <w:rPr>
        <w:noProof/>
        <w:lang w:val="es-MX" w:eastAsia="es-MX"/>
      </w:rPr>
      <w:drawing>
        <wp:anchor distT="0" distB="0" distL="114300" distR="114300" simplePos="0" relativeHeight="251659264" behindDoc="1" locked="0" layoutInCell="1" allowOverlap="1" wp14:anchorId="7046EF33" wp14:editId="6C535FAD">
          <wp:simplePos x="0" y="0"/>
          <wp:positionH relativeFrom="column">
            <wp:posOffset>-756285</wp:posOffset>
          </wp:positionH>
          <wp:positionV relativeFrom="paragraph">
            <wp:posOffset>-268605</wp:posOffset>
          </wp:positionV>
          <wp:extent cx="1066800" cy="1152525"/>
          <wp:effectExtent l="0" t="0" r="0" b="9525"/>
          <wp:wrapNone/>
          <wp:docPr id="10" name="Imagen 10"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Pr="00D06AFE">
      <w:t>2022, Año del Centenario de la llegada de la Comunidad Menonita a Chihuahua</w:t>
    </w:r>
    <w:r w:rsidRPr="00625047">
      <w:t>”</w:t>
    </w:r>
  </w:p>
  <w:p w14:paraId="0BC09E19" w14:textId="503CC9A9" w:rsidR="00CF4394" w:rsidRDefault="00C17393" w:rsidP="00CF4394">
    <w:pPr>
      <w:pStyle w:val="Encabezado"/>
      <w:jc w:val="right"/>
    </w:pPr>
    <w:r>
      <w:rPr>
        <w:noProof/>
        <w:lang w:val="es-MX" w:eastAsia="es-MX"/>
      </w:rPr>
      <w:drawing>
        <wp:anchor distT="0" distB="0" distL="114300" distR="114300" simplePos="0" relativeHeight="251661312" behindDoc="0" locked="0" layoutInCell="1" allowOverlap="1" wp14:anchorId="28807C98" wp14:editId="681F5D93">
          <wp:simplePos x="0" y="0"/>
          <wp:positionH relativeFrom="margin">
            <wp:align>center</wp:align>
          </wp:positionH>
          <wp:positionV relativeFrom="paragraph">
            <wp:posOffset>19685</wp:posOffset>
          </wp:positionV>
          <wp:extent cx="1198879" cy="523875"/>
          <wp:effectExtent l="0" t="0" r="1905" b="0"/>
          <wp:wrapNone/>
          <wp:docPr id="2" name="Imagen 2"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animado con letras&#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1198879" cy="523875"/>
                  </a:xfrm>
                  <a:prstGeom prst="rect">
                    <a:avLst/>
                  </a:prstGeom>
                </pic:spPr>
              </pic:pic>
            </a:graphicData>
          </a:graphic>
          <wp14:sizeRelH relativeFrom="margin">
            <wp14:pctWidth>0</wp14:pctWidth>
          </wp14:sizeRelH>
          <wp14:sizeRelV relativeFrom="margin">
            <wp14:pctHeight>0</wp14:pctHeight>
          </wp14:sizeRelV>
        </wp:anchor>
      </w:drawing>
    </w:r>
  </w:p>
  <w:p w14:paraId="777DE0CC" w14:textId="20B16357" w:rsidR="00CF4394" w:rsidRDefault="00B97EB5" w:rsidP="00CF4394">
    <w:pPr>
      <w:pStyle w:val="Encabezado"/>
      <w:jc w:val="right"/>
    </w:pPr>
    <w:r>
      <w:rPr>
        <w:noProof/>
        <w:lang w:val="es-MX" w:eastAsia="es-MX"/>
      </w:rPr>
      <w:drawing>
        <wp:inline distT="0" distB="0" distL="0" distR="0" wp14:anchorId="558A5C45" wp14:editId="0216212B">
          <wp:extent cx="700405" cy="13398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00405" cy="133985"/>
                  </a:xfrm>
                  <a:prstGeom prst="rect">
                    <a:avLst/>
                  </a:prstGeom>
                </pic:spPr>
              </pic:pic>
            </a:graphicData>
          </a:graphic>
        </wp:inline>
      </w:drawing>
    </w:r>
  </w:p>
  <w:p w14:paraId="3325E965" w14:textId="44E2065A" w:rsidR="00161787" w:rsidRDefault="007A740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AC66C8"/>
    <w:multiLevelType w:val="hybridMultilevel"/>
    <w:tmpl w:val="A0F8EA6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94B6F60"/>
    <w:multiLevelType w:val="hybridMultilevel"/>
    <w:tmpl w:val="CEAC57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A511DEC"/>
    <w:multiLevelType w:val="hybridMultilevel"/>
    <w:tmpl w:val="2752E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216425E"/>
    <w:multiLevelType w:val="multilevel"/>
    <w:tmpl w:val="C5887C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446804F1"/>
    <w:multiLevelType w:val="hybridMultilevel"/>
    <w:tmpl w:val="7DD845BE"/>
    <w:lvl w:ilvl="0" w:tplc="080A0001">
      <w:start w:val="1"/>
      <w:numFmt w:val="bullet"/>
      <w:lvlText w:val=""/>
      <w:lvlJc w:val="left"/>
      <w:pPr>
        <w:ind w:left="1110" w:hanging="75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F00A36"/>
    <w:multiLevelType w:val="hybridMultilevel"/>
    <w:tmpl w:val="C504BE7A"/>
    <w:lvl w:ilvl="0" w:tplc="FE62982E">
      <w:numFmt w:val="bullet"/>
      <w:lvlText w:val="·"/>
      <w:lvlJc w:val="left"/>
      <w:pPr>
        <w:ind w:left="1110" w:hanging="750"/>
      </w:pPr>
      <w:rPr>
        <w:rFonts w:ascii="Century Gothic" w:eastAsia="Century Gothic" w:hAnsi="Century Gothic" w:cs="Century Gothic"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393"/>
    <w:rsid w:val="00426211"/>
    <w:rsid w:val="00693D65"/>
    <w:rsid w:val="007A7404"/>
    <w:rsid w:val="00B97EB5"/>
    <w:rsid w:val="00C17393"/>
    <w:rsid w:val="00F012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9BCEE"/>
  <w15:chartTrackingRefBased/>
  <w15:docId w15:val="{86AD4FE0-393E-4056-9185-6DBF61F6D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7393"/>
    <w:pPr>
      <w:spacing w:after="160"/>
      <w:jc w:val="left"/>
    </w:pPr>
    <w:rPr>
      <w:rFonts w:eastAsiaTheme="minorEastAsia"/>
      <w:lang w:val="es-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173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7393"/>
    <w:rPr>
      <w:rFonts w:eastAsiaTheme="minorEastAsia"/>
      <w:lang w:val="es-US" w:eastAsia="es-ES"/>
    </w:rPr>
  </w:style>
  <w:style w:type="paragraph" w:styleId="Prrafodelista">
    <w:name w:val="List Paragraph"/>
    <w:basedOn w:val="Normal"/>
    <w:uiPriority w:val="34"/>
    <w:qFormat/>
    <w:rsid w:val="00C17393"/>
    <w:pPr>
      <w:ind w:left="720"/>
      <w:contextualSpacing/>
    </w:pPr>
  </w:style>
  <w:style w:type="paragraph" w:styleId="Piedepgina">
    <w:name w:val="footer"/>
    <w:basedOn w:val="Normal"/>
    <w:link w:val="PiedepginaCar"/>
    <w:uiPriority w:val="99"/>
    <w:unhideWhenUsed/>
    <w:rsid w:val="00C173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7393"/>
    <w:rPr>
      <w:rFonts w:eastAsiaTheme="minorEastAsia"/>
      <w:lang w:val="es-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6713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202FC-4086-4B8A-A997-7F4310DD9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1722</Words>
  <Characters>9471</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Brenda Sarahi Gonzalez Dominguez</cp:lastModifiedBy>
  <cp:revision>2</cp:revision>
  <dcterms:created xsi:type="dcterms:W3CDTF">2022-10-26T20:43:00Z</dcterms:created>
  <dcterms:modified xsi:type="dcterms:W3CDTF">2022-10-26T20:43:00Z</dcterms:modified>
</cp:coreProperties>
</file>