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A8" w:rsidRPr="00912A5F" w:rsidRDefault="00573FA8" w:rsidP="00573FA8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H. CONGRESO DEL ESTADO DE CHIHUAHUA</w:t>
      </w:r>
    </w:p>
    <w:p w:rsidR="00573FA8" w:rsidRPr="00912A5F" w:rsidRDefault="00573FA8" w:rsidP="00573FA8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 xml:space="preserve">P R E S E N T E. </w:t>
      </w:r>
    </w:p>
    <w:p w:rsidR="00573FA8" w:rsidRPr="00912A5F" w:rsidRDefault="00573FA8" w:rsidP="00573FA8">
      <w:pPr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</w:p>
    <w:p w:rsidR="00573FA8" w:rsidRPr="00912A5F" w:rsidRDefault="00573FA8" w:rsidP="00573FA8">
      <w:pPr>
        <w:spacing w:line="360" w:lineRule="auto"/>
        <w:jc w:val="both"/>
        <w:rPr>
          <w:rFonts w:ascii="Century Gothic" w:hAnsi="Century Gothic" w:cstheme="minorHAnsi"/>
          <w:sz w:val="28"/>
          <w:szCs w:val="24"/>
        </w:rPr>
      </w:pPr>
      <w:r w:rsidRPr="00856353">
        <w:rPr>
          <w:rFonts w:ascii="Century Gothic" w:hAnsi="Century Gothic" w:cstheme="majorHAnsi"/>
          <w:sz w:val="28"/>
          <w:szCs w:val="28"/>
        </w:rPr>
        <w:t xml:space="preserve">Los que suscriben, </w:t>
      </w:r>
      <w:r w:rsidRPr="00856353">
        <w:rPr>
          <w:rFonts w:ascii="Century Gothic" w:eastAsia="Times New Roman" w:hAnsi="Century Gothic" w:cstheme="majorHAnsi"/>
          <w:b/>
          <w:sz w:val="28"/>
          <w:szCs w:val="28"/>
        </w:rPr>
        <w:t>María Antonieta Pérez Reyes,</w:t>
      </w:r>
      <w:r w:rsidRPr="00856353">
        <w:rPr>
          <w:rFonts w:ascii="Century Gothic" w:eastAsia="Times New Roman" w:hAnsi="Century Gothic" w:cstheme="majorHAnsi"/>
          <w:sz w:val="28"/>
          <w:szCs w:val="28"/>
        </w:rPr>
        <w:t xml:space="preserve"> </w:t>
      </w:r>
      <w:r w:rsidRPr="00856353">
        <w:rPr>
          <w:rFonts w:ascii="Century Gothic" w:eastAsia="Times New Roman" w:hAnsi="Century Gothic" w:cstheme="majorHAnsi"/>
          <w:b/>
          <w:sz w:val="28"/>
          <w:szCs w:val="28"/>
        </w:rPr>
        <w:t xml:space="preserve">Leticia Ortega Máynez, Óscar Daniel Avitia Arellanes, Rosana Díaz Reyes, Gustavo De la Rosa Hickerson, Edin Cuauhtémoc Estrada Sotelo, Magdalena Rentería Pérez, </w:t>
      </w:r>
      <w:r>
        <w:rPr>
          <w:rFonts w:ascii="Century Gothic" w:eastAsia="Times New Roman" w:hAnsi="Century Gothic" w:cstheme="majorHAnsi"/>
          <w:b/>
          <w:sz w:val="28"/>
          <w:szCs w:val="28"/>
        </w:rPr>
        <w:t>Ilse América García Soto</w:t>
      </w:r>
      <w:r w:rsidRPr="00856353">
        <w:rPr>
          <w:rFonts w:ascii="Century Gothic" w:eastAsia="Times New Roman" w:hAnsi="Century Gothic" w:cstheme="majorHAnsi"/>
          <w:b/>
          <w:sz w:val="28"/>
          <w:szCs w:val="28"/>
        </w:rPr>
        <w:t>, Benjamín Carrera Chávez y David Oscar Castrejón Rivas,</w:t>
      </w:r>
      <w:r w:rsidRPr="00856353">
        <w:rPr>
          <w:rFonts w:ascii="Century Gothic" w:eastAsia="Times New Roman" w:hAnsi="Century Gothic" w:cstheme="majorHAnsi"/>
          <w:bCs/>
          <w:sz w:val="28"/>
          <w:szCs w:val="28"/>
        </w:rPr>
        <w:t xml:space="preserve"> en nuestro carácter de Diputados de la</w:t>
      </w:r>
      <w:r w:rsidRPr="00856353">
        <w:rPr>
          <w:rFonts w:ascii="Century Gothic" w:eastAsia="Times New Roman" w:hAnsi="Century Gothic" w:cstheme="majorHAnsi"/>
          <w:sz w:val="28"/>
          <w:szCs w:val="28"/>
        </w:rPr>
        <w:t xml:space="preserve"> </w:t>
      </w:r>
      <w:r w:rsidRPr="00856353">
        <w:rPr>
          <w:rFonts w:ascii="Century Gothic" w:hAnsi="Century Gothic" w:cstheme="majorHAnsi"/>
          <w:sz w:val="28"/>
          <w:szCs w:val="28"/>
        </w:rPr>
        <w:t xml:space="preserve"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ordenamientos del Estado de Chihuahua, acudimos ante esta Honorable Asamblea Legislativa, a fin de </w:t>
      </w:r>
      <w:r w:rsidRPr="00D62804">
        <w:rPr>
          <w:rFonts w:ascii="Century Gothic" w:hAnsi="Century Gothic" w:cstheme="majorHAnsi"/>
          <w:color w:val="000000" w:themeColor="text1"/>
          <w:sz w:val="28"/>
          <w:szCs w:val="28"/>
        </w:rPr>
        <w:t>presentar una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 iniciativa con carácter de Decreto,</w:t>
      </w:r>
      <w:r w:rsidRPr="00D62804"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 w:cstheme="majorHAnsi"/>
          <w:b/>
          <w:bCs/>
          <w:color w:val="000000" w:themeColor="text1"/>
          <w:sz w:val="28"/>
          <w:szCs w:val="28"/>
        </w:rPr>
        <w:t xml:space="preserve">a fin de </w:t>
      </w:r>
      <w:bookmarkStart w:id="0" w:name="_GoBack"/>
      <w:r>
        <w:rPr>
          <w:rFonts w:ascii="Century Gothic" w:hAnsi="Century Gothic" w:cstheme="majorHAnsi"/>
          <w:b/>
          <w:bCs/>
          <w:color w:val="000000" w:themeColor="text1"/>
          <w:sz w:val="28"/>
          <w:szCs w:val="28"/>
        </w:rPr>
        <w:t xml:space="preserve">reformar el artículo 66 de la Ley de Vialidad y Tránsito para el Estado de Chihuahua, así como el artículo 120 del </w:t>
      </w:r>
      <w:r w:rsidRPr="008B7C87">
        <w:rPr>
          <w:rFonts w:ascii="Century Gothic" w:hAnsi="Century Gothic" w:cstheme="majorHAnsi"/>
          <w:b/>
          <w:bCs/>
          <w:color w:val="000000" w:themeColor="text1"/>
          <w:sz w:val="28"/>
          <w:szCs w:val="28"/>
        </w:rPr>
        <w:t>Reglamento de la Ley de Vialidad y Tránsito para el Estado de Chihuahua</w:t>
      </w:r>
      <w:bookmarkEnd w:id="0"/>
      <w:r>
        <w:rPr>
          <w:rFonts w:ascii="Century Gothic" w:hAnsi="Century Gothic" w:cstheme="majorHAnsi"/>
          <w:b/>
          <w:bCs/>
          <w:color w:val="000000" w:themeColor="text1"/>
          <w:sz w:val="28"/>
          <w:szCs w:val="28"/>
        </w:rPr>
        <w:t xml:space="preserve">, </w:t>
      </w:r>
      <w:r w:rsidRPr="00D62804">
        <w:rPr>
          <w:rFonts w:ascii="Century Gothic" w:hAnsi="Century Gothic" w:cstheme="majorHAnsi"/>
          <w:color w:val="000000" w:themeColor="text1"/>
          <w:sz w:val="28"/>
          <w:szCs w:val="28"/>
        </w:rPr>
        <w:t>lo anterior con sustento en la siguiente: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 xml:space="preserve"> </w:t>
      </w:r>
    </w:p>
    <w:p w:rsidR="00573FA8" w:rsidRPr="00912A5F" w:rsidRDefault="00573FA8" w:rsidP="00573FA8">
      <w:pPr>
        <w:jc w:val="both"/>
        <w:rPr>
          <w:rFonts w:ascii="Century Gothic" w:hAnsi="Century Gothic" w:cstheme="minorHAnsi"/>
          <w:sz w:val="28"/>
          <w:szCs w:val="24"/>
        </w:rPr>
      </w:pPr>
    </w:p>
    <w:p w:rsidR="00573FA8" w:rsidRPr="00912A5F" w:rsidRDefault="00573FA8" w:rsidP="00573FA8">
      <w:pPr>
        <w:jc w:val="both"/>
        <w:rPr>
          <w:rFonts w:ascii="Century Gothic" w:hAnsi="Century Gothic" w:cs="Arial"/>
          <w:sz w:val="28"/>
          <w:szCs w:val="24"/>
          <w:lang w:val="es-ES_tradnl"/>
        </w:rPr>
      </w:pPr>
    </w:p>
    <w:p w:rsidR="00596B81" w:rsidRDefault="00596B81" w:rsidP="00573FA8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:rsidR="00596B81" w:rsidRDefault="00596B81" w:rsidP="00573FA8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:rsidR="00573FA8" w:rsidRPr="00912A5F" w:rsidRDefault="00573FA8" w:rsidP="00573FA8">
      <w:pPr>
        <w:jc w:val="center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lastRenderedPageBreak/>
        <w:t>EXPOSICIÓN DE MOTIVOS:</w:t>
      </w:r>
    </w:p>
    <w:p w:rsidR="00573FA8" w:rsidRPr="00DF6230" w:rsidRDefault="00573FA8" w:rsidP="00573FA8">
      <w:pPr>
        <w:rPr>
          <w:rFonts w:ascii="Century Gothic" w:hAnsi="Century Gothic" w:cs="Arial"/>
          <w:b/>
          <w:sz w:val="28"/>
          <w:szCs w:val="28"/>
          <w:lang w:val="es-ES_tradnl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La movilidad dentro de ciudades se ve sumamente afectada dependiendo del horario del que se trate y de los conductores que ocupen las distintas vialidades de tránsito, sin tomar en cuenta otros distintos factores.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Los camiones y vehículos de carga pesada, por su peso y dimensiones, necesitan de más espacio que un vehículo normal para realizar distintas maniobras, ya sea para estacionarse o para circular por determinados lugares o avenidas, mismas que limitan mucho la circulación de este tipo de transporte. Esta situación, de igual manera, afecta a los demás transportistas que transitan por las principales calles y avenidas de la ciudad.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Es sabido que durante las horas de tráfico intenso, la movilidad en las calles se ve limitada de gran manera por la gran cantidad de conductores circulando. Si a ello añadimos lo señalado en el párrafo que antecede, el problema de circulación se ve agudizado de forma significante.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Gran parte de la causa de este problema, es la falta de conocimiento de los conductores sobre los horarios que vialidad y tránsito establece o considera como de tráfico intenso, ya que dicho horario no está establecido ni en la ley de vialidad y tránsito ni en su reglamento. En su artículo 66 de dicha ley se establece lo siguiente: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>“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ARTÍCULO 66. La circulación de camiones de carga, así como las maniobras de carga y descarga de mercancías no podrá realizarse por las avenidas, calzadas, paseos y calles principales comprendidas dentro de los centros de población de la Entidad durante las horas de intenso tránsito.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lastRenderedPageBreak/>
        <w:t>Para tal efecto la Dirección o el municipio fijarán el horario para realizar estas maniobras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>”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.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Este horario, como anteriormente se mencionó, no se encuentra establecido de manera clara, lo que provoca su falta de conocimiento por parte de los conductores.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En este mismo sentido, el reglamento a esta ley nos menciona lo que a continuación: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>“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Artículo 120.- La circulación de los vehículos pesados, así como las maniobras de carga y descarga de mercancías, no podrá realizarse por las avenidas, calzadas y calles principales durante las horas de intenso tráfico.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La autoridad vial competente podrá determinar y modificar, según en el análisis del comportamiento de la circulación, las avenidas por donde circularán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 y las horas de intenso tráfico”. 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>“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Artículo 121.- Los vehículos pesados deberán circular únicamente en los horarios permitidos y en las vialidades destinadas para ello, salvo en los casos que la Delegación de Vialidad y/o Tránsito, les expida una autorización especial para circular por vialidades o calles restringidas. En todo caso, adquirirán el compromiso de reparar los daños que se ocasionen con motivo de la conducción de los mismos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>”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.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>“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Artículo 122.- Los vehículos pesados y los de servicio público de transporte colectivo de pasajeros, deberán circular únicamente por el carril derecho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>”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.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>“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Artículo 124.- Los vehículos pesados de grandes dimensiones no deberán ingresar a las zonas residenciales o zona centro de las ciudades, debiendo en todo caso utilizar los periféricos que rodeen las mismas</w:t>
      </w:r>
      <w:r>
        <w:rPr>
          <w:rFonts w:ascii="Century Gothic" w:hAnsi="Century Gothic" w:cstheme="majorHAnsi"/>
          <w:color w:val="000000" w:themeColor="text1"/>
          <w:sz w:val="28"/>
          <w:szCs w:val="28"/>
        </w:rPr>
        <w:t>. ()”</w:t>
      </w:r>
      <w:r w:rsidRPr="003248FB">
        <w:rPr>
          <w:rFonts w:ascii="Century Gothic" w:hAnsi="Century Gothic" w:cstheme="majorHAnsi"/>
          <w:color w:val="000000" w:themeColor="text1"/>
          <w:sz w:val="28"/>
          <w:szCs w:val="28"/>
        </w:rPr>
        <w:t>.</w:t>
      </w: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</w:p>
    <w:p w:rsidR="00573FA8" w:rsidRDefault="00573FA8" w:rsidP="00573FA8">
      <w:pPr>
        <w:pStyle w:val="NormalWeb"/>
        <w:shd w:val="clear" w:color="auto" w:fill="FDFDFD"/>
        <w:spacing w:before="0" w:beforeAutospacing="0" w:after="0" w:afterAutospacing="0"/>
        <w:ind w:firstLine="708"/>
        <w:jc w:val="both"/>
        <w:rPr>
          <w:rFonts w:ascii="Century Gothic" w:hAnsi="Century Gothic" w:cstheme="majorHAnsi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color w:val="000000" w:themeColor="text1"/>
          <w:sz w:val="28"/>
          <w:szCs w:val="28"/>
        </w:rPr>
        <w:t xml:space="preserve">De acuerdo con información obtenida de la dirección de vialidad y tránsito, los horarios que esta dirección considera como de tráfico intenso son de 6:00 a 9:00 de la mañana, de 13:00 a 15:00 de la tarde y por la noche, el horario es de 18:00 a 20:00. Cabe destacar, que se nos comentó que por costumbre se consideran estos horarios, mas no hay regulación expresa que lo señale. </w:t>
      </w:r>
    </w:p>
    <w:p w:rsidR="00573FA8" w:rsidRDefault="00573FA8" w:rsidP="00573FA8">
      <w:pPr>
        <w:spacing w:line="36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573FA8" w:rsidRPr="001A6F57" w:rsidRDefault="00573FA8" w:rsidP="00573FA8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1A6F57">
        <w:rPr>
          <w:rFonts w:ascii="Century Gothic" w:hAnsi="Century Gothic" w:cs="Arial"/>
          <w:b/>
          <w:bCs/>
          <w:sz w:val="28"/>
          <w:szCs w:val="28"/>
        </w:rPr>
        <w:t>Es por ello que proponemos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reformar el artículo 66 de la Ley de Vialidad y Tránsito para el estado de Chihuahua, así como el artículo 120 del Reglamento de la Ley de Vialidad y Tránsito para el Estado de Chihuahua.</w:t>
      </w:r>
    </w:p>
    <w:p w:rsidR="00573FA8" w:rsidRPr="00DF6230" w:rsidRDefault="00573FA8" w:rsidP="00573FA8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573FA8" w:rsidRPr="00DF6230" w:rsidRDefault="00573FA8" w:rsidP="00573FA8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F6230">
        <w:rPr>
          <w:rFonts w:ascii="Century Gothic" w:eastAsia="Century Gothic" w:hAnsi="Century Gothic" w:cs="Century Gothic"/>
          <w:sz w:val="28"/>
          <w:szCs w:val="28"/>
        </w:rPr>
        <w:t>Es por lo anteriormente expuesto que sometemos a consideración del Pleno el presente proyecto con carácter de:</w:t>
      </w:r>
    </w:p>
    <w:p w:rsidR="00573FA8" w:rsidRPr="00DF6230" w:rsidRDefault="00573FA8" w:rsidP="00573FA8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73FA8" w:rsidRDefault="00573FA8" w:rsidP="00573FA8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DECRETO</w:t>
      </w:r>
    </w:p>
    <w:p w:rsidR="00573FA8" w:rsidRPr="00DF6230" w:rsidRDefault="00573FA8" w:rsidP="00573FA8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</w:t>
      </w:r>
      <w:r w:rsidR="00D66ECB">
        <w:rPr>
          <w:rFonts w:ascii="Century Gothic" w:eastAsia="Century Gothic" w:hAnsi="Century Gothic" w:cs="Century Gothic"/>
          <w:b/>
          <w:bCs/>
          <w:sz w:val="28"/>
          <w:szCs w:val="28"/>
        </w:rPr>
        <w:t>PRIMERO</w:t>
      </w: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. - </w:t>
      </w:r>
      <w:r w:rsidR="00D66ECB">
        <w:rPr>
          <w:rFonts w:ascii="Century Gothic" w:eastAsia="Century Gothic" w:hAnsi="Century Gothic" w:cs="Century Gothic"/>
          <w:bCs/>
          <w:sz w:val="28"/>
          <w:szCs w:val="28"/>
        </w:rPr>
        <w:t>Se reforme</w:t>
      </w:r>
      <w:r>
        <w:rPr>
          <w:rFonts w:ascii="Century Gothic" w:eastAsia="Century Gothic" w:hAnsi="Century Gothic" w:cs="Century Gothic"/>
          <w:bCs/>
          <w:sz w:val="28"/>
          <w:szCs w:val="28"/>
        </w:rPr>
        <w:t xml:space="preserve"> el </w:t>
      </w:r>
      <w:r w:rsidRPr="00573FA8">
        <w:rPr>
          <w:rFonts w:ascii="Century Gothic" w:hAnsi="Century Gothic" w:cs="Arial"/>
          <w:bCs/>
          <w:sz w:val="28"/>
          <w:szCs w:val="28"/>
        </w:rPr>
        <w:t xml:space="preserve">artículo 66 de la Ley de Vialidad y Tránsito para el estado de Chihuahua,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para quedar redactado de la siguiente manera:</w:t>
      </w:r>
    </w:p>
    <w:p w:rsidR="00D66ECB" w:rsidRDefault="00D66ECB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:rsidR="00573FA8" w:rsidRPr="00573FA8" w:rsidRDefault="00D66ECB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573FA8">
        <w:rPr>
          <w:rFonts w:ascii="Century Gothic" w:eastAsia="Century Gothic" w:hAnsi="Century Gothic" w:cs="Century Gothic"/>
          <w:bCs/>
          <w:sz w:val="28"/>
          <w:szCs w:val="28"/>
        </w:rPr>
        <w:t xml:space="preserve">“Articulo 66.- la circulación de camiones de carga, así como las maniobras de carga y descarga de mercancías no podrá realizarse por las avenidas, calzadas, paseos y calles principales comprendidas dentro de los centros de población de la entidad </w:t>
      </w:r>
      <w:r w:rsidR="00573FA8" w:rsidRPr="00573FA8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entre las 6:00 a las 24:00 horas. </w:t>
      </w: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573FA8">
        <w:rPr>
          <w:rFonts w:ascii="Century Gothic" w:eastAsia="Century Gothic" w:hAnsi="Century Gothic" w:cs="Century Gothic"/>
          <w:b/>
          <w:bCs/>
          <w:sz w:val="28"/>
          <w:szCs w:val="28"/>
        </w:rPr>
        <w:t>Para las maniobras de carga y descarga de mercancías de los negocios que se encuentren instalados en avenidas principales, deberán realizarse en el horario comprendido de las 24:00 a las 6:00”</w:t>
      </w:r>
      <w:r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:rsidR="00D66ECB" w:rsidRDefault="00D66ECB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SEGUNDO. – </w:t>
      </w:r>
      <w:r>
        <w:rPr>
          <w:rFonts w:ascii="Century Gothic" w:eastAsia="Century Gothic" w:hAnsi="Century Gothic" w:cs="Century Gothic"/>
          <w:bCs/>
          <w:sz w:val="28"/>
          <w:szCs w:val="28"/>
        </w:rPr>
        <w:t xml:space="preserve">Se reforme el </w:t>
      </w:r>
      <w:r w:rsidRPr="00573FA8">
        <w:rPr>
          <w:rFonts w:ascii="Century Gothic" w:hAnsi="Century Gothic" w:cs="Arial"/>
          <w:bCs/>
          <w:sz w:val="28"/>
          <w:szCs w:val="28"/>
        </w:rPr>
        <w:t>artículo 120 del Reglamento de la Ley de Vialidad y Tránsito para el Estado de Chihuahua</w:t>
      </w:r>
      <w:r>
        <w:rPr>
          <w:rFonts w:ascii="Century Gothic" w:eastAsia="Century Gothic" w:hAnsi="Century Gothic" w:cs="Century Gothic"/>
          <w:bCs/>
          <w:sz w:val="28"/>
          <w:szCs w:val="28"/>
        </w:rPr>
        <w:t>,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para quedar redactado de la siguiente manera:</w:t>
      </w:r>
    </w:p>
    <w:p w:rsidR="00D66ECB" w:rsidRPr="00D66ECB" w:rsidRDefault="00D66ECB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573FA8" w:rsidRDefault="00D66ECB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573FA8">
        <w:rPr>
          <w:rFonts w:ascii="Century Gothic" w:eastAsia="Century Gothic" w:hAnsi="Century Gothic" w:cs="Century Gothic"/>
          <w:bCs/>
          <w:sz w:val="28"/>
          <w:szCs w:val="28"/>
        </w:rPr>
        <w:t>“</w:t>
      </w:r>
      <w:r w:rsidR="00573FA8" w:rsidRPr="00573FA8">
        <w:rPr>
          <w:rFonts w:ascii="Century Gothic" w:eastAsia="Century Gothic" w:hAnsi="Century Gothic" w:cs="Century Gothic"/>
          <w:bCs/>
          <w:sz w:val="28"/>
          <w:szCs w:val="28"/>
        </w:rPr>
        <w:t>Artículo 120.- La circulación de los vehículos pesados, así como las maniobras de carga y descarga de mercancías, no podrá realizarse por las avenidas, calzadas y calles principales dura</w:t>
      </w:r>
      <w:r w:rsidR="00573FA8">
        <w:rPr>
          <w:rFonts w:ascii="Century Gothic" w:eastAsia="Century Gothic" w:hAnsi="Century Gothic" w:cs="Century Gothic"/>
          <w:bCs/>
          <w:sz w:val="28"/>
          <w:szCs w:val="28"/>
        </w:rPr>
        <w:t xml:space="preserve">nte las horas </w:t>
      </w:r>
      <w:r w:rsidR="00573FA8" w:rsidRPr="00573FA8">
        <w:rPr>
          <w:rFonts w:ascii="Century Gothic" w:eastAsia="Century Gothic" w:hAnsi="Century Gothic" w:cs="Century Gothic"/>
          <w:b/>
          <w:bCs/>
          <w:sz w:val="28"/>
          <w:szCs w:val="28"/>
        </w:rPr>
        <w:t>que se establecen en la ley que este instrumento reglamenta</w:t>
      </w:r>
      <w:r w:rsidR="00573FA8" w:rsidRPr="00573FA8"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573FA8">
        <w:rPr>
          <w:rFonts w:ascii="Century Gothic" w:eastAsia="Century Gothic" w:hAnsi="Century Gothic" w:cs="Century Gothic"/>
          <w:bCs/>
          <w:sz w:val="28"/>
          <w:szCs w:val="28"/>
        </w:rPr>
        <w:t>La autoridad vial competente podrá determinar y modificar, según en el análisis del comportamiento de la circulación, las avenidas por donde circularán y las horas de intenso tráfico</w:t>
      </w:r>
      <w:r>
        <w:rPr>
          <w:rFonts w:ascii="Century Gothic" w:eastAsia="Century Gothic" w:hAnsi="Century Gothic" w:cs="Century Gothic"/>
          <w:bCs/>
          <w:sz w:val="28"/>
          <w:szCs w:val="28"/>
        </w:rPr>
        <w:t>”</w:t>
      </w:r>
      <w:r w:rsidRPr="00573FA8"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i/>
          <w:sz w:val="28"/>
          <w:szCs w:val="28"/>
        </w:rPr>
      </w:pPr>
    </w:p>
    <w:p w:rsidR="00573FA8" w:rsidRPr="00DF6230" w:rsidRDefault="00573FA8" w:rsidP="00573FA8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>TRANSITORIOS</w:t>
      </w: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ARTICULO ÚNICO. 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El presente Decreto entrará en vigor el día siguiente de su publicación en el Periódico Oficial del Estado.</w:t>
      </w:r>
    </w:p>
    <w:p w:rsidR="00573FA8" w:rsidRPr="00DF6230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Dado en el Salón de Sesiones del Poder Legislativo, a los </w:t>
      </w:r>
      <w:r>
        <w:rPr>
          <w:rFonts w:ascii="Century Gothic" w:eastAsia="Century Gothic" w:hAnsi="Century Gothic" w:cs="Century Gothic"/>
          <w:bCs/>
          <w:sz w:val="28"/>
          <w:szCs w:val="28"/>
        </w:rPr>
        <w:t>veintidós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días de </w:t>
      </w:r>
      <w:r>
        <w:rPr>
          <w:rFonts w:ascii="Century Gothic" w:eastAsia="Century Gothic" w:hAnsi="Century Gothic" w:cs="Century Gothic"/>
          <w:bCs/>
          <w:sz w:val="28"/>
          <w:szCs w:val="28"/>
        </w:rPr>
        <w:t>junio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 xml:space="preserve"> del año dos mil veintid</w:t>
      </w:r>
      <w:r>
        <w:rPr>
          <w:rFonts w:ascii="Century Gothic" w:eastAsia="Century Gothic" w:hAnsi="Century Gothic" w:cs="Century Gothic"/>
          <w:bCs/>
          <w:sz w:val="28"/>
          <w:szCs w:val="28"/>
        </w:rPr>
        <w:t>ó</w:t>
      </w:r>
      <w:r w:rsidRPr="00DF6230">
        <w:rPr>
          <w:rFonts w:ascii="Century Gothic" w:eastAsia="Century Gothic" w:hAnsi="Century Gothic" w:cs="Century Gothic"/>
          <w:bCs/>
          <w:sz w:val="28"/>
          <w:szCs w:val="28"/>
        </w:rPr>
        <w:t>s.</w:t>
      </w: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:rsidR="00573FA8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:rsidR="00573FA8" w:rsidRPr="00B4408E" w:rsidRDefault="00573FA8" w:rsidP="00573FA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:rsidR="00573FA8" w:rsidRPr="00CD7505" w:rsidRDefault="00573FA8" w:rsidP="00573FA8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A T E N T A M E N T E</w:t>
      </w:r>
    </w:p>
    <w:p w:rsidR="00573FA8" w:rsidRPr="00CD7505" w:rsidRDefault="00573FA8" w:rsidP="00573FA8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573FA8" w:rsidRDefault="00573FA8" w:rsidP="00573FA8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573FA8" w:rsidRDefault="00573FA8" w:rsidP="00573FA8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573FA8" w:rsidRPr="00CD7505" w:rsidRDefault="00573FA8" w:rsidP="00573FA8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573FA8" w:rsidRPr="006E6017" w:rsidRDefault="00573FA8" w:rsidP="00573FA8">
      <w:pPr>
        <w:spacing w:after="160"/>
        <w:contextualSpacing/>
        <w:jc w:val="center"/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</w:pPr>
      <w:r w:rsidRPr="006E6017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DIP. MARIA ANTONIETA PÉREZ REYES</w:t>
      </w:r>
    </w:p>
    <w:p w:rsidR="00573FA8" w:rsidRDefault="00573FA8" w:rsidP="00573FA8">
      <w:pPr>
        <w:jc w:val="center"/>
        <w:rPr>
          <w:rFonts w:ascii="Century Gothic" w:eastAsia="Arial Unicode MS" w:hAnsi="Century Gothic" w:cs="Arial"/>
          <w:b/>
          <w:sz w:val="28"/>
          <w:szCs w:val="28"/>
        </w:rPr>
      </w:pPr>
    </w:p>
    <w:p w:rsidR="00573FA8" w:rsidRDefault="00573FA8" w:rsidP="00573FA8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73FA8" w:rsidRPr="006E6017" w:rsidTr="008E30F5">
        <w:trPr>
          <w:trHeight w:val="1984"/>
        </w:trPr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  </w:t>
            </w: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573FA8" w:rsidRPr="006E6017" w:rsidTr="008E30F5">
        <w:trPr>
          <w:trHeight w:val="1984"/>
        </w:trPr>
        <w:tc>
          <w:tcPr>
            <w:tcW w:w="4414" w:type="dxa"/>
            <w:vAlign w:val="bottom"/>
          </w:tcPr>
          <w:p w:rsidR="00573FA8" w:rsidRPr="006E6017" w:rsidRDefault="00573FA8" w:rsidP="008E30F5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         </w:t>
            </w: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  </w:t>
            </w: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573FA8" w:rsidRPr="006E6017" w:rsidTr="008E30F5">
        <w:trPr>
          <w:trHeight w:val="1984"/>
        </w:trPr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    </w:t>
            </w:r>
            <w:r w:rsidRPr="006E601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>DIP. MAGDALENA RENTERÍA PÉREZ</w:t>
            </w:r>
          </w:p>
        </w:tc>
      </w:tr>
      <w:tr w:rsidR="00573FA8" w:rsidRPr="006E6017" w:rsidTr="008E30F5">
        <w:trPr>
          <w:trHeight w:val="1984"/>
        </w:trPr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ILSE AMÉRICA GARCÍA SOTO </w:t>
            </w:r>
          </w:p>
        </w:tc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573FA8" w:rsidRPr="006E6017" w:rsidTr="008E30F5">
        <w:trPr>
          <w:trHeight w:val="1984"/>
        </w:trPr>
        <w:tc>
          <w:tcPr>
            <w:tcW w:w="4414" w:type="dxa"/>
            <w:vAlign w:val="bottom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6E6017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</w:tcPr>
          <w:p w:rsidR="00573FA8" w:rsidRPr="006E6017" w:rsidRDefault="00573FA8" w:rsidP="008E30F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573FA8" w:rsidRPr="006E6017" w:rsidRDefault="00573FA8" w:rsidP="00573FA8">
      <w:pPr>
        <w:jc w:val="both"/>
        <w:rPr>
          <w:rFonts w:ascii="Century Gothic" w:hAnsi="Century Gothic"/>
        </w:rPr>
      </w:pPr>
    </w:p>
    <w:p w:rsidR="00573FA8" w:rsidRPr="006E6017" w:rsidRDefault="00573FA8" w:rsidP="00573FA8">
      <w:pPr>
        <w:jc w:val="both"/>
        <w:rPr>
          <w:rFonts w:ascii="Century Gothic" w:eastAsia="Arial Unicode MS" w:hAnsi="Century Gothic" w:cs="Arial"/>
          <w:b/>
          <w:sz w:val="28"/>
          <w:szCs w:val="28"/>
        </w:rPr>
      </w:pPr>
    </w:p>
    <w:p w:rsidR="00573FA8" w:rsidRPr="00635B63" w:rsidRDefault="00573FA8" w:rsidP="00573FA8">
      <w:pPr>
        <w:jc w:val="both"/>
        <w:rPr>
          <w:rFonts w:ascii="Century Gothic" w:hAnsi="Century Gothic" w:cstheme="majorHAnsi"/>
          <w:bCs/>
          <w:sz w:val="16"/>
          <w:szCs w:val="16"/>
        </w:rPr>
      </w:pPr>
      <w:r w:rsidRPr="005A3E59">
        <w:rPr>
          <w:rFonts w:ascii="Century Gothic" w:hAnsi="Century Gothic" w:cstheme="majorHAnsi"/>
          <w:sz w:val="16"/>
          <w:szCs w:val="16"/>
        </w:rPr>
        <w:t xml:space="preserve">La presente </w:t>
      </w:r>
      <w:r w:rsidRPr="000B0F90">
        <w:rPr>
          <w:rFonts w:ascii="Century Gothic" w:hAnsi="Century Gothic" w:cstheme="majorHAnsi"/>
          <w:sz w:val="16"/>
          <w:szCs w:val="16"/>
        </w:rPr>
        <w:t xml:space="preserve">hoja de firmas corresponde a la iniciativa con el carácter </w:t>
      </w:r>
      <w:r w:rsidRPr="000B0F90">
        <w:rPr>
          <w:rFonts w:ascii="Century Gothic" w:hAnsi="Century Gothic" w:cstheme="majorHAnsi"/>
          <w:bCs/>
          <w:sz w:val="16"/>
          <w:szCs w:val="16"/>
        </w:rPr>
        <w:t xml:space="preserve">de </w:t>
      </w:r>
      <w:r w:rsidRPr="007B1099">
        <w:rPr>
          <w:rFonts w:ascii="Century Gothic" w:hAnsi="Century Gothic" w:cstheme="minorHAnsi"/>
          <w:bCs/>
          <w:sz w:val="16"/>
          <w:szCs w:val="16"/>
        </w:rPr>
        <w:t>Decreto,</w:t>
      </w:r>
      <w:r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 a fin reformar _____________________.</w:t>
      </w:r>
    </w:p>
    <w:p w:rsidR="00573FA8" w:rsidRDefault="00573FA8" w:rsidP="00573FA8"/>
    <w:p w:rsidR="005B33D8" w:rsidRPr="00573FA8" w:rsidRDefault="005B33D8" w:rsidP="00573FA8"/>
    <w:sectPr w:rsidR="005B33D8" w:rsidRPr="00573FA8" w:rsidSect="00EF0A59">
      <w:headerReference w:type="default" r:id="rId7"/>
      <w:footerReference w:type="default" r:id="rId8"/>
      <w:pgSz w:w="12240" w:h="15840"/>
      <w:pgMar w:top="2552" w:right="1701" w:bottom="1418" w:left="1701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7C" w:rsidRDefault="00EC437C">
      <w:r>
        <w:separator/>
      </w:r>
    </w:p>
  </w:endnote>
  <w:endnote w:type="continuationSeparator" w:id="0">
    <w:p w:rsidR="00EC437C" w:rsidRDefault="00EC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,Arial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 w:themeColor="accent3" w:themeShade="80"/>
      </w:rPr>
      <w:id w:val="1392075983"/>
      <w:docPartObj>
        <w:docPartGallery w:val="Page Numbers (Bottom of Page)"/>
        <w:docPartUnique/>
      </w:docPartObj>
    </w:sdtPr>
    <w:sdtEndPr/>
    <w:sdtContent>
      <w:sdt>
        <w:sdtPr>
          <w:rPr>
            <w:color w:val="525252" w:themeColor="accent3" w:themeShade="80"/>
          </w:rPr>
          <w:id w:val="-1374840421"/>
          <w:docPartObj>
            <w:docPartGallery w:val="Page Numbers (Top of Page)"/>
            <w:docPartUnique/>
          </w:docPartObj>
        </w:sdtPr>
        <w:sdtEndPr/>
        <w:sdtContent>
          <w:p w:rsidR="0041345B" w:rsidRPr="00161933" w:rsidRDefault="00D66ECB">
            <w:pPr>
              <w:pStyle w:val="Piedepgina"/>
              <w:jc w:val="right"/>
              <w:rPr>
                <w:color w:val="525252" w:themeColor="accent3" w:themeShade="80"/>
              </w:rPr>
            </w:pP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Página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PAGE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B4291F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3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  <w:r w:rsidRPr="00161933">
              <w:rPr>
                <w:rFonts w:ascii="Century Gothic" w:hAnsi="Century Gothic"/>
                <w:color w:val="525252" w:themeColor="accent3" w:themeShade="80"/>
                <w:sz w:val="16"/>
                <w:szCs w:val="16"/>
                <w:lang w:val="es-ES"/>
              </w:rPr>
              <w:t xml:space="preserve"> de 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begin"/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instrText>NUMPAGES</w:instrTex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separate"/>
            </w:r>
            <w:r w:rsidR="00B4291F">
              <w:rPr>
                <w:rFonts w:ascii="Century Gothic" w:hAnsi="Century Gothic"/>
                <w:b/>
                <w:bCs/>
                <w:noProof/>
                <w:color w:val="525252" w:themeColor="accent3" w:themeShade="80"/>
                <w:sz w:val="16"/>
                <w:szCs w:val="16"/>
              </w:rPr>
              <w:t>7</w:t>
            </w:r>
            <w:r w:rsidRPr="00161933">
              <w:rPr>
                <w:rFonts w:ascii="Century Gothic" w:hAnsi="Century Gothic"/>
                <w:b/>
                <w:bCs/>
                <w:color w:val="525252" w:themeColor="accent3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41345B" w:rsidRDefault="00B429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7C" w:rsidRDefault="00EC437C">
      <w:r>
        <w:separator/>
      </w:r>
    </w:p>
  </w:footnote>
  <w:footnote w:type="continuationSeparator" w:id="0">
    <w:p w:rsidR="00EC437C" w:rsidRDefault="00EC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5B" w:rsidRDefault="00D66ECB" w:rsidP="00B17829">
    <w:pPr>
      <w:pStyle w:val="Encabezado"/>
      <w:jc w:val="right"/>
      <w:rPr>
        <w:rFonts w:ascii="Century Gothic" w:hAnsi="Century Gothic"/>
        <w:b/>
        <w:bCs/>
        <w:i/>
        <w:iCs/>
        <w:sz w:val="22"/>
        <w:szCs w:val="22"/>
      </w:rPr>
    </w:pPr>
    <w:r>
      <w:rPr>
        <w:rFonts w:ascii="Century Gothic" w:hAnsi="Century Gothic"/>
        <w:b/>
        <w:bCs/>
        <w:i/>
        <w:iCs/>
        <w:sz w:val="22"/>
        <w:szCs w:val="22"/>
      </w:rPr>
      <w:t xml:space="preserve">“2022, Año del Centenario de la Llegada de la Comunidad Menonita a Chihuahua” </w:t>
    </w:r>
  </w:p>
  <w:p w:rsidR="0041345B" w:rsidRPr="00B17829" w:rsidRDefault="00B4291F" w:rsidP="00B17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8"/>
    <w:rsid w:val="0004685A"/>
    <w:rsid w:val="00573FA8"/>
    <w:rsid w:val="00596B81"/>
    <w:rsid w:val="005B33D8"/>
    <w:rsid w:val="009B2D97"/>
    <w:rsid w:val="00A502FD"/>
    <w:rsid w:val="00B4291F"/>
    <w:rsid w:val="00D66ECB"/>
    <w:rsid w:val="00E22A27"/>
    <w:rsid w:val="00E55D20"/>
    <w:rsid w:val="00E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6B8F-9CB1-498B-9620-7A7BA06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573F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73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FA8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3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FA8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573FA8"/>
  </w:style>
  <w:style w:type="table" w:customStyle="1" w:styleId="Tablaconcuadrcula1">
    <w:name w:val="Tabla con cuadrícula1"/>
    <w:basedOn w:val="Tablanormal"/>
    <w:next w:val="Tablaconcuadrcula"/>
    <w:uiPriority w:val="39"/>
    <w:rsid w:val="0057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7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FA8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B81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1960-8E87-489D-8CB4-6D5985D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Brenda Sarahi Gonzalez Dominguez</cp:lastModifiedBy>
  <cp:revision>2</cp:revision>
  <cp:lastPrinted>2022-09-21T20:41:00Z</cp:lastPrinted>
  <dcterms:created xsi:type="dcterms:W3CDTF">2022-09-21T20:53:00Z</dcterms:created>
  <dcterms:modified xsi:type="dcterms:W3CDTF">2022-09-21T20:53:00Z</dcterms:modified>
</cp:coreProperties>
</file>