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45CB4" w14:textId="77777777" w:rsidR="005348B6" w:rsidRDefault="005348B6">
      <w:pPr>
        <w:tabs>
          <w:tab w:val="left" w:pos="5123"/>
        </w:tabs>
        <w:rPr>
          <w:rFonts w:ascii="Century Gothic" w:eastAsia="Century Gothic" w:hAnsi="Century Gothic" w:cs="Century Gothic"/>
          <w:b/>
        </w:rPr>
      </w:pPr>
    </w:p>
    <w:p w14:paraId="35F55556" w14:textId="77777777" w:rsidR="005348B6" w:rsidRDefault="00927635">
      <w:pPr>
        <w:tabs>
          <w:tab w:val="left" w:pos="5123"/>
        </w:tabs>
        <w:spacing w:line="360" w:lineRule="auto"/>
        <w:ind w:left="1416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La Nueva Escuela Mexicana promueve la formación ciudadana y a través de ella, la responsabilidad que implica el ejercicio de libertades y la adquisición de derechos.  </w:t>
      </w:r>
    </w:p>
    <w:p w14:paraId="1FD785F5" w14:textId="77777777" w:rsidR="005348B6" w:rsidRDefault="00927635">
      <w:pPr>
        <w:tabs>
          <w:tab w:val="left" w:pos="5123"/>
        </w:tabs>
        <w:spacing w:line="360" w:lineRule="auto"/>
        <w:ind w:left="1416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i/>
        </w:rPr>
        <w:t>Nueva Escuela Mexicana. Secretaría de Educación Pública.  Julio 2019</w:t>
      </w:r>
    </w:p>
    <w:p w14:paraId="2A3AC6F2" w14:textId="77777777" w:rsidR="005348B6" w:rsidRDefault="005348B6">
      <w:pPr>
        <w:tabs>
          <w:tab w:val="left" w:pos="5123"/>
        </w:tabs>
        <w:spacing w:line="360" w:lineRule="auto"/>
        <w:rPr>
          <w:rFonts w:ascii="Century Gothic" w:eastAsia="Century Gothic" w:hAnsi="Century Gothic" w:cs="Century Gothic"/>
          <w:b/>
        </w:rPr>
      </w:pPr>
    </w:p>
    <w:p w14:paraId="2BEEFB92" w14:textId="77777777" w:rsidR="005348B6" w:rsidRDefault="00927635">
      <w:pPr>
        <w:tabs>
          <w:tab w:val="left" w:pos="5123"/>
        </w:tabs>
        <w:spacing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H. CONGRESO DEL </w:t>
      </w:r>
      <w:r>
        <w:rPr>
          <w:rFonts w:ascii="Century Gothic" w:eastAsia="Century Gothic" w:hAnsi="Century Gothic" w:cs="Century Gothic"/>
          <w:b/>
        </w:rPr>
        <w:t>ESTADO DE CHIHUAHUA</w:t>
      </w:r>
      <w:r>
        <w:rPr>
          <w:rFonts w:ascii="Century Gothic" w:eastAsia="Century Gothic" w:hAnsi="Century Gothic" w:cs="Century Gothic"/>
          <w:b/>
        </w:rPr>
        <w:tab/>
        <w:t xml:space="preserve"> </w:t>
      </w:r>
    </w:p>
    <w:p w14:paraId="0A35D8B9" w14:textId="77777777" w:rsidR="005348B6" w:rsidRDefault="00927635">
      <w:pPr>
        <w:spacing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P R E S E N T E.</w:t>
      </w:r>
    </w:p>
    <w:p w14:paraId="4EC7EC06" w14:textId="2A8341CB" w:rsidR="005348B6" w:rsidRDefault="00927635">
      <w:pPr>
        <w:spacing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</w:rPr>
        <w:t xml:space="preserve">Los que suscriben, </w:t>
      </w:r>
      <w:r w:rsidR="00884D6F">
        <w:rPr>
          <w:rFonts w:ascii="Century Gothic" w:eastAsia="Century Gothic" w:hAnsi="Century Gothic" w:cs="Century Gothic"/>
        </w:rPr>
        <w:t xml:space="preserve">Leticia Ortega Máynez, </w:t>
      </w:r>
      <w:r>
        <w:rPr>
          <w:rFonts w:ascii="Century Gothic" w:eastAsia="Century Gothic" w:hAnsi="Century Gothic" w:cs="Century Gothic"/>
        </w:rPr>
        <w:t xml:space="preserve">Edin Cuauhtémoc Estrada Sotelo, Óscar Daniel Avitia Arellanes, Rosana Díaz Reyes, Gustavo De la Rosa </w:t>
      </w:r>
      <w:proofErr w:type="spellStart"/>
      <w:r>
        <w:rPr>
          <w:rFonts w:ascii="Century Gothic" w:eastAsia="Century Gothic" w:hAnsi="Century Gothic" w:cs="Century Gothic"/>
        </w:rPr>
        <w:t>Hickerson</w:t>
      </w:r>
      <w:proofErr w:type="spellEnd"/>
      <w:r>
        <w:rPr>
          <w:rFonts w:ascii="Century Gothic" w:eastAsia="Century Gothic" w:hAnsi="Century Gothic" w:cs="Century Gothic"/>
        </w:rPr>
        <w:t>, Ilse América García Soto, Magdalena Rentería Pérez, María Anton</w:t>
      </w:r>
      <w:r>
        <w:rPr>
          <w:rFonts w:ascii="Century Gothic" w:eastAsia="Century Gothic" w:hAnsi="Century Gothic" w:cs="Century Gothic"/>
        </w:rPr>
        <w:t xml:space="preserve">ieta Pérez Reyes, Adriana Terrazas Porras, Benjamín Carrera Chávez y David Óscar Castrejón Rivas, en nuestro carácter de Diputados de la Sexagésima Séptima Legislatura del Honorable Congreso del Estado de Chihuahua e integrantes del Grupo Parlamentario de </w:t>
      </w:r>
      <w:r>
        <w:rPr>
          <w:rFonts w:ascii="Century Gothic" w:eastAsia="Century Gothic" w:hAnsi="Century Gothic" w:cs="Century Gothic"/>
        </w:rPr>
        <w:t xml:space="preserve">Morena, </w:t>
      </w:r>
      <w:r w:rsidR="00884D6F" w:rsidRPr="00884D6F">
        <w:rPr>
          <w:rFonts w:ascii="Century Gothic" w:eastAsia="Century Gothic" w:hAnsi="Century Gothic" w:cs="Century Gothic"/>
          <w:b/>
        </w:rPr>
        <w:t>con fundamento en lo que dispone los artículos 167, fracción I, y 169, todos de la Ley Orgánica del Poder Legislativo del Estado de Chihuahua; artículo 2, fracción IX, del Reglamento Interior y de Prácticas Parlamentarias del Poder Legislativo; compare</w:t>
      </w:r>
      <w:r w:rsidR="00884D6F">
        <w:rPr>
          <w:rFonts w:ascii="Century Gothic" w:eastAsia="Century Gothic" w:hAnsi="Century Gothic" w:cs="Century Gothic"/>
          <w:b/>
        </w:rPr>
        <w:t>cemos</w:t>
      </w:r>
      <w:r w:rsidR="00884D6F" w:rsidRPr="00884D6F">
        <w:rPr>
          <w:rFonts w:ascii="Century Gothic" w:eastAsia="Century Gothic" w:hAnsi="Century Gothic" w:cs="Century Gothic"/>
          <w:b/>
        </w:rPr>
        <w:t xml:space="preserve">  ante este Honorable Soberanía, a fin de presentar </w:t>
      </w:r>
      <w:r w:rsidR="00884D6F" w:rsidRPr="00884D6F">
        <w:rPr>
          <w:rFonts w:ascii="Century Gothic" w:eastAsia="Century Gothic" w:hAnsi="Century Gothic" w:cs="Century Gothic"/>
          <w:b/>
          <w:bCs/>
        </w:rPr>
        <w:t>Proposición con carácter de Punto de Acuerdo a efecto de exhortar</w:t>
      </w:r>
      <w:r w:rsidR="00884D6F" w:rsidRPr="00884D6F">
        <w:rPr>
          <w:rFonts w:ascii="Century Gothic" w:eastAsia="Century Gothic" w:hAnsi="Century Gothic" w:cs="Century Gothic"/>
          <w:b/>
        </w:rPr>
        <w:t xml:space="preserve"> </w:t>
      </w:r>
      <w:r w:rsidRPr="00884D6F">
        <w:rPr>
          <w:rFonts w:ascii="Century Gothic" w:eastAsia="Century Gothic" w:hAnsi="Century Gothic" w:cs="Century Gothic"/>
          <w:b/>
        </w:rPr>
        <w:t>a la Secretaría de Educación Federal y a la Secretaría de Educación y Deporte del Estado de Chihuahua para que informe que medida</w:t>
      </w:r>
      <w:r w:rsidRPr="00884D6F">
        <w:rPr>
          <w:rFonts w:ascii="Century Gothic" w:eastAsia="Century Gothic" w:hAnsi="Century Gothic" w:cs="Century Gothic"/>
          <w:b/>
        </w:rPr>
        <w:t>s se han tomado, en la prevención de la violencia en el ámbito escolar,  a la vez que se brinde de manera medidas específica se implementen las necesarias para  la prevención y atención de la violencia escolar de acuerdo a los derechos</w:t>
      </w:r>
      <w:r>
        <w:rPr>
          <w:rFonts w:ascii="Century Gothic" w:eastAsia="Century Gothic" w:hAnsi="Century Gothic" w:cs="Century Gothic"/>
          <w:b/>
        </w:rPr>
        <w:t xml:space="preserve"> humanos de niñas, ni</w:t>
      </w:r>
      <w:r>
        <w:rPr>
          <w:rFonts w:ascii="Century Gothic" w:eastAsia="Century Gothic" w:hAnsi="Century Gothic" w:cs="Century Gothic"/>
          <w:b/>
        </w:rPr>
        <w:t>ños y adolescentes, lo anterior bajo el sustento en la siguiente:</w:t>
      </w:r>
    </w:p>
    <w:p w14:paraId="2D4A14D0" w14:textId="0E0D2F41" w:rsidR="00884D6F" w:rsidRDefault="00884D6F">
      <w:pPr>
        <w:spacing w:line="360" w:lineRule="auto"/>
        <w:jc w:val="both"/>
        <w:rPr>
          <w:rFonts w:ascii="Century Gothic" w:eastAsia="Century Gothic" w:hAnsi="Century Gothic" w:cs="Century Gothic"/>
          <w:b/>
        </w:rPr>
      </w:pPr>
    </w:p>
    <w:p w14:paraId="2ADA933A" w14:textId="1E4EDDE8" w:rsidR="00884D6F" w:rsidRDefault="00884D6F">
      <w:pPr>
        <w:spacing w:line="360" w:lineRule="auto"/>
        <w:jc w:val="both"/>
        <w:rPr>
          <w:rFonts w:ascii="Century Gothic" w:eastAsia="Century Gothic" w:hAnsi="Century Gothic" w:cs="Century Gothic"/>
          <w:b/>
        </w:rPr>
      </w:pPr>
    </w:p>
    <w:p w14:paraId="66B69292" w14:textId="77777777" w:rsidR="005348B6" w:rsidRDefault="005348B6">
      <w:pPr>
        <w:spacing w:line="360" w:lineRule="auto"/>
        <w:ind w:left="2124" w:firstLine="707"/>
        <w:jc w:val="both"/>
        <w:rPr>
          <w:rFonts w:ascii="Century Gothic" w:eastAsia="Century Gothic" w:hAnsi="Century Gothic" w:cs="Century Gothic"/>
        </w:rPr>
      </w:pPr>
    </w:p>
    <w:p w14:paraId="0521D691" w14:textId="77777777" w:rsidR="005348B6" w:rsidRDefault="00927635">
      <w:pPr>
        <w:spacing w:line="360" w:lineRule="auto"/>
        <w:ind w:left="2124" w:firstLine="707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EXPOSICIÓN DE MOTIVOS</w:t>
      </w:r>
    </w:p>
    <w:p w14:paraId="7E311EE3" w14:textId="77777777" w:rsidR="005348B6" w:rsidRDefault="005348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entury Gothic" w:eastAsia="Century Gothic" w:hAnsi="Century Gothic" w:cs="Century Gothic"/>
          <w:b/>
          <w:color w:val="FF0000"/>
        </w:rPr>
      </w:pPr>
    </w:p>
    <w:p w14:paraId="3D7ADCBB" w14:textId="77777777" w:rsidR="005348B6" w:rsidRDefault="00927635">
      <w:pPr>
        <w:tabs>
          <w:tab w:val="left" w:pos="982"/>
        </w:tabs>
        <w:spacing w:line="360" w:lineRule="auto"/>
        <w:jc w:val="both"/>
        <w:rPr>
          <w:rFonts w:ascii="Century Gothic" w:eastAsia="Century Gothic" w:hAnsi="Century Gothic" w:cs="Century Gothic"/>
          <w:vertAlign w:val="superscript"/>
        </w:rPr>
      </w:pPr>
      <w:r>
        <w:rPr>
          <w:rFonts w:ascii="Century Gothic" w:eastAsia="Century Gothic" w:hAnsi="Century Gothic" w:cs="Century Gothic"/>
        </w:rPr>
        <w:t>Para la Organización Panamericana de la Salud, la violencia contra las niñas y los niños incluye la violencia física, sexual y emocional, abandono y explotación. Es</w:t>
      </w:r>
      <w:r>
        <w:rPr>
          <w:rFonts w:ascii="Century Gothic" w:eastAsia="Century Gothic" w:hAnsi="Century Gothic" w:cs="Century Gothic"/>
        </w:rPr>
        <w:t>tas conductas de violencia en ocasiones son difíciles de identificar por su naturaleza variada, llegando a aceptarse como dinámicas naturales en la convivencia o integración a grupos de identificación, ocurren tanto en el hogar como en la comunidad, y suel</w:t>
      </w:r>
      <w:r>
        <w:rPr>
          <w:rFonts w:ascii="Century Gothic" w:eastAsia="Century Gothic" w:hAnsi="Century Gothic" w:cs="Century Gothic"/>
        </w:rPr>
        <w:t xml:space="preserve">en ser perpetradas por cuidadores, familia, compañeros o personas extrañas en sus entornos cotidianos, incluidos los representados por  las Tecnologías de la Información y la Comunicación (TIC). Los tipos de violencia incluyen el acoso, las peleas físicas </w:t>
      </w:r>
      <w:r>
        <w:rPr>
          <w:rFonts w:ascii="Century Gothic" w:eastAsia="Century Gothic" w:hAnsi="Century Gothic" w:cs="Century Gothic"/>
        </w:rPr>
        <w:t>entre pares y pandillas, la violencia sexual y la violencia en el noviazgo.  La violencia ejecutada contra la niñez se convierte en un síntoma de degeneración social, y además perpetúa conductas que escalan y permanecen hasta la edad adulta.</w:t>
      </w:r>
      <w:r>
        <w:rPr>
          <w:rFonts w:ascii="Century Gothic" w:eastAsia="Century Gothic" w:hAnsi="Century Gothic" w:cs="Century Gothic"/>
          <w:vertAlign w:val="superscript"/>
        </w:rPr>
        <w:footnoteReference w:id="1"/>
      </w:r>
    </w:p>
    <w:p w14:paraId="2D72CBED" w14:textId="77777777" w:rsidR="005348B6" w:rsidRDefault="00927635">
      <w:pPr>
        <w:tabs>
          <w:tab w:val="left" w:pos="982"/>
        </w:tabs>
        <w:spacing w:line="36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</w:rPr>
        <w:t xml:space="preserve">La OPS registra que, a nivel mundial, 1 de cada 2 niñas y niños de entre 2 y 17 años sufre algún tipo de violencia cada año. Según una revisión global, se estima que el 58% de las niñas y los niños en América </w:t>
      </w:r>
      <w:proofErr w:type="spellStart"/>
      <w:r>
        <w:rPr>
          <w:rFonts w:ascii="Century Gothic" w:eastAsia="Century Gothic" w:hAnsi="Century Gothic" w:cs="Century Gothic"/>
        </w:rPr>
        <w:t>Latin</w:t>
      </w:r>
      <w:proofErr w:type="spellEnd"/>
      <w:r>
        <w:rPr>
          <w:rFonts w:ascii="Century Gothic" w:eastAsia="Century Gothic" w:hAnsi="Century Gothic" w:cs="Century Gothic"/>
        </w:rPr>
        <w:t>, sufrieron abuso físico, sexual o emocion</w:t>
      </w:r>
      <w:r>
        <w:rPr>
          <w:rFonts w:ascii="Century Gothic" w:eastAsia="Century Gothic" w:hAnsi="Century Gothic" w:cs="Century Gothic"/>
        </w:rPr>
        <w:t>al en el último año.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   </w:t>
      </w:r>
    </w:p>
    <w:p w14:paraId="2805FC58" w14:textId="77777777" w:rsidR="005348B6" w:rsidRDefault="00927635">
      <w:pPr>
        <w:tabs>
          <w:tab w:val="left" w:pos="982"/>
        </w:tabs>
        <w:spacing w:line="360" w:lineRule="auto"/>
        <w:jc w:val="both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</w:rPr>
        <w:t xml:space="preserve">En </w:t>
      </w:r>
      <w:r>
        <w:rPr>
          <w:rFonts w:ascii="Century Gothic" w:eastAsia="Century Gothic" w:hAnsi="Century Gothic" w:cs="Century Gothic"/>
          <w:i/>
        </w:rPr>
        <w:t>El Panorama Estadístico de la Violencia Contra Niñas, Niños y Adolescentes en México</w:t>
      </w:r>
      <w:r>
        <w:rPr>
          <w:rFonts w:ascii="Century Gothic" w:eastAsia="Century Gothic" w:hAnsi="Century Gothic" w:cs="Century Gothic"/>
        </w:rPr>
        <w:t>.   (Publicado por UNICEF) se calcula que a nivel nacional el 1.4% de las niñas, niños y adolescentes, de entre 10 y 17 años sufrieron algún daño en la salud por agresión o violencia durante 2012 en el contexto escolar. Entre las principales formas de agre</w:t>
      </w:r>
      <w:r>
        <w:rPr>
          <w:rFonts w:ascii="Century Gothic" w:eastAsia="Century Gothic" w:hAnsi="Century Gothic" w:cs="Century Gothic"/>
        </w:rPr>
        <w:t xml:space="preserve">sión se encuentran: golpes, patadas, puñetazos (56%) y agresiones </w:t>
      </w:r>
      <w:r>
        <w:rPr>
          <w:rFonts w:ascii="Century Gothic" w:eastAsia="Century Gothic" w:hAnsi="Century Gothic" w:cs="Century Gothic"/>
        </w:rPr>
        <w:lastRenderedPageBreak/>
        <w:t>verbales (44%). A diferencia de la violencia en el entorno del hogar, las agresiones en el contexto escolar son predominantemente masculinas, ya que 6 de cada 10 estudiantes agredidos son ho</w:t>
      </w:r>
      <w:r>
        <w:rPr>
          <w:rFonts w:ascii="Century Gothic" w:eastAsia="Century Gothic" w:hAnsi="Century Gothic" w:cs="Century Gothic"/>
        </w:rPr>
        <w:t>mbres.</w:t>
      </w:r>
      <w:r>
        <w:rPr>
          <w:rFonts w:ascii="Century Gothic" w:eastAsia="Century Gothic" w:hAnsi="Century Gothic" w:cs="Century Gothic"/>
          <w:vertAlign w:val="superscript"/>
        </w:rPr>
        <w:footnoteReference w:id="2"/>
      </w:r>
      <w:r>
        <w:rPr>
          <w:rFonts w:ascii="Century Gothic" w:eastAsia="Century Gothic" w:hAnsi="Century Gothic" w:cs="Century Gothic"/>
          <w:sz w:val="28"/>
          <w:szCs w:val="28"/>
        </w:rPr>
        <w:t xml:space="preserve"> </w:t>
      </w:r>
    </w:p>
    <w:p w14:paraId="08AE8D1F" w14:textId="77777777" w:rsidR="005348B6" w:rsidRDefault="00927635">
      <w:pPr>
        <w:tabs>
          <w:tab w:val="left" w:pos="982"/>
        </w:tabs>
        <w:spacing w:line="36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</w:rPr>
        <w:t xml:space="preserve">La violencia en la edad escolar (de los 6 a los 11 años) suele manifestarse dentro de la escuela en forma de castigo corporal o humillaciones por parte de autoridades y entre compañeros, en forma de acoso o </w:t>
      </w:r>
      <w:proofErr w:type="spellStart"/>
      <w:r>
        <w:rPr>
          <w:rFonts w:ascii="Century Gothic" w:eastAsia="Century Gothic" w:hAnsi="Century Gothic" w:cs="Century Gothic"/>
        </w:rPr>
        <w:t>bullying</w:t>
      </w:r>
      <w:proofErr w:type="spellEnd"/>
      <w:r>
        <w:rPr>
          <w:rFonts w:ascii="Century Gothic" w:eastAsia="Century Gothic" w:hAnsi="Century Gothic" w:cs="Century Gothic"/>
        </w:rPr>
        <w:t xml:space="preserve">. Las niñas suelen ser víctimas </w:t>
      </w:r>
      <w:r>
        <w:rPr>
          <w:rFonts w:ascii="Century Gothic" w:eastAsia="Century Gothic" w:hAnsi="Century Gothic" w:cs="Century Gothic"/>
        </w:rPr>
        <w:t>de acoso psicológico al ser excluidas de círculos sociales o verse involucradas en rumores dañinos mientras que los niños son más propensos a sufrir violencia física y amenazas. Las consecuencias de esta clase de violencia pueden ser bajo rendimiento y aba</w:t>
      </w:r>
      <w:r>
        <w:rPr>
          <w:rFonts w:ascii="Century Gothic" w:eastAsia="Century Gothic" w:hAnsi="Century Gothic" w:cs="Century Gothic"/>
        </w:rPr>
        <w:t>ndono escolar.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 </w:t>
      </w:r>
    </w:p>
    <w:p w14:paraId="2B6886E0" w14:textId="77777777" w:rsidR="005348B6" w:rsidRDefault="00927635">
      <w:pPr>
        <w:tabs>
          <w:tab w:val="left" w:pos="982"/>
        </w:tabs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En el estado de Chihuahua, de acuerdo al estudio publicado por el Fideicomiso para la Competitividad y Seguridad Ciudadana (FICOSEC) en 2019</w:t>
      </w:r>
      <w:r>
        <w:rPr>
          <w:rFonts w:ascii="Century Gothic" w:eastAsia="Century Gothic" w:hAnsi="Century Gothic" w:cs="Century Gothic"/>
          <w:vertAlign w:val="superscript"/>
        </w:rPr>
        <w:footnoteReference w:id="3"/>
      </w:r>
      <w:r>
        <w:rPr>
          <w:rFonts w:ascii="Century Gothic" w:eastAsia="Century Gothic" w:hAnsi="Century Gothic" w:cs="Century Gothic"/>
        </w:rPr>
        <w:t>, sobre violencia escolar vivida por niñas, niños y adolescentes, dio como resultado que 43.8% ha v</w:t>
      </w:r>
      <w:r>
        <w:rPr>
          <w:rFonts w:ascii="Century Gothic" w:eastAsia="Century Gothic" w:hAnsi="Century Gothic" w:cs="Century Gothic"/>
        </w:rPr>
        <w:t>ivido violencia física. La violencia psicológica el 43.8% hombres; 46.7% las mujeres.  Violencia sexual 8.1% los hombres, 11.2% las mujeres.</w:t>
      </w:r>
    </w:p>
    <w:p w14:paraId="640B0415" w14:textId="77777777" w:rsidR="005348B6" w:rsidRDefault="00927635">
      <w:pPr>
        <w:tabs>
          <w:tab w:val="left" w:pos="982"/>
        </w:tabs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Estadísticas de UNICEF sobre la violencia contra niñas, niños y adolescentes en México,</w:t>
      </w:r>
      <w:r>
        <w:rPr>
          <w:rFonts w:ascii="Century Gothic" w:eastAsia="Century Gothic" w:hAnsi="Century Gothic" w:cs="Century Gothic"/>
          <w:vertAlign w:val="superscript"/>
        </w:rPr>
        <w:footnoteReference w:id="4"/>
      </w:r>
      <w:r>
        <w:rPr>
          <w:rFonts w:ascii="Century Gothic" w:eastAsia="Century Gothic" w:hAnsi="Century Gothic" w:cs="Century Gothic"/>
          <w:sz w:val="16"/>
          <w:szCs w:val="16"/>
        </w:rPr>
        <w:t xml:space="preserve">   </w:t>
      </w:r>
      <w:r>
        <w:rPr>
          <w:rFonts w:ascii="Century Gothic" w:eastAsia="Century Gothic" w:hAnsi="Century Gothic" w:cs="Century Gothic"/>
        </w:rPr>
        <w:t>revelan de acuerdo con l</w:t>
      </w:r>
      <w:r>
        <w:rPr>
          <w:rFonts w:ascii="Century Gothic" w:eastAsia="Century Gothic" w:hAnsi="Century Gothic" w:cs="Century Gothic"/>
        </w:rPr>
        <w:t>a percepción del estudiantado de entre 12 y 17 años de áreas urbanas que las mujeres se sienten más inseguras que los hombres en sus centros escolares, ya sean públicos o privados.</w:t>
      </w:r>
    </w:p>
    <w:p w14:paraId="15A88920" w14:textId="77777777" w:rsidR="005348B6" w:rsidRDefault="00927635">
      <w:pPr>
        <w:tabs>
          <w:tab w:val="left" w:pos="982"/>
          <w:tab w:val="left" w:pos="5222"/>
        </w:tabs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Las estadísticas de género son una representación numérica de hechos en un </w:t>
      </w:r>
      <w:r>
        <w:rPr>
          <w:rFonts w:ascii="Century Gothic" w:eastAsia="Century Gothic" w:hAnsi="Century Gothic" w:cs="Century Gothic"/>
        </w:rPr>
        <w:t xml:space="preserve"> tiempo y espacio definidos, y desempeñan un papel importante en la eliminación de estereotipos, en la formulación de políticas y en su seguimiento para el logro de la plena igualdad entre hombres y mujeres (CEPAL, 2006). </w:t>
      </w:r>
    </w:p>
    <w:p w14:paraId="7DA14EE3" w14:textId="77777777" w:rsidR="005348B6" w:rsidRDefault="00927635">
      <w:pPr>
        <w:tabs>
          <w:tab w:val="left" w:pos="982"/>
          <w:tab w:val="left" w:pos="5222"/>
        </w:tabs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>Estas estadísticas se deben de ut</w:t>
      </w:r>
      <w:r>
        <w:rPr>
          <w:rFonts w:ascii="Century Gothic" w:eastAsia="Century Gothic" w:hAnsi="Century Gothic" w:cs="Century Gothic"/>
        </w:rPr>
        <w:t>ilizar para  entender la situación de las niñas, niños y adolescentes en nuestra sociedad, y avanzar en el análisis de soluciones conforme a la investigación con perspectiva de género y  derechos humanos, para desarrollar y monitorear programas para la aut</w:t>
      </w:r>
      <w:r>
        <w:rPr>
          <w:rFonts w:ascii="Century Gothic" w:eastAsia="Century Gothic" w:hAnsi="Century Gothic" w:cs="Century Gothic"/>
        </w:rPr>
        <w:t xml:space="preserve">onomía de las mujeres y el fortalecimiento de su representación política, buscando combatir condiciones de vulnerabilidad generadas por factores como la pobreza y la violencia de género. </w:t>
      </w:r>
    </w:p>
    <w:p w14:paraId="305C587F" w14:textId="77777777" w:rsidR="005348B6" w:rsidRDefault="00927635">
      <w:pPr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Sin embargo, el problema fundamental que inspira este exhorto es la </w:t>
      </w:r>
      <w:r>
        <w:rPr>
          <w:rFonts w:ascii="Century Gothic" w:eastAsia="Century Gothic" w:hAnsi="Century Gothic" w:cs="Century Gothic"/>
        </w:rPr>
        <w:t>prospectiva del incremento de violencia que ha estado presente antes, durante y después de la pandemia.</w:t>
      </w:r>
    </w:p>
    <w:p w14:paraId="61BBC7B1" w14:textId="77777777" w:rsidR="005348B6" w:rsidRDefault="00927635">
      <w:pPr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Consideramos que la atención y cuidado de la niñez es lo más valioso en la sociedad, y así como la familia, la escuela como institución y comunidad, es </w:t>
      </w:r>
      <w:r>
        <w:rPr>
          <w:rFonts w:ascii="Century Gothic" w:eastAsia="Century Gothic" w:hAnsi="Century Gothic" w:cs="Century Gothic"/>
        </w:rPr>
        <w:t>un segundo hogar y una plataforma  formadora del ciudadano-ciudadana. Es por eso que en este nuevo ciclo escolar, en el que la población infantil se reintegra a las dinámicas escolares que fueron alteradas por nuestra necesidad de adaptarnos a la crisis de</w:t>
      </w:r>
      <w:r>
        <w:rPr>
          <w:rFonts w:ascii="Century Gothic" w:eastAsia="Century Gothic" w:hAnsi="Century Gothic" w:cs="Century Gothic"/>
        </w:rPr>
        <w:t xml:space="preserve"> salud, no queda más que reconocer el reto que las y los educadores de nuestro país enfrentan, y el valor de cada uno de sus esfuerzos por solventarlo de la mejor manera posible para la niñez, buscando el cumplimiento de su derecho a la protección contra l</w:t>
      </w:r>
      <w:r>
        <w:rPr>
          <w:rFonts w:ascii="Century Gothic" w:eastAsia="Century Gothic" w:hAnsi="Century Gothic" w:cs="Century Gothic"/>
        </w:rPr>
        <w:t>a violencia de acuerdo a la Convención sobre los Derechos del Niño en términos operativos, a espacios o entornos donde se manifiesta e interactúa.</w:t>
      </w:r>
    </w:p>
    <w:p w14:paraId="7BE8BD0B" w14:textId="77777777" w:rsidR="005348B6" w:rsidRDefault="00927635">
      <w:pPr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La protección de la infancia tiene un inmenso potencial para reducir todas las formas de violencia en la soci</w:t>
      </w:r>
      <w:r>
        <w:rPr>
          <w:rFonts w:ascii="Century Gothic" w:eastAsia="Century Gothic" w:hAnsi="Century Gothic" w:cs="Century Gothic"/>
        </w:rPr>
        <w:t>edad, así como las consecuencias sociales y de salud a largo plazo asociadas a ellas.</w:t>
      </w:r>
    </w:p>
    <w:p w14:paraId="2AA956D8" w14:textId="77777777" w:rsidR="005348B6" w:rsidRDefault="00927635">
      <w:pPr>
        <w:tabs>
          <w:tab w:val="left" w:pos="982"/>
        </w:tabs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De acuerdo a los estudios </w:t>
      </w:r>
      <w:r>
        <w:rPr>
          <w:rFonts w:ascii="Century Gothic" w:eastAsia="Century Gothic" w:hAnsi="Century Gothic" w:cs="Century Gothic"/>
          <w:i/>
        </w:rPr>
        <w:t>sobre  “La escuela un escenario de formación y socialización para la construcción de identidad moral</w:t>
      </w:r>
      <w:r>
        <w:rPr>
          <w:rFonts w:ascii="Century Gothic" w:eastAsia="Century Gothic" w:hAnsi="Century Gothic" w:cs="Century Gothic"/>
        </w:rPr>
        <w:t>”</w:t>
      </w:r>
      <w:r>
        <w:rPr>
          <w:rFonts w:ascii="Century Gothic" w:eastAsia="Century Gothic" w:hAnsi="Century Gothic" w:cs="Century Gothic"/>
          <w:vertAlign w:val="superscript"/>
        </w:rPr>
        <w:footnoteReference w:id="5"/>
      </w:r>
      <w:r>
        <w:rPr>
          <w:rFonts w:ascii="Century Gothic" w:eastAsia="Century Gothic" w:hAnsi="Century Gothic" w:cs="Century Gothic"/>
        </w:rPr>
        <w:t>, se confirma que la escuela es el escenar</w:t>
      </w:r>
      <w:r>
        <w:rPr>
          <w:rFonts w:ascii="Century Gothic" w:eastAsia="Century Gothic" w:hAnsi="Century Gothic" w:cs="Century Gothic"/>
        </w:rPr>
        <w:t xml:space="preserve">io en donde la responsabilidad educativa, se ha de transfigurar en un </w:t>
      </w:r>
      <w:r>
        <w:rPr>
          <w:rFonts w:ascii="Century Gothic" w:eastAsia="Century Gothic" w:hAnsi="Century Gothic" w:cs="Century Gothic"/>
        </w:rPr>
        <w:lastRenderedPageBreak/>
        <w:t xml:space="preserve">acto, en una práctica, en un modo particular de leer las necesidades de la comunidad educativa; es el espacio del intercambio, de  confrontación continua entre lo que se enseña y lo que </w:t>
      </w:r>
      <w:r>
        <w:rPr>
          <w:rFonts w:ascii="Century Gothic" w:eastAsia="Century Gothic" w:hAnsi="Century Gothic" w:cs="Century Gothic"/>
        </w:rPr>
        <w:t>se aprende, el ambiente de la interacción y de la constitución de sentidos culturales, sociales y pedagógicos que convoquen a los estudiantes a vivir bajo el presupuesto de la dignidad humana, el respeto a la diferencia y la justicia social.</w:t>
      </w:r>
    </w:p>
    <w:p w14:paraId="3D755C15" w14:textId="77777777" w:rsidR="005348B6" w:rsidRDefault="00927635">
      <w:pPr>
        <w:tabs>
          <w:tab w:val="left" w:pos="982"/>
        </w:tabs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Así mismo, en </w:t>
      </w:r>
      <w:r>
        <w:rPr>
          <w:rFonts w:ascii="Century Gothic" w:eastAsia="Century Gothic" w:hAnsi="Century Gothic" w:cs="Century Gothic"/>
        </w:rPr>
        <w:t>el marco de los acuerdos internacionales signados por México, de la AGENDA 2030, en el Objetivo 16 sobre Desarrollo Sostenible, vemos la importancia de la educación: se especifica el objetivo de “Promover sociedades pacíficas e inclusivas para un Desarroll</w:t>
      </w:r>
      <w:r>
        <w:rPr>
          <w:rFonts w:ascii="Century Gothic" w:eastAsia="Century Gothic" w:hAnsi="Century Gothic" w:cs="Century Gothic"/>
        </w:rPr>
        <w:t xml:space="preserve">o Sostenible, proveer acceso a la justicia para todos y construir instituciones eficaces, responsables e inclusivas en todos los niveles. </w:t>
      </w:r>
    </w:p>
    <w:p w14:paraId="5A5A73A2" w14:textId="77777777" w:rsidR="005348B6" w:rsidRDefault="00927635">
      <w:pPr>
        <w:tabs>
          <w:tab w:val="left" w:pos="982"/>
        </w:tabs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En respuesta a esta necesidad por parte del gobierno de México en cuanto al Sistema Educativo, surge LA ESCUELA NUEVA</w:t>
      </w:r>
      <w:r>
        <w:rPr>
          <w:rFonts w:ascii="Century Gothic" w:eastAsia="Century Gothic" w:hAnsi="Century Gothic" w:cs="Century Gothic"/>
        </w:rPr>
        <w:t xml:space="preserve"> MEXICANA;</w:t>
      </w:r>
      <w:r>
        <w:rPr>
          <w:rFonts w:ascii="Century Gothic" w:eastAsia="Century Gothic" w:hAnsi="Century Gothic" w:cs="Century Gothic"/>
          <w:vertAlign w:val="superscript"/>
        </w:rPr>
        <w:footnoteReference w:id="6"/>
      </w:r>
      <w:r>
        <w:rPr>
          <w:rFonts w:ascii="Century Gothic" w:eastAsia="Century Gothic" w:hAnsi="Century Gothic" w:cs="Century Gothic"/>
        </w:rPr>
        <w:t xml:space="preserve"> una escuela que promueve una cultura de paz que favorece el diálogo constructivo, la solidaridad, la honestidad y la búsqueda de acuerdos con la comunidad escolar para la solución no violenta de conflictos, y que coloca en primer lugar, la conv</w:t>
      </w:r>
      <w:r>
        <w:rPr>
          <w:rFonts w:ascii="Century Gothic" w:eastAsia="Century Gothic" w:hAnsi="Century Gothic" w:cs="Century Gothic"/>
        </w:rPr>
        <w:t>ivencia en un marco de respeto a las diferencias.</w:t>
      </w:r>
    </w:p>
    <w:p w14:paraId="5B12FE2B" w14:textId="77777777" w:rsidR="005348B6" w:rsidRDefault="00927635">
      <w:pPr>
        <w:tabs>
          <w:tab w:val="left" w:pos="982"/>
        </w:tabs>
        <w:spacing w:line="360" w:lineRule="auto"/>
        <w:jc w:val="both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</w:rPr>
        <w:t xml:space="preserve">La reforma a los artículos 3º, 31º. </w:t>
      </w:r>
      <w:proofErr w:type="gramStart"/>
      <w:r>
        <w:rPr>
          <w:rFonts w:ascii="Century Gothic" w:eastAsia="Century Gothic" w:hAnsi="Century Gothic" w:cs="Century Gothic"/>
        </w:rPr>
        <w:t>y</w:t>
      </w:r>
      <w:proofErr w:type="gramEnd"/>
      <w:r>
        <w:rPr>
          <w:rFonts w:ascii="Century Gothic" w:eastAsia="Century Gothic" w:hAnsi="Century Gothic" w:cs="Century Gothic"/>
        </w:rPr>
        <w:t xml:space="preserve"> 73º  de la Constitución establece el derecho a la educación con un enfoque de derechos humanos y de igualdad sustantiva, desde el nivel inicial hasta el superior, que i</w:t>
      </w:r>
      <w:r>
        <w:rPr>
          <w:rFonts w:ascii="Century Gothic" w:eastAsia="Century Gothic" w:hAnsi="Century Gothic" w:cs="Century Gothic"/>
        </w:rPr>
        <w:t>mpulsará la Nueva Escuela Mexicana,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6</w:t>
      </w:r>
      <w:r>
        <w:rPr>
          <w:rFonts w:ascii="Century Gothic" w:eastAsia="Century Gothic" w:hAnsi="Century Gothic" w:cs="Century Gothic"/>
        </w:rPr>
        <w:t xml:space="preserve"> cuyos principios son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: </w:t>
      </w:r>
    </w:p>
    <w:p w14:paraId="02AD9C2E" w14:textId="77777777" w:rsidR="005348B6" w:rsidRDefault="00927635">
      <w:pPr>
        <w:tabs>
          <w:tab w:val="left" w:pos="982"/>
        </w:tabs>
        <w:spacing w:line="360" w:lineRule="auto"/>
        <w:ind w:left="708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Quienes son formados en la Nueva Escuela Mexicana emplean el pensamiento crítico gestado a partir de análisis, reflexión, diálogo, conciencia histórica, humanismo y argumentación fundada para el </w:t>
      </w:r>
      <w:r>
        <w:rPr>
          <w:rFonts w:ascii="Century Gothic" w:eastAsia="Century Gothic" w:hAnsi="Century Gothic" w:cs="Century Gothic"/>
        </w:rPr>
        <w:t xml:space="preserve">mejoramiento de los ámbitos social, cultural y político. Asimismo, poseen capacidades que favorecen el aprendizaje permanente, la incorporación de métodos colaborativos e innovadores, avances tecnológicos e </w:t>
      </w:r>
      <w:r>
        <w:rPr>
          <w:rFonts w:ascii="Century Gothic" w:eastAsia="Century Gothic" w:hAnsi="Century Gothic" w:cs="Century Gothic"/>
        </w:rPr>
        <w:lastRenderedPageBreak/>
        <w:t>investigación científica y usan la libertad creat</w:t>
      </w:r>
      <w:r>
        <w:rPr>
          <w:rFonts w:ascii="Century Gothic" w:eastAsia="Century Gothic" w:hAnsi="Century Gothic" w:cs="Century Gothic"/>
        </w:rPr>
        <w:t>iva para innovar y transformar la realidad.</w:t>
      </w:r>
    </w:p>
    <w:p w14:paraId="594D3B0B" w14:textId="77777777" w:rsidR="005348B6" w:rsidRDefault="00927635">
      <w:pPr>
        <w:tabs>
          <w:tab w:val="left" w:pos="982"/>
        </w:tabs>
        <w:spacing w:line="360" w:lineRule="auto"/>
        <w:ind w:left="708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Se desenvuelven en un ambiente escolar incluyente de todo tipo de personas sin importar clase, género, etnicidad, lengua o discapacidad, en donde se diseñan e implementan acciones para contrarrestar prácticas que</w:t>
      </w:r>
      <w:r>
        <w:rPr>
          <w:rFonts w:ascii="Century Gothic" w:eastAsia="Century Gothic" w:hAnsi="Century Gothic" w:cs="Century Gothic"/>
        </w:rPr>
        <w:t xml:space="preserve"> producen estereotipos, prejuicios y distinciones.</w:t>
      </w:r>
    </w:p>
    <w:p w14:paraId="02DF06E5" w14:textId="77777777" w:rsidR="005348B6" w:rsidRDefault="00927635">
      <w:pPr>
        <w:tabs>
          <w:tab w:val="left" w:pos="982"/>
        </w:tabs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En cuanto al Artículo 3º. Constitucional, se establece que: </w:t>
      </w:r>
    </w:p>
    <w:p w14:paraId="411826E7" w14:textId="77777777" w:rsidR="005348B6" w:rsidRDefault="00927635">
      <w:pPr>
        <w:tabs>
          <w:tab w:val="left" w:pos="982"/>
        </w:tabs>
        <w:spacing w:line="360" w:lineRule="auto"/>
        <w:ind w:left="708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El criterio que orientará a la educación que impartan el Estado y sus organismos descentralizados, así como los particulares, se basará en los resultados del progreso científico, luchará contra la ignorancia y sus causas y sus efectos, las servidumbres, l</w:t>
      </w:r>
      <w:r>
        <w:rPr>
          <w:rFonts w:ascii="Century Gothic" w:eastAsia="Century Gothic" w:hAnsi="Century Gothic" w:cs="Century Gothic"/>
        </w:rPr>
        <w:t>os fanatismos, los prejuicios, la formación de estereotipos, la discriminación y la violencia, especialmente la que se ejerce contra las mujeres, jóvenes, niñas y niños, debiendo implementar políticas públicas de Estado orientadas a la transversalidad de c</w:t>
      </w:r>
      <w:r>
        <w:rPr>
          <w:rFonts w:ascii="Century Gothic" w:eastAsia="Century Gothic" w:hAnsi="Century Gothic" w:cs="Century Gothic"/>
        </w:rPr>
        <w:t>riterios en todos los órdenes de gobierno, y asimismo: (…)</w:t>
      </w:r>
    </w:p>
    <w:p w14:paraId="56995019" w14:textId="77777777" w:rsidR="005348B6" w:rsidRDefault="00927635">
      <w:pPr>
        <w:tabs>
          <w:tab w:val="left" w:pos="982"/>
        </w:tabs>
        <w:spacing w:line="360" w:lineRule="auto"/>
        <w:ind w:left="708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III. Contribuirá a la mejor convivencia humana y a la resolución no violenta de conflictos sociales a través de la participación social, tanto por los elementos que aporte a fin de robustecer en el</w:t>
      </w:r>
      <w:r>
        <w:rPr>
          <w:rFonts w:ascii="Century Gothic" w:eastAsia="Century Gothic" w:hAnsi="Century Gothic" w:cs="Century Gothic"/>
        </w:rPr>
        <w:t xml:space="preserve"> educando, junto con el aprecio por la dignidad de la persona y la integridad de la familia, la convicción del interés general de la sociedad; así como por el cuidado que ponga en sustentar los ideales de fraternidad e igualdad de derechos de todas las per</w:t>
      </w:r>
      <w:r>
        <w:rPr>
          <w:rFonts w:ascii="Century Gothic" w:eastAsia="Century Gothic" w:hAnsi="Century Gothic" w:cs="Century Gothic"/>
        </w:rPr>
        <w:t>sonas, evitando los privilegios de raza, género, religión, grupo e individuo, así como cualquier forma de maltrato y violencia entre escolares.</w:t>
      </w:r>
    </w:p>
    <w:p w14:paraId="52A2BA4E" w14:textId="77777777" w:rsidR="005348B6" w:rsidRDefault="00927635">
      <w:pPr>
        <w:tabs>
          <w:tab w:val="left" w:pos="982"/>
        </w:tabs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De esta manera resulta evidente que la dirección que desea abordarse para la regeneración de nuestra sociedad es</w:t>
      </w:r>
      <w:r>
        <w:rPr>
          <w:rFonts w:ascii="Century Gothic" w:eastAsia="Century Gothic" w:hAnsi="Century Gothic" w:cs="Century Gothic"/>
        </w:rPr>
        <w:t>tá fundamentada en un análisis de la realidad, la cual ha de transformarse para prevalecer y dignificar nuestras estructuras, tanto internas como colectivas.</w:t>
      </w:r>
    </w:p>
    <w:p w14:paraId="47D21967" w14:textId="77777777" w:rsidR="005348B6" w:rsidRDefault="00927635">
      <w:pPr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Finalmente, la Convención sobre los Derechos del Niño en su Artículo 3º, dice:</w:t>
      </w:r>
    </w:p>
    <w:p w14:paraId="622560CE" w14:textId="77777777" w:rsidR="005348B6" w:rsidRDefault="00927635">
      <w:pPr>
        <w:spacing w:line="360" w:lineRule="auto"/>
        <w:ind w:left="708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>En todas las medida</w:t>
      </w:r>
      <w:r>
        <w:rPr>
          <w:rFonts w:ascii="Century Gothic" w:eastAsia="Century Gothic" w:hAnsi="Century Gothic" w:cs="Century Gothic"/>
        </w:rPr>
        <w:t xml:space="preserve">s concernientes a los niños que tomen las instituciones públicas o privadas de bienestar social, los tribunales, las autoridades administrativas o los órganos legislativos, una consideración primordial a que se atenderá será el interés superior del niño. </w:t>
      </w:r>
    </w:p>
    <w:p w14:paraId="4EFF9740" w14:textId="77777777" w:rsidR="005348B6" w:rsidRDefault="00927635">
      <w:pPr>
        <w:spacing w:line="360" w:lineRule="auto"/>
        <w:ind w:left="708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Los Estados Partes se comprometen a asegurar al niño la protección y el cuidado que sean necesarios para su bienestar, teniendo en cuenta los derechos y deberes de sus padres, tutores u otras personas responsables de él ante la ley y, con ese fin, tomarán </w:t>
      </w:r>
      <w:r>
        <w:rPr>
          <w:rFonts w:ascii="Century Gothic" w:eastAsia="Century Gothic" w:hAnsi="Century Gothic" w:cs="Century Gothic"/>
        </w:rPr>
        <w:t>todas las medidas legislativas y administrativas adecuadas.</w:t>
      </w:r>
      <w:r>
        <w:rPr>
          <w:rFonts w:ascii="Century Gothic" w:eastAsia="Century Gothic" w:hAnsi="Century Gothic" w:cs="Century Gothic"/>
          <w:vertAlign w:val="superscript"/>
        </w:rPr>
        <w:footnoteReference w:id="7"/>
      </w:r>
    </w:p>
    <w:p w14:paraId="5B4F6B4E" w14:textId="77777777" w:rsidR="00884D6F" w:rsidRDefault="00884D6F" w:rsidP="00884D6F">
      <w:pPr>
        <w:spacing w:after="120" w:line="360" w:lineRule="auto"/>
        <w:jc w:val="both"/>
        <w:rPr>
          <w:rFonts w:ascii="Century Gothic" w:hAnsi="Century Gothic"/>
          <w:lang w:val="es-ES"/>
        </w:rPr>
      </w:pPr>
      <w:r w:rsidRPr="00EA1C81">
        <w:rPr>
          <w:rFonts w:ascii="Century Gothic" w:hAnsi="Century Gothic"/>
          <w:lang w:val="es-ES"/>
        </w:rPr>
        <w:t>En virtud de lo anteriormente expuesto, me permito someter a consideración de esta honorable asamblea, el siguiente proyecto con carácter de:</w:t>
      </w:r>
    </w:p>
    <w:p w14:paraId="2B1449C9" w14:textId="77777777" w:rsidR="005348B6" w:rsidRPr="00884D6F" w:rsidRDefault="00927635" w:rsidP="00884D6F">
      <w:pPr>
        <w:spacing w:line="360" w:lineRule="auto"/>
        <w:jc w:val="center"/>
        <w:rPr>
          <w:rFonts w:ascii="Century Gothic" w:eastAsia="Century Gothic" w:hAnsi="Century Gothic" w:cs="Century Gothic"/>
          <w:b/>
          <w:bCs/>
        </w:rPr>
      </w:pPr>
      <w:r w:rsidRPr="00884D6F">
        <w:rPr>
          <w:rFonts w:ascii="Century Gothic" w:eastAsia="Century Gothic" w:hAnsi="Century Gothic" w:cs="Century Gothic"/>
          <w:b/>
          <w:bCs/>
        </w:rPr>
        <w:t>ACUERDO:</w:t>
      </w:r>
    </w:p>
    <w:p w14:paraId="445F6B20" w14:textId="2DA7B008" w:rsidR="005348B6" w:rsidRPr="00884D6F" w:rsidRDefault="00927635">
      <w:pPr>
        <w:spacing w:line="360" w:lineRule="auto"/>
        <w:jc w:val="both"/>
        <w:rPr>
          <w:rFonts w:ascii="Century Gothic" w:eastAsia="Century Gothic" w:hAnsi="Century Gothic" w:cs="Century Gothic"/>
          <w:b/>
        </w:rPr>
      </w:pPr>
      <w:r w:rsidRPr="00884D6F">
        <w:rPr>
          <w:rFonts w:ascii="Century Gothic" w:eastAsia="Century Gothic" w:hAnsi="Century Gothic" w:cs="Century Gothic"/>
          <w:b/>
        </w:rPr>
        <w:t xml:space="preserve">ÚNICO.- </w:t>
      </w:r>
      <w:r w:rsidRPr="00884D6F">
        <w:rPr>
          <w:rFonts w:ascii="Century Gothic" w:eastAsia="Century Gothic" w:hAnsi="Century Gothic" w:cs="Century Gothic"/>
          <w:bCs/>
        </w:rPr>
        <w:t xml:space="preserve">La Sexagésima Séptima Legislatura </w:t>
      </w:r>
      <w:r w:rsidRPr="00884D6F">
        <w:rPr>
          <w:rFonts w:ascii="Century Gothic" w:eastAsia="Century Gothic" w:hAnsi="Century Gothic" w:cs="Century Gothic"/>
          <w:bCs/>
        </w:rPr>
        <w:t xml:space="preserve">exhorta al Poder Ejecutivo Nacional a través de la Secretaría de Educación y al Poder Ejecutivo Estatal a través del titular de la  Secretaría de Educación y Deporte del Estado, a implementar las medidas necesarias para </w:t>
      </w:r>
      <w:bookmarkStart w:id="0" w:name="_GoBack"/>
      <w:r w:rsidRPr="00884D6F">
        <w:rPr>
          <w:rFonts w:ascii="Century Gothic" w:eastAsia="Century Gothic" w:hAnsi="Century Gothic" w:cs="Century Gothic"/>
          <w:bCs/>
        </w:rPr>
        <w:t>la prevención de la violencia escola</w:t>
      </w:r>
      <w:r w:rsidRPr="00884D6F">
        <w:rPr>
          <w:rFonts w:ascii="Century Gothic" w:eastAsia="Century Gothic" w:hAnsi="Century Gothic" w:cs="Century Gothic"/>
          <w:bCs/>
        </w:rPr>
        <w:t>r, desde la perspectiva de género y derechos humanos</w:t>
      </w:r>
      <w:bookmarkEnd w:id="0"/>
      <w:r w:rsidRPr="00884D6F">
        <w:rPr>
          <w:rFonts w:ascii="Century Gothic" w:eastAsia="Century Gothic" w:hAnsi="Century Gothic" w:cs="Century Gothic"/>
          <w:bCs/>
        </w:rPr>
        <w:t>.</w:t>
      </w:r>
    </w:p>
    <w:p w14:paraId="1518FBB3" w14:textId="6DC387FC" w:rsidR="00884D6F" w:rsidRPr="00884D6F" w:rsidRDefault="00884D6F">
      <w:pPr>
        <w:spacing w:line="360" w:lineRule="auto"/>
        <w:jc w:val="both"/>
        <w:rPr>
          <w:rFonts w:ascii="Century Gothic" w:hAnsi="Century Gothic" w:cs="Arial"/>
        </w:rPr>
      </w:pPr>
      <w:r w:rsidRPr="00884D6F">
        <w:rPr>
          <w:rFonts w:ascii="Century Gothic" w:hAnsi="Century Gothic" w:cs="Arial"/>
          <w:b/>
        </w:rPr>
        <w:t>ECONÓMICO:</w:t>
      </w:r>
      <w:r w:rsidRPr="00884D6F">
        <w:rPr>
          <w:rFonts w:ascii="Century Gothic" w:hAnsi="Century Gothic" w:cs="Arial"/>
        </w:rPr>
        <w:t xml:space="preserve"> Aprobado que sea, remítase copia del presente acuerdo, así como de la </w:t>
      </w:r>
      <w:r>
        <w:rPr>
          <w:rFonts w:ascii="Century Gothic" w:hAnsi="Century Gothic" w:cs="Arial"/>
        </w:rPr>
        <w:t>proposición</w:t>
      </w:r>
      <w:r w:rsidRPr="00884D6F">
        <w:rPr>
          <w:rFonts w:ascii="Century Gothic" w:hAnsi="Century Gothic" w:cs="Arial"/>
        </w:rPr>
        <w:t xml:space="preserve"> que le dio origen a la autoridad antes mencionada.</w:t>
      </w:r>
    </w:p>
    <w:p w14:paraId="1B9D92ED" w14:textId="77777777" w:rsidR="005348B6" w:rsidRPr="00884D6F" w:rsidRDefault="00927635">
      <w:pPr>
        <w:spacing w:line="360" w:lineRule="auto"/>
        <w:jc w:val="both"/>
        <w:rPr>
          <w:rFonts w:ascii="Century Gothic" w:eastAsia="Century Gothic" w:hAnsi="Century Gothic" w:cs="Century Gothic"/>
        </w:rPr>
      </w:pPr>
      <w:r w:rsidRPr="00884D6F">
        <w:rPr>
          <w:rFonts w:ascii="Century Gothic" w:eastAsia="Century Gothic" w:hAnsi="Century Gothic" w:cs="Century Gothic"/>
        </w:rPr>
        <w:t>Dado en el Recinto Oficial del Congreso del Estado de Chih</w:t>
      </w:r>
      <w:r w:rsidRPr="00884D6F">
        <w:rPr>
          <w:rFonts w:ascii="Century Gothic" w:eastAsia="Century Gothic" w:hAnsi="Century Gothic" w:cs="Century Gothic"/>
        </w:rPr>
        <w:t>uahua, a los 6 días del mes de septiembre del 2022.</w:t>
      </w:r>
    </w:p>
    <w:p w14:paraId="071A61F2" w14:textId="77777777" w:rsidR="005348B6" w:rsidRDefault="005348B6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1A2C3E35" w14:textId="77777777" w:rsidR="005348B6" w:rsidRDefault="00927635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 T E N T A M E N T E</w:t>
      </w:r>
    </w:p>
    <w:p w14:paraId="2E5B410F" w14:textId="77777777" w:rsidR="005348B6" w:rsidRDefault="005348B6">
      <w:pPr>
        <w:spacing w:after="0" w:line="276" w:lineRule="auto"/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7DDBB310" w14:textId="77777777" w:rsidR="005348B6" w:rsidRDefault="005348B6">
      <w:pPr>
        <w:spacing w:after="0" w:line="276" w:lineRule="auto"/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70716C1D" w14:textId="77777777" w:rsidR="005348B6" w:rsidRDefault="005348B6">
      <w:pPr>
        <w:spacing w:after="0" w:line="276" w:lineRule="auto"/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4A4D85C0" w14:textId="77777777" w:rsidR="005348B6" w:rsidRDefault="005348B6">
      <w:pPr>
        <w:spacing w:after="0" w:line="276" w:lineRule="auto"/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1B110246" w14:textId="77777777" w:rsidR="005348B6" w:rsidRDefault="00927635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>DIP. LETICIA ORTEGA MÁYNEZ</w:t>
      </w:r>
    </w:p>
    <w:p w14:paraId="76910401" w14:textId="77777777" w:rsidR="005348B6" w:rsidRDefault="005348B6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</w:p>
    <w:tbl>
      <w:tblPr>
        <w:tblStyle w:val="a"/>
        <w:tblW w:w="85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60"/>
        <w:gridCol w:w="4244"/>
      </w:tblGrid>
      <w:tr w:rsidR="005348B6" w14:paraId="2C9EE5EE" w14:textId="77777777">
        <w:trPr>
          <w:trHeight w:val="1984"/>
        </w:trPr>
        <w:tc>
          <w:tcPr>
            <w:tcW w:w="4260" w:type="dxa"/>
            <w:vAlign w:val="bottom"/>
          </w:tcPr>
          <w:p w14:paraId="34538CA1" w14:textId="77777777" w:rsidR="005348B6" w:rsidRDefault="00927635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DIP. EDIN CUAUHTÉMOC ESTRADA SOTELO</w:t>
            </w:r>
          </w:p>
        </w:tc>
        <w:tc>
          <w:tcPr>
            <w:tcW w:w="4244" w:type="dxa"/>
            <w:vAlign w:val="bottom"/>
          </w:tcPr>
          <w:p w14:paraId="0446D67B" w14:textId="77777777" w:rsidR="005348B6" w:rsidRDefault="00927635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DIP. ÓSCAR DANIEL AVITIA ARELLANES</w:t>
            </w:r>
          </w:p>
        </w:tc>
      </w:tr>
      <w:tr w:rsidR="005348B6" w14:paraId="6A3A9695" w14:textId="77777777">
        <w:trPr>
          <w:trHeight w:val="1984"/>
        </w:trPr>
        <w:tc>
          <w:tcPr>
            <w:tcW w:w="4260" w:type="dxa"/>
            <w:vAlign w:val="bottom"/>
          </w:tcPr>
          <w:p w14:paraId="66E7AC9B" w14:textId="77777777" w:rsidR="005348B6" w:rsidRDefault="00927635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DIP. ROSANA DÍAZ </w:t>
            </w:r>
          </w:p>
          <w:p w14:paraId="60D5ABA5" w14:textId="77777777" w:rsidR="005348B6" w:rsidRDefault="00927635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REYES</w:t>
            </w:r>
          </w:p>
        </w:tc>
        <w:tc>
          <w:tcPr>
            <w:tcW w:w="4244" w:type="dxa"/>
            <w:vAlign w:val="bottom"/>
          </w:tcPr>
          <w:p w14:paraId="0026C405" w14:textId="77777777" w:rsidR="005348B6" w:rsidRDefault="00927635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DIP. GUSTAVO DE LA ROSA HICKERSON</w:t>
            </w:r>
          </w:p>
        </w:tc>
      </w:tr>
      <w:tr w:rsidR="005348B6" w14:paraId="45842204" w14:textId="77777777">
        <w:trPr>
          <w:trHeight w:val="1984"/>
        </w:trPr>
        <w:tc>
          <w:tcPr>
            <w:tcW w:w="4260" w:type="dxa"/>
            <w:vAlign w:val="bottom"/>
          </w:tcPr>
          <w:p w14:paraId="64AFB6C2" w14:textId="77777777" w:rsidR="005348B6" w:rsidRDefault="00927635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DIP. MAGDALENA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RENTERÍA PÉREZ</w:t>
            </w:r>
          </w:p>
        </w:tc>
        <w:tc>
          <w:tcPr>
            <w:tcW w:w="4244" w:type="dxa"/>
            <w:vAlign w:val="bottom"/>
          </w:tcPr>
          <w:p w14:paraId="44031687" w14:textId="77777777" w:rsidR="005348B6" w:rsidRDefault="00927635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DIP. MARÍA ANTONIETA PÉREZ REYES</w:t>
            </w:r>
          </w:p>
        </w:tc>
      </w:tr>
      <w:tr w:rsidR="005348B6" w14:paraId="22FF730D" w14:textId="77777777">
        <w:trPr>
          <w:trHeight w:val="1984"/>
        </w:trPr>
        <w:tc>
          <w:tcPr>
            <w:tcW w:w="4260" w:type="dxa"/>
            <w:vAlign w:val="bottom"/>
          </w:tcPr>
          <w:p w14:paraId="7919DFA5" w14:textId="77777777" w:rsidR="005348B6" w:rsidRDefault="00927635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DIP. ADRIANA TERRAZAS PORRAS</w:t>
            </w:r>
          </w:p>
        </w:tc>
        <w:tc>
          <w:tcPr>
            <w:tcW w:w="4244" w:type="dxa"/>
            <w:vAlign w:val="bottom"/>
          </w:tcPr>
          <w:p w14:paraId="70A5C83B" w14:textId="77777777" w:rsidR="005348B6" w:rsidRDefault="00927635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DIP. BENJAMÍN CARRERA CHÁVEZ</w:t>
            </w:r>
          </w:p>
        </w:tc>
      </w:tr>
      <w:tr w:rsidR="005348B6" w14:paraId="39E0880E" w14:textId="77777777">
        <w:trPr>
          <w:trHeight w:val="1984"/>
        </w:trPr>
        <w:tc>
          <w:tcPr>
            <w:tcW w:w="4260" w:type="dxa"/>
            <w:vAlign w:val="bottom"/>
          </w:tcPr>
          <w:p w14:paraId="3CED77B0" w14:textId="77777777" w:rsidR="005348B6" w:rsidRDefault="00927635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DIP. DAVID ÓSCAR CASTREJÓN RIVAS</w:t>
            </w:r>
          </w:p>
        </w:tc>
        <w:tc>
          <w:tcPr>
            <w:tcW w:w="4244" w:type="dxa"/>
          </w:tcPr>
          <w:p w14:paraId="7D157D17" w14:textId="77777777" w:rsidR="005348B6" w:rsidRDefault="005348B6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C6CD99C" w14:textId="77777777" w:rsidR="005348B6" w:rsidRDefault="005348B6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6E5120F" w14:textId="77777777" w:rsidR="005348B6" w:rsidRDefault="005348B6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CF2A1DE" w14:textId="77777777" w:rsidR="005348B6" w:rsidRDefault="005348B6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3388203" w14:textId="77777777" w:rsidR="005348B6" w:rsidRDefault="00927635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DIP. ILSE AMÉRICA GARCÍA SOTO</w:t>
            </w:r>
          </w:p>
        </w:tc>
      </w:tr>
    </w:tbl>
    <w:p w14:paraId="75D04831" w14:textId="77777777" w:rsidR="005348B6" w:rsidRDefault="005348B6">
      <w:pPr>
        <w:spacing w:before="280" w:after="28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6E681A" w14:textId="77777777" w:rsidR="005348B6" w:rsidRDefault="005348B6">
      <w:pPr>
        <w:spacing w:after="0"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709C814A" w14:textId="77777777" w:rsidR="005348B6" w:rsidRDefault="00927635">
      <w:pPr>
        <w:spacing w:after="0"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lastRenderedPageBreak/>
        <w:t xml:space="preserve"> </w:t>
      </w:r>
    </w:p>
    <w:p w14:paraId="3F18D78A" w14:textId="77777777" w:rsidR="005348B6" w:rsidRDefault="005348B6">
      <w:pPr>
        <w:rPr>
          <w:b/>
        </w:rPr>
      </w:pPr>
    </w:p>
    <w:sectPr w:rsidR="005348B6">
      <w:headerReference w:type="default" r:id="rId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070AC" w14:textId="77777777" w:rsidR="00927635" w:rsidRDefault="00927635">
      <w:pPr>
        <w:spacing w:after="0" w:line="240" w:lineRule="auto"/>
      </w:pPr>
      <w:r>
        <w:separator/>
      </w:r>
    </w:p>
  </w:endnote>
  <w:endnote w:type="continuationSeparator" w:id="0">
    <w:p w14:paraId="3D384883" w14:textId="77777777" w:rsidR="00927635" w:rsidRDefault="0092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yon Script">
    <w:altName w:val="Times New Roman"/>
    <w:charset w:val="00"/>
    <w:family w:val="auto"/>
    <w:pitch w:val="default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F73EB" w14:textId="77777777" w:rsidR="00927635" w:rsidRDefault="00927635">
      <w:pPr>
        <w:spacing w:after="0" w:line="240" w:lineRule="auto"/>
      </w:pPr>
      <w:r>
        <w:separator/>
      </w:r>
    </w:p>
  </w:footnote>
  <w:footnote w:type="continuationSeparator" w:id="0">
    <w:p w14:paraId="693D2B43" w14:textId="77777777" w:rsidR="00927635" w:rsidRDefault="00927635">
      <w:pPr>
        <w:spacing w:after="0" w:line="240" w:lineRule="auto"/>
      </w:pPr>
      <w:r>
        <w:continuationSeparator/>
      </w:r>
    </w:p>
  </w:footnote>
  <w:footnote w:id="1">
    <w:p w14:paraId="02B2386D" w14:textId="77777777" w:rsidR="005348B6" w:rsidRDefault="00927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PANORAMA ESTADÍSTICO DE LA VIOLENCIA CONTRA NIÑAS, NIÑOS Y ADOLESCENTES EN MÉXICO.   UNICEF para cada niño. Violencia contra las niñas y los 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niños. OPS. https://www.paho.org/es/temas/violencia-contra-ninas-ninos</w:t>
      </w:r>
    </w:p>
  </w:footnote>
  <w:footnote w:id="2">
    <w:p w14:paraId="0A2B6D84" w14:textId="77777777" w:rsidR="005348B6" w:rsidRDefault="00927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PANORAMA ESTADÍSTICO DE LA VIOLENCIA CONTRA NIÑAS, NIÑOS Y ADOLESCENTES EN MÉXICO.   UNICEF para cada niño. https://www.paho.org/es/temas/violencia-contra-ninas-ninos</w:t>
      </w:r>
      <w:r>
        <w:rPr>
          <w:color w:val="000000"/>
          <w:sz w:val="20"/>
          <w:szCs w:val="20"/>
        </w:rPr>
        <w:t xml:space="preserve">  </w:t>
      </w:r>
    </w:p>
  </w:footnote>
  <w:footnote w:id="3">
    <w:p w14:paraId="3F15121C" w14:textId="77777777" w:rsidR="005348B6" w:rsidRDefault="00927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Encuesta sob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re Prevalencia de Violencia Familiar y Sexual en el Municipio de Juárez, Resumen Ejecutivo, OBSERVATORIO Ciudadano, Fideicomiso para la Competitividad y Seguridad Ciudadana (</w:t>
      </w:r>
      <w:r>
        <w:rPr>
          <w:rFonts w:ascii="Century Gothic" w:eastAsia="Century Gothic" w:hAnsi="Century Gothic" w:cs="Century Gothic"/>
          <w:sz w:val="16"/>
          <w:szCs w:val="16"/>
        </w:rPr>
        <w:t>FICOSEC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), julio 2019</w:t>
      </w:r>
    </w:p>
  </w:footnote>
  <w:footnote w:id="4">
    <w:p w14:paraId="26648CA3" w14:textId="77777777" w:rsidR="005348B6" w:rsidRDefault="00927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Programa Protección contra la Violencia https://www.unicef.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org/mexico/protecci%C3%B3n-contra-la-violencia</w:t>
      </w:r>
    </w:p>
  </w:footnote>
  <w:footnote w:id="5">
    <w:p w14:paraId="7A7416EA" w14:textId="77777777" w:rsidR="005348B6" w:rsidRDefault="00927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Echavarría Grajales, Carlos Valerio. Niñez y Juventud. La escuela un escenario de formación y socialización para la construcción de identidad moral, Rev. Latinoamericana de Ciencias Sociales, vol. 1, núm. 2,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2003. https://www.redalyc.org/articulo.oa</w:t>
      </w:r>
    </w:p>
  </w:footnote>
  <w:footnote w:id="6">
    <w:p w14:paraId="529FF6B5" w14:textId="77777777" w:rsidR="005348B6" w:rsidRDefault="00927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La Nueva Escuela Mexicana: principios y orientaciones pedagógicas, Subsecretaría Educación Media Superior</w:t>
      </w:r>
    </w:p>
  </w:footnote>
  <w:footnote w:id="7">
    <w:p w14:paraId="5DC86694" w14:textId="77777777" w:rsidR="005348B6" w:rsidRDefault="00927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Convención sobre los Derechos del Niño, CNDH Fecha de publicación: 25 de enero de 1991.    https://www.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cndh.org.mx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35E16" w14:textId="77777777" w:rsidR="005348B6" w:rsidRDefault="00927635">
    <w:pPr>
      <w:spacing w:after="0" w:line="240" w:lineRule="auto"/>
      <w:jc w:val="right"/>
      <w:rPr>
        <w:rFonts w:ascii="Pinyon Script" w:eastAsia="Pinyon Script" w:hAnsi="Pinyon Script" w:cs="Pinyon Script"/>
        <w:b/>
        <w:i/>
        <w:sz w:val="28"/>
        <w:szCs w:val="28"/>
      </w:rPr>
    </w:pPr>
    <w:r>
      <w:rPr>
        <w:rFonts w:ascii="Pinyon Script" w:eastAsia="Pinyon Script" w:hAnsi="Pinyon Script" w:cs="Pinyon Script"/>
        <w:b/>
        <w:i/>
      </w:rPr>
      <w:t>"</w:t>
    </w:r>
    <w:r>
      <w:rPr>
        <w:rFonts w:ascii="Pinyon Script" w:eastAsia="Pinyon Script" w:hAnsi="Pinyon Script" w:cs="Pinyon Script"/>
        <w:b/>
        <w:i/>
        <w:sz w:val="28"/>
        <w:szCs w:val="28"/>
      </w:rPr>
      <w:t>2022, Año del Centenario de la llegada de la Comunidad Menonita a Chihuahua”</w:t>
    </w:r>
  </w:p>
  <w:p w14:paraId="0B8D42D8" w14:textId="77777777" w:rsidR="005348B6" w:rsidRDefault="005348B6">
    <w:pPr>
      <w:tabs>
        <w:tab w:val="center" w:pos="4252"/>
        <w:tab w:val="right" w:pos="8504"/>
      </w:tabs>
      <w:spacing w:after="0" w:line="240" w:lineRule="auto"/>
      <w:rPr>
        <w:sz w:val="24"/>
        <w:szCs w:val="24"/>
      </w:rPr>
    </w:pPr>
  </w:p>
  <w:p w14:paraId="454A0B92" w14:textId="77777777" w:rsidR="005348B6" w:rsidRDefault="00927635">
    <w:pPr>
      <w:tabs>
        <w:tab w:val="center" w:pos="4252"/>
        <w:tab w:val="right" w:pos="8504"/>
      </w:tabs>
      <w:spacing w:after="0" w:line="240" w:lineRule="auto"/>
      <w:jc w:val="right"/>
      <w:rPr>
        <w:b/>
        <w:i/>
      </w:rPr>
    </w:pPr>
    <w:r>
      <w:rPr>
        <w:rFonts w:ascii="Abadi" w:eastAsia="Abadi" w:hAnsi="Abadi" w:cs="Abadi"/>
        <w:sz w:val="24"/>
        <w:szCs w:val="24"/>
      </w:rPr>
      <w:t>Grupo Parlamentario de MORENA</w:t>
    </w:r>
  </w:p>
  <w:p w14:paraId="44AAB53C" w14:textId="77777777" w:rsidR="005348B6" w:rsidRDefault="005348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B6"/>
    <w:rsid w:val="005348B6"/>
    <w:rsid w:val="0066566B"/>
    <w:rsid w:val="00884D6F"/>
    <w:rsid w:val="00927635"/>
    <w:rsid w:val="009A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5A33"/>
  <w15:docId w15:val="{36579F15-5FF2-4496-8926-52F0A3C8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1910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Priscila Soto Jimenez</cp:lastModifiedBy>
  <cp:revision>2</cp:revision>
  <dcterms:created xsi:type="dcterms:W3CDTF">2022-09-05T21:21:00Z</dcterms:created>
  <dcterms:modified xsi:type="dcterms:W3CDTF">2022-09-05T21:21:00Z</dcterms:modified>
</cp:coreProperties>
</file>