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06" w:rsidRPr="007321AC" w:rsidRDefault="00924206" w:rsidP="007321AC">
      <w:pPr>
        <w:spacing w:after="120" w:line="240" w:lineRule="auto"/>
        <w:rPr>
          <w:rFonts w:ascii="Arial" w:hAnsi="Arial" w:cs="Arial"/>
          <w:b/>
          <w:i/>
          <w:sz w:val="24"/>
          <w:szCs w:val="24"/>
        </w:rPr>
      </w:pPr>
      <w:r w:rsidRPr="007321AC">
        <w:rPr>
          <w:rFonts w:ascii="Arial" w:hAnsi="Arial" w:cs="Arial"/>
          <w:b/>
          <w:i/>
          <w:sz w:val="24"/>
          <w:szCs w:val="24"/>
        </w:rPr>
        <w:t>HONORABLE CONGRESO DEL ESTADO DE CHIHUAHUA</w:t>
      </w:r>
    </w:p>
    <w:p w:rsidR="00924206" w:rsidRPr="007321AC" w:rsidRDefault="00924206" w:rsidP="007321AC">
      <w:pPr>
        <w:spacing w:after="120" w:line="240" w:lineRule="auto"/>
        <w:rPr>
          <w:rFonts w:ascii="Arial" w:hAnsi="Arial" w:cs="Arial"/>
          <w:b/>
          <w:i/>
          <w:sz w:val="24"/>
          <w:szCs w:val="24"/>
        </w:rPr>
      </w:pPr>
      <w:r w:rsidRPr="007321AC">
        <w:rPr>
          <w:rFonts w:ascii="Arial" w:hAnsi="Arial" w:cs="Arial"/>
          <w:b/>
          <w:i/>
          <w:sz w:val="24"/>
          <w:szCs w:val="24"/>
        </w:rPr>
        <w:t>P R E S E N T E.-</w:t>
      </w:r>
    </w:p>
    <w:p w:rsidR="00924206" w:rsidRPr="007321AC" w:rsidRDefault="00924206" w:rsidP="007321AC">
      <w:pPr>
        <w:spacing w:after="120" w:line="240" w:lineRule="auto"/>
        <w:rPr>
          <w:rFonts w:ascii="Arial" w:hAnsi="Arial" w:cs="Arial"/>
          <w:i/>
          <w:sz w:val="24"/>
          <w:szCs w:val="24"/>
        </w:rPr>
      </w:pPr>
    </w:p>
    <w:p w:rsidR="00924206" w:rsidRPr="007321AC" w:rsidRDefault="00924206" w:rsidP="007321AC">
      <w:pPr>
        <w:spacing w:after="120" w:line="240" w:lineRule="auto"/>
        <w:jc w:val="both"/>
        <w:rPr>
          <w:rFonts w:ascii="Arial" w:hAnsi="Arial" w:cs="Arial"/>
          <w:i/>
          <w:color w:val="000000" w:themeColor="text1"/>
          <w:sz w:val="24"/>
          <w:szCs w:val="24"/>
        </w:rPr>
      </w:pPr>
      <w:r w:rsidRPr="007321AC">
        <w:rPr>
          <w:rFonts w:ascii="Arial" w:hAnsi="Arial" w:cs="Arial"/>
          <w:i/>
          <w:sz w:val="24"/>
          <w:szCs w:val="24"/>
        </w:rPr>
        <w:t xml:space="preserve">El suscrito </w:t>
      </w:r>
      <w:r w:rsidRPr="007321AC">
        <w:rPr>
          <w:rFonts w:ascii="Arial" w:hAnsi="Arial" w:cs="Arial"/>
          <w:b/>
          <w:i/>
          <w:sz w:val="24"/>
          <w:szCs w:val="24"/>
        </w:rPr>
        <w:t>Omar Bazán Flores</w:t>
      </w:r>
      <w:r w:rsidRPr="007321AC">
        <w:rPr>
          <w:rFonts w:ascii="Arial" w:hAnsi="Arial" w:cs="Arial"/>
          <w:i/>
          <w:sz w:val="24"/>
          <w:szCs w:val="24"/>
        </w:rPr>
        <w:t>, Diputado de la LXVI</w:t>
      </w:r>
      <w:r w:rsidR="00FA4180" w:rsidRPr="007321AC">
        <w:rPr>
          <w:rFonts w:ascii="Arial" w:hAnsi="Arial" w:cs="Arial"/>
          <w:i/>
          <w:sz w:val="24"/>
          <w:szCs w:val="24"/>
        </w:rPr>
        <w:t>I</w:t>
      </w:r>
      <w:r w:rsidRPr="007321AC">
        <w:rPr>
          <w:rFonts w:ascii="Arial" w:hAnsi="Arial" w:cs="Arial"/>
          <w:i/>
          <w:sz w:val="24"/>
          <w:szCs w:val="24"/>
        </w:rPr>
        <w:t xml:space="preserve"> Legislatura del Honorable Congreso del Estado, integrante al grupo parlamentario del Partido Revolucionario Institucional, </w:t>
      </w:r>
      <w:r w:rsidRPr="007321AC">
        <w:rPr>
          <w:rFonts w:ascii="Arial" w:hAnsi="Arial" w:cs="Arial"/>
          <w:i/>
          <w:color w:val="000000" w:themeColor="text1"/>
          <w:sz w:val="24"/>
          <w:szCs w:val="24"/>
        </w:rPr>
        <w:t>con fundamento en el artículo 68 Fracción I de la Cons</w:t>
      </w:r>
      <w:r w:rsidR="00FA4180" w:rsidRPr="007321AC">
        <w:rPr>
          <w:rFonts w:ascii="Arial" w:hAnsi="Arial" w:cs="Arial"/>
          <w:i/>
          <w:color w:val="000000" w:themeColor="text1"/>
          <w:sz w:val="24"/>
          <w:szCs w:val="24"/>
        </w:rPr>
        <w:t xml:space="preserve">titución Política del Estado </w:t>
      </w:r>
      <w:r w:rsidRPr="007321AC">
        <w:rPr>
          <w:rFonts w:ascii="Arial" w:hAnsi="Arial" w:cs="Arial"/>
          <w:i/>
          <w:color w:val="000000" w:themeColor="text1"/>
          <w:sz w:val="24"/>
          <w:szCs w:val="24"/>
        </w:rPr>
        <w:t xml:space="preserve">y 167 fracción I y 168 de la Ley Orgánica del Poder Legislativo para el Estado de Chihuahua,  comparezco ante esta Honorable Representación Popular para someter a su consideración  la presente iniciativa </w:t>
      </w:r>
      <w:r w:rsidRPr="007321AC">
        <w:rPr>
          <w:rFonts w:ascii="Arial" w:hAnsi="Arial" w:cs="Arial"/>
          <w:i/>
          <w:sz w:val="24"/>
          <w:szCs w:val="24"/>
        </w:rPr>
        <w:t xml:space="preserve">con carácter </w:t>
      </w:r>
      <w:r w:rsidR="003452EE" w:rsidRPr="007321AC">
        <w:rPr>
          <w:rFonts w:ascii="Arial" w:hAnsi="Arial" w:cs="Arial"/>
          <w:i/>
          <w:sz w:val="24"/>
          <w:szCs w:val="24"/>
        </w:rPr>
        <w:t xml:space="preserve">de decreto para aprobar </w:t>
      </w:r>
      <w:r w:rsidRPr="007321AC">
        <w:rPr>
          <w:rFonts w:ascii="Arial" w:hAnsi="Arial" w:cs="Arial"/>
          <w:i/>
          <w:color w:val="000000" w:themeColor="text1"/>
          <w:sz w:val="24"/>
          <w:szCs w:val="24"/>
        </w:rPr>
        <w:t xml:space="preserve">el </w:t>
      </w:r>
      <w:r w:rsidRPr="007321AC">
        <w:rPr>
          <w:rFonts w:ascii="Arial" w:hAnsi="Arial" w:cs="Arial"/>
          <w:b/>
          <w:bCs/>
          <w:i/>
          <w:color w:val="000000" w:themeColor="text1"/>
          <w:sz w:val="24"/>
          <w:szCs w:val="24"/>
        </w:rPr>
        <w:t xml:space="preserve">PUNTO DE ACUERDO que se propone emita este H. Congreso del Estado de Chihuahua, </w:t>
      </w:r>
      <w:r w:rsidRPr="007321AC">
        <w:rPr>
          <w:rFonts w:ascii="Arial" w:hAnsi="Arial" w:cs="Arial"/>
          <w:i/>
          <w:color w:val="000000" w:themeColor="text1"/>
          <w:sz w:val="24"/>
          <w:szCs w:val="24"/>
        </w:rPr>
        <w:t>por lo que me permito someter ante Ustedes la siguiente:</w:t>
      </w:r>
    </w:p>
    <w:p w:rsidR="007321AC" w:rsidRDefault="007321AC" w:rsidP="007321AC">
      <w:pPr>
        <w:spacing w:after="120" w:line="240" w:lineRule="auto"/>
        <w:jc w:val="center"/>
        <w:rPr>
          <w:rFonts w:ascii="Arial" w:hAnsi="Arial" w:cs="Arial"/>
          <w:b/>
          <w:i/>
          <w:sz w:val="24"/>
          <w:szCs w:val="24"/>
        </w:rPr>
      </w:pPr>
    </w:p>
    <w:p w:rsidR="003452EE" w:rsidRDefault="003452EE" w:rsidP="007321AC">
      <w:pPr>
        <w:spacing w:after="120" w:line="240" w:lineRule="auto"/>
        <w:jc w:val="center"/>
        <w:rPr>
          <w:rFonts w:ascii="Arial" w:hAnsi="Arial" w:cs="Arial"/>
          <w:b/>
          <w:i/>
          <w:sz w:val="24"/>
          <w:szCs w:val="24"/>
        </w:rPr>
      </w:pPr>
      <w:r w:rsidRPr="007321AC">
        <w:rPr>
          <w:rFonts w:ascii="Arial" w:hAnsi="Arial" w:cs="Arial"/>
          <w:b/>
          <w:i/>
          <w:sz w:val="24"/>
          <w:szCs w:val="24"/>
        </w:rPr>
        <w:t>EXPOSICIÓN DE MOTIVOS</w:t>
      </w:r>
    </w:p>
    <w:p w:rsidR="007321AC" w:rsidRPr="007321AC" w:rsidRDefault="007321AC" w:rsidP="007321AC">
      <w:pPr>
        <w:spacing w:after="120" w:line="240" w:lineRule="auto"/>
        <w:jc w:val="center"/>
        <w:rPr>
          <w:rFonts w:ascii="Arial" w:hAnsi="Arial" w:cs="Arial"/>
          <w:b/>
          <w:i/>
          <w:sz w:val="24"/>
          <w:szCs w:val="24"/>
        </w:rPr>
      </w:pP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La Corte Interamericana de Derechos Humanos es un órgano judicial de la Organización de los Estados Americanos que goza de autonomía frente a los demás órganos de aquella y que tiene su sede en San José de Costa Rica. Su propósito es aplicar e interpretar la Convención Americana sobre Derechos Humanos y otros tratados de derechos humanos a los cuales se somete el llamado Sistema Interamericano de Derechos Humanos.</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En noviembre de 1969 se celebró en San José de Costa Rica la Conferencia Especializada Interamericana sobre Derechos Humanos. En ella, los delegados de los Estados Miembros de la Organización de los Estados Americanos redactaron la Convención Americana sobre Derechos Humanos, que entró en vigor el 18 de julio de 1978, al haber sido depositado el undécimo instrumento de ratificación por</w:t>
      </w:r>
      <w:r w:rsidR="00924206" w:rsidRPr="007321AC">
        <w:rPr>
          <w:rFonts w:ascii="Arial" w:hAnsi="Arial" w:cs="Arial"/>
          <w:i/>
          <w:sz w:val="24"/>
          <w:szCs w:val="24"/>
        </w:rPr>
        <w:t xml:space="preserve"> un Estado Miembro de la OEA.</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A la fecha, veinticinco naciones americanas han ratificado o se han adherido a la Convención: Argentina, Barbados, Bolivia, Brasil, Colombia, Costa Rica, Chile, Dominica, Ecuador, El Salvador, Granada, Guatemala, Haití, Honduras, Jamaica, México, Nicaragua, Panamá, Paraguay, Perú, República Dominicana, Surinam, Trinidad y Tobago, Uruguay y Venezuela.</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Trinidad y Tobago denunció la Convención Americana sobre Derechos Humanos, por comunicación dirigida al Secretario General de la OEA, el 26 de mayo de 1998. Venezuela denunció la Convención Americana sobre Derechos Humanos, por comunicación dirigida al Secretario General de la OEA, el 10 de septiembre de 2012.</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lastRenderedPageBreak/>
        <w:t xml:space="preserve">Este tratado regional es obligatorio para aquellos Estados que lo ratifiquen o se adhieran a él y representa la culminación de un proceso que se inició a finales de la Segunda Guerra Mundial, cuando las naciones de América se reunieron en México y decidieron que una declaración sobre derechos humanos debería ser redactada, para que pudiese ser eventualmente adoptada como convención. Tal declaración, la Declaración Americana de los Derechos y Deberes de la persona, fue aprobada por los Estados Miembros de la OEA en Bogotá, Colombia, en mayo de 1948.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Con el fin de salvaguardar los derechos esenciales del hombre en el continente americano, la Convención instrumentó dos órganos competentes para conocer de las violaciones a los derechos humanos: La Comisión Interamericana de Derechos Humanos y la Corte Interamericana de Derechos Humanos. La primera había sido creada en 1959 e inició sus funciones en 1960, cuando el Consejo de la OEA aprobó su Estatuto y eligió sus primeros miembros.</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Básicamente, conoce los casos en que se alegue que uno de los Estados partes ha violado un derecho o libertad protegidos por la Convención, siendo necesario que se hayan agotados los procedimientos previstos en la misma, tales como el agotamiento de los recursos internos.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Las personas, grupos o entidades que no son Estados no tienen capacidad de presentar casos ante la Corte, pero sí pueden recurrir ante la Comisión Interamericana de Derechos Humanos. La Comisión puede llevar un asunto ante la Corte, siempre que el Estado cuestionado haya aceptado la competencia de esta. De todas maneras, la Comisión debe comparecer en todos los casos ante la Corte.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El procedimiento ante la Corte es de carácter contradictorio. Termina con una sentencia motivada, obligatoria, definitiva e inapelable. Si el fallo no expresa en todo o en parte la opinión unánime de los jueces, cualquiera de estos tiene derecho a que se agregue al fallo su opinión disidente o individual.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En caso de desacuerdo sobre el sentido o alcance del fallo, la Corte lo interpretará a solicitud de cualquiera de las partes, siempre que dicha solicitud se presente dentro de los noventa días a partir de la fecha de la notificación del fallo.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Por medio de esta función, los Estados miembros de la OEA pueden consultar a la Corte acerca de la interpretación de la Convención Americana de Derechos Humanos o de otros tratados concernientes a la protección de los derechos humanos en los Estados americanos. Además, pueden consultarla, en los que les compete, los órganos de la Organización de los Estados Americanos.</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lastRenderedPageBreak/>
        <w:t xml:space="preserve">Así mismo la Corte, a solicitud de un Estado miembro de la OEA, puede darle a tal Estado opiniones acerca de la compatibilidad entre cualquiera de sus leyes internas y los mencionados instrumentos internacionales.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La función consultiva de la Corte Interamericana de Derechos Humanos ha generado debates muy interesantes sobre los efectos de las opiniones consultivas y sobre la aplicación de esas opiniones por parte de los tribunales nacionales.</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En el informe Aprobado por la Comisión Interamericana de Derechos Humanos el 31 de diciembre de 2015, </w:t>
      </w:r>
      <w:r w:rsidR="00924206" w:rsidRPr="007321AC">
        <w:rPr>
          <w:rFonts w:ascii="Arial" w:hAnsi="Arial" w:cs="Arial"/>
          <w:i/>
          <w:sz w:val="24"/>
          <w:szCs w:val="24"/>
        </w:rPr>
        <w:t xml:space="preserve">se establece que </w:t>
      </w:r>
      <w:r w:rsidRPr="007321AC">
        <w:rPr>
          <w:rFonts w:ascii="Arial" w:hAnsi="Arial" w:cs="Arial"/>
          <w:i/>
          <w:sz w:val="24"/>
          <w:szCs w:val="24"/>
        </w:rPr>
        <w:t xml:space="preserve">debe analizarse dentro del contexto objetivo </w:t>
      </w:r>
      <w:r w:rsidR="00924206" w:rsidRPr="007321AC">
        <w:rPr>
          <w:rFonts w:ascii="Arial" w:hAnsi="Arial" w:cs="Arial"/>
          <w:i/>
          <w:sz w:val="24"/>
          <w:szCs w:val="24"/>
        </w:rPr>
        <w:t>d</w:t>
      </w:r>
      <w:r w:rsidRPr="007321AC">
        <w:rPr>
          <w:rFonts w:ascii="Arial" w:hAnsi="Arial" w:cs="Arial"/>
          <w:i/>
          <w:sz w:val="24"/>
          <w:szCs w:val="24"/>
        </w:rPr>
        <w:t xml:space="preserve">el marco constitucional mexicano en función de la realidad del país, </w:t>
      </w:r>
      <w:r w:rsidR="00924206" w:rsidRPr="007321AC">
        <w:rPr>
          <w:rFonts w:ascii="Arial" w:hAnsi="Arial" w:cs="Arial"/>
          <w:i/>
          <w:sz w:val="24"/>
          <w:szCs w:val="24"/>
        </w:rPr>
        <w:t xml:space="preserve">para que </w:t>
      </w:r>
      <w:r w:rsidRPr="007321AC">
        <w:rPr>
          <w:rFonts w:ascii="Arial" w:hAnsi="Arial" w:cs="Arial"/>
          <w:i/>
          <w:sz w:val="24"/>
          <w:szCs w:val="24"/>
        </w:rPr>
        <w:t>se pueda contrastar los efectos nocivos de violarlo en aras de un supuesto beneficio que sería combatir la crisis de</w:t>
      </w:r>
      <w:r w:rsidR="00924206" w:rsidRPr="007321AC">
        <w:rPr>
          <w:rFonts w:ascii="Arial" w:hAnsi="Arial" w:cs="Arial"/>
          <w:i/>
          <w:sz w:val="24"/>
          <w:szCs w:val="24"/>
        </w:rPr>
        <w:t xml:space="preserve"> inseguridad que padece el país, ello antes de que existiera la Guardia Nacional creada por López Obrador.</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El referido informe hace énfasis en desapariciones forzadas, ejecuciones extrajudiciales y tortura, así como la situación de inseguridad ciudadana, el acceso a la justicia e impunidad, y la situación de periodistas, defensores y defensoras de derechos humanos y otros grupos especialmente afectados por el contexto de violencia de México.</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Dentro del apartado “VIOLENCIA Y SEGURIDAD CIUDADANA”, destacan como en México se ha buscado aumentar  la participación de la</w:t>
      </w:r>
      <w:r w:rsidR="00924206" w:rsidRPr="007321AC">
        <w:rPr>
          <w:rFonts w:ascii="Arial" w:hAnsi="Arial" w:cs="Arial"/>
          <w:i/>
          <w:sz w:val="24"/>
          <w:szCs w:val="24"/>
        </w:rPr>
        <w:t>s</w:t>
      </w:r>
      <w:r w:rsidRPr="007321AC">
        <w:rPr>
          <w:rFonts w:ascii="Arial" w:hAnsi="Arial" w:cs="Arial"/>
          <w:i/>
          <w:sz w:val="24"/>
          <w:szCs w:val="24"/>
        </w:rPr>
        <w:t xml:space="preserve"> fuerzas armadas en tareas de seguridad pública, lo que en términos de seguridad ciudadana tiene aspectos y efectos negativos, sobre todo cuando ello se convierte en una práctica generalizada y no excepcional.</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El informe señala lo siguiente:</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“A. Situación de violencia y violaciones a los derechos humanos.</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87. Como parte de la “guerra contra el narcotráfico” iniciada a partir del 2006, las autoridades mexicanas optaron por aumentar el rol de las Fuerzas Armadas – particularmente la SEDENA y la SEMAR – en tareas de seguridad pública, incluyendo una política de confrontación contra el crimen organizado y el despliegue de operativos conjuntos entre la fuerzas armadas y las instituciones de seguridad estatales y municipales. Esta situación habría desatado mayor violencia así como violaciones graves a los derechos humanos e impunidad. A pesar del cambio de gobierno en diciembre de 2012 y del cambio en el discurso oficial dejando de lado el concepto de “guerra” en los pronunciamientos públicos, no habrían cambios sustanciales en relación a las políticas de seguridad en la práctica y a la violencia que éstas desencadenan.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lastRenderedPageBreak/>
        <w:t xml:space="preserve">88. Este contexto de lucha contra el narcotráfico y la consecuente militarización de zonas del país ha resultado en varias ocasiones en un incremento de la violencia y de las violaciones a los derechos humanos, así como en mayores niveles de impunidad. Es decir, la atribución a las fuerzas armadas de roles que corresponderían a las fuerzas policiales civiles y el despliegue de operativos conjuntos entre las fuerzas armadas y las instituciones de seguridad estatales y municipales en distintas partes del país, han dado lugar a mayores violaciones de derechos humanos.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89. Según organizaciones de la sociedad civil, mientras que en el 2007 habían 45.850 agentes de las fuerzas armadas en tareas de seguridad pública, para el 2011 habían 96.261. Según información en prensa, en lo que va del presente Gobierno, las compras de armas se habrían incrementado 100 veces más que en los gobiernos anteriores. A la fecha no se tiene conocimiento de algún plan del Gobierno de México respecto del retiro gradual de las Fuerzas Armadas en tareas de seguridad ciudadana. Por el contrario, en el tercer informe de Gobierno de septiembre de 2015, el Presidente reiteró que el trabajo de las fuerzas armadas en tareas de seguridad pública continuará. La CIDH considera indispensable que el Gobierno federal presente un plan concreto y por escrito sobre el retiro gradual de estas tareas, que por su naturaleza corresponderían a la policía.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90. En sus observaciones al proyecto del presente informe, el Estado indicó que la división territorial, el despliegue y las acciones implementadas por las fuerzas armadas obedecen al cumplimiento de las misiones generales que tienen señaladas en materia de defensa exterior y seguridad interior de la nación, así como para apoyar a la población civil en casos de desastres y necesidades públicas. Informó que las Fuerzas Armadas apoyan a la autoridad civil de los tres órdenes de gobierno en acciones de seguridad pública para proteger a las personas y sus bienes, a petición expresa, fundada y motivada de las mismas, sin sustituirlas en sus funciones. En ese sentido, el despliegue de las Fuerzas Armadas Mexicanas “responde a garantizar la seguridad de la población y preservar el Estado de Derecho, y no como se afirma de responder a una política encaminada a cometer ataques generalizados contra de la población civil”. El Estado asimismo destacó las tesis jurisprudenciales 36/2000, 37/2000 y 38/2000 de la SCJN que establecen que es legal la participación de las Fuerzas Armadas en funciones de seguridad pública, en apoyo a las autoridades civiles. Previa petición fundada y motivada, cuando acrediten que han sido rebasadas en su capacidad de reacción, por la delincuencia organizada, con estricto apego a derecho, respetando las garantías individuales de los gobernados.</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lastRenderedPageBreak/>
        <w:t xml:space="preserve">91. Frente la situación de militarización que atraviesa México, la Comisión Interamericana manifiesta su preocupación ante la participación de las fuerzas armadas en tareas profesionales que, por su naturaleza, corresponderían exclusivamente a las fuerzas policiales. En reiteradas ocasiones, la Comisión y la Corte han señalado que, dado que las fuerzas armadas carecen del entrenamiento adecuado para el control de la seguridad ciudadana, corresponde a una fuerza policial civil, eficiente y respetuosa de los derechos humanos combatir la inseguridad, la delincuencia y la violencia en el ámbito interno. Conforme la Comisión estableció en su informe sobre Seguridad Ciudadana, una política pública sobre seguridad ciudadana, que se constituya en una herramienta eficiente para que los Estados Miembros cumplan adecuadamente sus obligaciones de respetar y garantizar los derechos humanos de todas las personas que habitan en su territorio, debe contar con una institucionalidad y una estructura operativa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92. En el continente Americano, la experiencia demuestra que la intervención de las fuerzas armadas en tareas de seguridad interna en general viene acompañada de violencia y graves violaciones a los derechos humanos. Ya desde su visita in loco a México en 1998, la CIDH expresó su preocupación por la utilización de miembros de las fuerzas armadas en ejercicios de funciones policiales. Previo a su visita in loco en 2015, la CIDH recibió información sobre un acuerdo celebrado ente la SEDENA y gobiernos municipales y estatales de Nuevo León, Tamaulipas y San Luis Potosí sobre una policía militar de 3.200 efectivos que operaría en estos estados. Durante la visita, representantes federales y estatales aseguraron a la CIDH que ese acuerdo se referiría únicamente a la construcción de instalaciones, y no a la participación adicional de militares en actividades de seguridad ciudadana. La Comisión seguirá de cerca la implementación de dicho acuerdo y sus alcances.</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93. Este marco de confrontación con el crimen organizado, y la consecuente militarización, ha dado lugar al incremento en el uso excesivo de la fuerza. Especialistas del Centro de Investigación y Docencia Económicas (CIDE) y del Instituto de Investigaciones Jurídicas de la Universidad Nacional Autónoma de México (UNAM) realizaron un análisis del índice de letalidad, que es el número de civiles muertos por cada civil herido en situaciones calificadas por las autoridades como “enfrentamientos”. Estos índices resultan alarmantemente altos en México. El investigador que diseñó el índice de letalidad señala que “cualquier cociente superior a 1 estará apuntando a un abuso de la fuerza y a la existencia de  “ejecuciones sumarias”. Esto porque en enfrentamientos auténticos, suele haber más </w:t>
      </w:r>
      <w:r w:rsidRPr="007321AC">
        <w:rPr>
          <w:rFonts w:ascii="Arial" w:hAnsi="Arial" w:cs="Arial"/>
          <w:i/>
          <w:sz w:val="24"/>
          <w:szCs w:val="24"/>
        </w:rPr>
        <w:lastRenderedPageBreak/>
        <w:t xml:space="preserve">gente herida que muerta, ya que la policía, al hacer uso de la fuerza de forma legítima, busca incapacitar y no matar. Según el informe, en México el índice de letalidad del ejército fue de 7.7 civiles muertos por cada civil herido en 2013 y 11.6 en el primer trimestre de 2014. Tomando datos de prensa, el índice de letalidad arroja en términos generales la tendencia de los datos oficiales. Ambos – datos oficiales y de prensa- indican que la letalidad en enfrentamientos de la SEDENA tuvo el valor más elevado en 2011 y 2012, pero el descenso posterior arroja valores elevados del índice en un contexto donde la información oficial ya no se estaría registrando o haciendo pública. La Secretaría de la Defensa Nacional informó que “a partir del 6 de abril de 2014, ya no se le da continuidad a dicha estadística, en relación de no ser necesaria para esta dependencia del Ejecutivo federal, debido a que […] el personal de esta Secretaría, después de repeler una agresión, se limita únicamente a preservar el lugar de los hechos y una vez que hacen presencia las autoridades competentes se desliga de los procesos de investigación correspondientes”.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94. Además de las fuerzas armadas, la CIDH toma en cuenta que este problema afecta también a las fuerzas policiales: federales, estatales y municipales. En el caso de la Policía Federal por ejemplo, según datos oficiales, el índice de letalidad tuvo valores bajos hasta 2010 y creció hasta el 2013 hasta llegar a 20.2 civiles muertos por cada herido127. En el 2014 según cifras oficiales habría un descenso a 4.6 civiles muertos por cada herido, mientras que el Informe realizado por los Especialistas del Centro de Investigación y Docencia Económicas (CIDE) y del Instituto de Investigaciones Jurídicas de la Universidad Nacional Autónoma de México (UNAM) indicaron que conforme a datos de prensa el índice de letalidad para el 2014 sería de 25.5128.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95. Como se señaló en el capítulo II, los niveles de violencia e inseguridad que atraviesa México también obedecen a la falta de una respuesta estatal efectiva frente al crimen organizado que actúa por interés propio, situación que se ha complejizado cuando actúa en colusión con funcionarios y autoridades del Estado, muy en particular a nivel municipal y estatal. En estos casos la ciudadanía queda en total indefensión frente a la violencia así como en su acceso a la justicia. El caso de Ayotzinapa que se analiza más adelante, es un claro ejemplo de ello.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96. Como ha señalado en ocasiones anteriores, la Comisión reitera que las obligaciones asumidas por los Estados exigen políticas públicas sobre seguridad y combate al crimen que prioricen el funcionamiento de una </w:t>
      </w:r>
      <w:r w:rsidRPr="007321AC">
        <w:rPr>
          <w:rFonts w:ascii="Arial" w:hAnsi="Arial" w:cs="Arial"/>
          <w:i/>
          <w:sz w:val="24"/>
          <w:szCs w:val="24"/>
        </w:rPr>
        <w:lastRenderedPageBreak/>
        <w:t>estructura institucional eficiente. Ésta debe garantizar a la población el efectivo ejercicio de los derechos humanos relacionados con la prevención y el control de la violencia y el delito, incluido el crimen organizado129.  97. En cuanto al fortalecimiento de cuerpos civiles de seguridad, en sus observaciones al proyecto del presente informe, el Estado manifestó que en agosto de 2014, el estado de fuerza de la Policía Federal se incrementó en cinco mil elementos, al conformarse la séptima división de la corporación “División de Gendarmería”. Según el Estado, este crecimiento en el personal de seguridad no militar del Gobierno de la República, “contribuye al esfuerzo del Estado mexicano por tener más y mejores recursos humanos, técnicos y logísticos para hacer frente a la delincuencia organizada en zonas con mayores necesidades de atención y donde es necesario seguir trabajando en la consolidación de las instituciones locales”130. 98. En la siguiente sección, la Comisión analiza algunas graves violaciones de derechos humanos en México tales como las desapariciones y ejecuciones extrajudiciales como producto de la situación de violencia e inseguridad que atraviesa el país.”</w:t>
      </w:r>
    </w:p>
    <w:p w:rsidR="003E68A8" w:rsidRPr="007321AC" w:rsidRDefault="003E68A8" w:rsidP="007321AC">
      <w:pPr>
        <w:spacing w:after="120" w:line="240" w:lineRule="auto"/>
        <w:jc w:val="both"/>
        <w:rPr>
          <w:rFonts w:ascii="Arial" w:hAnsi="Arial" w:cs="Arial"/>
          <w:i/>
          <w:sz w:val="24"/>
          <w:szCs w:val="24"/>
        </w:rPr>
      </w:pP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La Corte Interamericana a lo largo de su jurisprudencia se ha pronunciado en relación a la presencia de las fuerzas armadas en tareas de seguridad nacional.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Desde el caso Cantoral Benavides Vs. Perú la Corte ha establecido que si bien “en determinados estados de emergencia o en situaciones de alteración del orden público los Estados utilizan las Fuerzas Armadas para controlar la situación (…) resulta absolutamente necesario enfatizar en el extremo cuidado que los Estados deben observar al utilizar las Fuerzas Armadas como elemento de control de la protesta social, disturbios internos, violencia interna, situaciones excepcionales y criminalidad común (…)”.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“Los Estados deben limitar al máximo el uso de las fuerzas armadas para el control de disturbios internos, puesto que el entrenamiento que reciben está dirigido a derrotar al enemigo, y no a la protección y control de civiles, entrenamiento que es propio de los entes policiales”. El deslinde de las funciones militares y de policía debe guiar el estricto cumplimiento del deber de prevención y protección de los derechos en riesgo, a cargo de las autoridades internas”.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Asimismo, recientemente el Tribunal desarrolló el tema de la participación de las fuerzas armadas precisamente en los casos mexicanos Inés Fernández Ortega y </w:t>
      </w:r>
      <w:r w:rsidRPr="007321AC">
        <w:rPr>
          <w:rFonts w:ascii="Arial" w:hAnsi="Arial" w:cs="Arial"/>
          <w:i/>
          <w:sz w:val="24"/>
          <w:szCs w:val="24"/>
        </w:rPr>
        <w:lastRenderedPageBreak/>
        <w:t xml:space="preserve">Cabrera García y Montiel Flores al constatar en el caso del Estado mexicano que la presencia del Ejército cumpliendo labores policiales en Guerrero ha sido un tema controvertido en relación con los derechos y libertades individuales y comunitarias, y ha colocado a la población en una situación de vulnerabilidad.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La Corte consideró en el caso Cabrera García y Montiel Flores, que en algunos contextos y circunstancias, la alta presencia militar acompañada de intervención de las Fuerzas Armadas en actividades de seguridad pública, puede implicar la introducción de un riesgo para los derechos humanos.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Además señaló que organismos internacionales que han analizado las implicaciones de permitir que cuerpos militares realicen funciones de policía judicial, como el Comité de Derechos Humanos de Naciones Unidas y el Relator Especial sobre la Independencia de Magistrados y Abogados, han manifestado su preocupación por el hecho de que los militares ejerzan funciones de investigación, arresto, detención e interrogatorio de civiles, y han indicado que las funciones de                                                           la policía judicial deberían estar exclusivamente a cargo de una entidad civil. […] De esta forma se respetaría la independencia de las investigaciones y se mejoraría mucho el acceso a la justicia por parte de las víctimas y testigos de violaciones de derechos humanos, cuyas denuncias suelen ser investigadas actualmente por las mismas instituciones a las que acusan de perpetrar esas violaciones”.</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La Corte concluyó en el caso Cabrera García y Montiel Flores que la posibilidad de otorgar a las Fuerzas Armadas funciones dirigidas a la restricción de la libertad personal de civiles, además de atender a los requisitos de estricta proporcionalidad en la restricción de un derecho, debe responder, a su vez, a criterios estrictos de excepcionalidad y debida diligencia en la salvaguarda de las garantías convencionales, teniendo en cuenta, que el régimen propio de las fuerzas militares al cual difícilmente pueden sustraerse sus miembros, no se concilia con las funciones propias de las autoridades civiles.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Estos criterios fueron retomados en la sentencia emitida por la Suprema Corte de Justicia de la Nación al resolver las acciones de inconstitucionalidad 6/2018 y sus acumuladas 8/2018, 9/2018, 10/2018 y 11/2018, promovidas en contra de la Ley de Seguridad Interior, sostuvo entre otras cosas que retomando la acción de inconstitucionalidad 1/1996, concluye del análisis del artículo 21 de la Constitución Federal, vigente al momento de dicha sentencia constitucional, se desprendía con claridad, que el propósito del Constituyente Permanente, al establecer un Sistema Nacional de Seguridad Pública, era hacer frente a la delincuencia organizada, articulando en su contra a todas las autoridades del Estado mexicano en sus tres niveles de gobierno, sin excluir a ninguna de las que tengan dentro de sus atribuciones, coadyuvar a lograr los objetivos de seguridad pública traducidos en </w:t>
      </w:r>
      <w:r w:rsidRPr="007321AC">
        <w:rPr>
          <w:rFonts w:ascii="Arial" w:hAnsi="Arial" w:cs="Arial"/>
          <w:i/>
          <w:sz w:val="24"/>
          <w:szCs w:val="24"/>
        </w:rPr>
        <w:lastRenderedPageBreak/>
        <w:t xml:space="preserve">libertad, orden y paz pública como condiciones imprescindibles para gozar de las garantías que la Constitución reconoce a los gobernados. Asimismo, se advierte que del texto literal o de la interpretación gramatical del artículo 21 constitucional, no se puede desprender la exclusión expresa o tácita de alguna autoridad.  En ese mismo precedente, respecto al artículo 129 constitucional precisó que una de las preocupaciones fundamentales que se dejaron sentir fue que el Ejército no interviniera por sí y ante sí en cuestiones de carácter civil; sin embargo, concluyó que su interpretación no lleva a la conclusión de que el Ejército no pueda actuar en auxilio de las autoridades civiles y de restringir el concepto de disciplina militar a actividades que no trasciendan de los cuarteles. La intención del legislador Constituyente se dirigió a establecer que cuando se invoque la necesidad de contar con el apoyo de la fuerza militar ésta pueda actuar en apoyo de las autoridades civiles. En tiempo de paz los militares están constitucionalmente facultados para auxiliar o apoyar a las autoridades civiles, a petición expresa de ellas y sin usurpar su esfera de competencia.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En el fallo que se comenta la Suprema Corte de Justicia de la Nación señaló que los criterios de la Corte Interamericana sirven de parámetros para analizar si la Ley de Seguridad Interior era inconstitucional:</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“A mayor abundamiento, conviene recordar que la jurisprudencia de la Corte Interamericana no prohíbe de manera absoluta el uso de Fuerzas Armadas para atender situaciones de carácter excepcional.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Claramente en el caso Zambrano Vélez y otros contra Ecuador, precisó en el párrafo 51 de su sentencia que en determinadas situaciones de alteración del orden público los Estados utilizan las Fuerzas Armadas para controlar la situación, motivo por el cual impone el extremo cuidado que los Estados deben observar al utilizar Fuerzas Armadas, en atención al entrenamiento que reciben; argumento conforme al cual se advierte la inexistencia de una prohibición absoluta en el uso de Fuerzas Armadas y la existencia de una permisión en la que deben cumplirse requisitos que garanticen un uso excepcional.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En esa línea, en casos como Radilla Pacheco contra México, se aborda el tema del fuero militar y los alcances de la justicia penal militar, conforme a lo cual considera el alcance restrictivo y excepcional de la misma, atendiendo a que dichas fuerzas actúan realizando acciones de protección a la población civil; por lo que el fuero civil se constituye en un límite para juzgar acciones en contra de civiles por parte de las Fuerzas Armadas.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lastRenderedPageBreak/>
        <w:t xml:space="preserve">Aunado a ello, la Corte Interamericana ha establecido que el uso de la fuerza debe cumplir con los siguientes requisitos: i) Excepcionalidad; ii) Necesidad; iii) Proporcionalidad; iv) Humanidad; y, v) Existencia de un marco normativo que regule el uso de la fuerza.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 Así, la Corte Interamericana ha perfilado ciertos criterios que ayudan a determinar el uso legítimo de fuerza por parte de miembros de cuerpos de seguridad del Estado. En los casos Familia Barrios,  Perozo y otros, Zambrano Vélez y otros, Montero Aranguren y otros (Retén de Catia), destaca cinco criterios: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a) Excepcionalidad. Debe estar definido por la excepcionalidad, y debe ser planeado y limitado proporcionalmente por las autoridades. En ese sentido, sólo podrá hacerse uso de la fuerza o de instrumentos de coerción cuando se hayan agotado y hayan fracasado todos los demás medios de control.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b) Necesidad. El uso de la fuerza letal y las armas de fuego contra las personas debe estar prohibido como regla general, y su uso excepcional deberá estar formulado por ley y ser interpretado restrictivamente, no siendo más que el “absolutamente necesario” en relación con la fuerza o amenaza que se pretende repeler. El principio de necesidad justifica sólo las medidas de violencia militar no prohibidas por el derecho internacional, que son relevantes y proporcionadas para garantizar el pronto sometimiento del enemigo con el menor gasto posible de recursos humanos y económicos.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c) Proporcionalidad. El uso de la fuerza debe estar limitado por los principios de proporcionalidad, necesidad y humanidad. La fuerza excesiva o desproporcionada por parte de los funcionarios encargados de hacer cumplir la ley que da lugar a la pérdida de la vida puede por tanto equivaler a la privación arbitraria de la vida.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d) Humanidad. El principio de humanidad complementa y limita intrínsecamente el principio de necesidad, al prohibir las medidas de violencia que no son necesarias (es decir, relevantes y proporcionadas) para el logro de una ventaja militar definitiva. En situaciones de paz, los agentes del Estado deben distinguir entre las personas que, por sus acciones, constituyen una amenaza inminente de muerte o lesión grave y aquellas personas que no presentan esa amenaza, y usar la fuerza sólo contra las primeras. </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e) Legalidad o existencia de un marco normativo que regule el uso de la fuerza. La legislación interna debe establecer pautas lo suficientemente claras para la utilización de fuerza letal y armas de fuego por parte de los </w:t>
      </w:r>
      <w:r w:rsidRPr="007321AC">
        <w:rPr>
          <w:rFonts w:ascii="Arial" w:hAnsi="Arial" w:cs="Arial"/>
          <w:i/>
          <w:sz w:val="24"/>
          <w:szCs w:val="24"/>
        </w:rPr>
        <w:lastRenderedPageBreak/>
        <w:t>agentes estatales, así como para asegurar un control independiente acerca de la legalidad de la misma.”</w:t>
      </w:r>
    </w:p>
    <w:p w:rsidR="003E68A8" w:rsidRPr="007321AC" w:rsidRDefault="003E68A8" w:rsidP="007321AC">
      <w:pPr>
        <w:spacing w:after="120" w:line="240" w:lineRule="auto"/>
        <w:jc w:val="both"/>
        <w:rPr>
          <w:rFonts w:ascii="Arial" w:hAnsi="Arial" w:cs="Arial"/>
          <w:i/>
          <w:sz w:val="24"/>
          <w:szCs w:val="24"/>
        </w:rPr>
      </w:pP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La Suprema Corte de Justicia de la Nación en el referido fallo cuando analiza la violación al artículo 29 constitucional declara invalido el artículo 26 de la Ley de Seguridad Interior ya que generaría un estado de excepción que permitiría la violación de derechos humanos y garantías, sin cumplir lo previsto en el artículo 29 constitucional, que actualmente señala:</w:t>
      </w:r>
    </w:p>
    <w:p w:rsidR="003E68A8" w:rsidRPr="007321AC" w:rsidRDefault="003E68A8" w:rsidP="007321AC">
      <w:pPr>
        <w:pStyle w:val="Texto"/>
        <w:spacing w:after="120" w:line="240" w:lineRule="auto"/>
        <w:ind w:left="1416"/>
        <w:rPr>
          <w:i/>
          <w:sz w:val="24"/>
          <w:szCs w:val="24"/>
          <w:lang w:val="es-ES_tradnl"/>
        </w:rPr>
      </w:pPr>
      <w:bookmarkStart w:id="0" w:name="Artículo_29"/>
      <w:r w:rsidRPr="007321AC">
        <w:rPr>
          <w:b/>
          <w:i/>
          <w:sz w:val="24"/>
          <w:szCs w:val="24"/>
          <w:lang w:val="es-ES_tradnl"/>
        </w:rPr>
        <w:t>Artículo 29</w:t>
      </w:r>
      <w:bookmarkEnd w:id="0"/>
      <w:r w:rsidRPr="007321AC">
        <w:rPr>
          <w:b/>
          <w:i/>
          <w:sz w:val="24"/>
          <w:szCs w:val="24"/>
          <w:lang w:val="es-ES_tradnl"/>
        </w:rPr>
        <w:t>.</w:t>
      </w:r>
      <w:r w:rsidRPr="007321AC">
        <w:rPr>
          <w:i/>
          <w:sz w:val="24"/>
          <w:szCs w:val="24"/>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3E68A8" w:rsidRPr="007321AC" w:rsidRDefault="003E68A8" w:rsidP="007321AC">
      <w:pPr>
        <w:pStyle w:val="Textosinformato"/>
        <w:spacing w:after="120"/>
        <w:ind w:left="1416"/>
        <w:jc w:val="right"/>
        <w:rPr>
          <w:rFonts w:ascii="Arial" w:eastAsia="MS Mincho" w:hAnsi="Arial" w:cs="Arial"/>
          <w:i/>
          <w:iCs/>
          <w:color w:val="0000FF"/>
          <w:sz w:val="24"/>
          <w:szCs w:val="24"/>
        </w:rPr>
      </w:pPr>
      <w:r w:rsidRPr="007321AC">
        <w:rPr>
          <w:rFonts w:ascii="Arial" w:eastAsia="MS Mincho" w:hAnsi="Arial" w:cs="Arial"/>
          <w:i/>
          <w:iCs/>
          <w:color w:val="0000FF"/>
          <w:sz w:val="24"/>
          <w:szCs w:val="24"/>
        </w:rPr>
        <w:t>Párrafo reformado DOF 10-02-2014</w:t>
      </w:r>
    </w:p>
    <w:p w:rsidR="003E68A8" w:rsidRPr="007321AC" w:rsidRDefault="003E68A8" w:rsidP="007321AC">
      <w:pPr>
        <w:pStyle w:val="Texto"/>
        <w:spacing w:after="120" w:line="240" w:lineRule="auto"/>
        <w:ind w:left="1416"/>
        <w:rPr>
          <w:i/>
          <w:color w:val="000000"/>
          <w:sz w:val="24"/>
          <w:szCs w:val="24"/>
        </w:rPr>
      </w:pPr>
      <w:r w:rsidRPr="007321AC">
        <w:rPr>
          <w:i/>
          <w:color w:val="000000"/>
          <w:sz w:val="24"/>
          <w:szCs w:val="24"/>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3E68A8" w:rsidRPr="007321AC" w:rsidRDefault="003E68A8" w:rsidP="007321AC">
      <w:pPr>
        <w:pStyle w:val="Texto"/>
        <w:spacing w:after="120" w:line="240" w:lineRule="auto"/>
        <w:ind w:left="1416"/>
        <w:rPr>
          <w:i/>
          <w:color w:val="000000"/>
          <w:sz w:val="24"/>
          <w:szCs w:val="24"/>
        </w:rPr>
      </w:pPr>
    </w:p>
    <w:p w:rsidR="003E68A8" w:rsidRPr="007321AC" w:rsidRDefault="003E68A8" w:rsidP="007321AC">
      <w:pPr>
        <w:pStyle w:val="Texto"/>
        <w:spacing w:after="120" w:line="240" w:lineRule="auto"/>
        <w:ind w:left="1416"/>
        <w:rPr>
          <w:i/>
          <w:color w:val="000000"/>
          <w:sz w:val="24"/>
          <w:szCs w:val="24"/>
        </w:rPr>
      </w:pPr>
      <w:r w:rsidRPr="007321AC">
        <w:rPr>
          <w:i/>
          <w:color w:val="000000"/>
          <w:sz w:val="24"/>
          <w:szCs w:val="24"/>
        </w:rPr>
        <w:t xml:space="preserve">La restricción o suspensión del ejercicio de los derechos y garantías debe estar fundada y motivada en los términos establecidos por esta </w:t>
      </w:r>
      <w:r w:rsidRPr="007321AC">
        <w:rPr>
          <w:i/>
          <w:color w:val="000000"/>
          <w:sz w:val="24"/>
          <w:szCs w:val="24"/>
        </w:rPr>
        <w:lastRenderedPageBreak/>
        <w:t>Constitución y ser proporcional al peligro a que se hace frente, observando en todo momento los principios de legalidad, racionalidad, proclamación, publicidad y no discriminación.</w:t>
      </w:r>
    </w:p>
    <w:p w:rsidR="003E68A8" w:rsidRPr="007321AC" w:rsidRDefault="003E68A8" w:rsidP="007321AC">
      <w:pPr>
        <w:pStyle w:val="Texto"/>
        <w:spacing w:after="120" w:line="240" w:lineRule="auto"/>
        <w:ind w:left="1416"/>
        <w:rPr>
          <w:i/>
          <w:color w:val="000000"/>
          <w:sz w:val="24"/>
          <w:szCs w:val="24"/>
        </w:rPr>
      </w:pPr>
    </w:p>
    <w:p w:rsidR="003E68A8" w:rsidRPr="007321AC" w:rsidRDefault="003E68A8" w:rsidP="007321AC">
      <w:pPr>
        <w:pStyle w:val="Texto"/>
        <w:spacing w:after="120" w:line="240" w:lineRule="auto"/>
        <w:ind w:left="1416"/>
        <w:rPr>
          <w:i/>
          <w:color w:val="000000"/>
          <w:sz w:val="24"/>
          <w:szCs w:val="24"/>
        </w:rPr>
      </w:pPr>
      <w:r w:rsidRPr="007321AC">
        <w:rPr>
          <w:i/>
          <w:color w:val="000000"/>
          <w:sz w:val="24"/>
          <w:szCs w:val="24"/>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3E68A8" w:rsidRPr="007321AC" w:rsidRDefault="003E68A8" w:rsidP="007321AC">
      <w:pPr>
        <w:pStyle w:val="Texto"/>
        <w:spacing w:after="120" w:line="240" w:lineRule="auto"/>
        <w:ind w:left="1416"/>
        <w:rPr>
          <w:i/>
          <w:color w:val="000000"/>
          <w:sz w:val="24"/>
          <w:szCs w:val="24"/>
        </w:rPr>
      </w:pPr>
    </w:p>
    <w:p w:rsidR="003E68A8" w:rsidRPr="007321AC" w:rsidRDefault="003E68A8" w:rsidP="007321AC">
      <w:pPr>
        <w:pStyle w:val="Texto"/>
        <w:spacing w:after="120" w:line="240" w:lineRule="auto"/>
        <w:ind w:left="1416"/>
        <w:rPr>
          <w:i/>
          <w:color w:val="000000"/>
          <w:sz w:val="24"/>
          <w:szCs w:val="24"/>
        </w:rPr>
      </w:pPr>
      <w:r w:rsidRPr="007321AC">
        <w:rPr>
          <w:i/>
          <w:color w:val="000000"/>
          <w:sz w:val="24"/>
          <w:szCs w:val="24"/>
        </w:rPr>
        <w:t>Los decretos expedidos por el Ejecutivo durante la restricción o suspensión, serán revisados de oficio e inmediatamente por la Suprema Corte de Justicia de la Nación, la que deberá pronunciarse con la mayor prontitud sobre su constitucionalidad y validez.</w:t>
      </w:r>
    </w:p>
    <w:p w:rsidR="003E68A8" w:rsidRPr="007321AC" w:rsidRDefault="003E68A8" w:rsidP="007321AC">
      <w:pPr>
        <w:pStyle w:val="Textosinformato"/>
        <w:spacing w:after="120"/>
        <w:ind w:left="1416" w:firstLine="708"/>
        <w:jc w:val="right"/>
        <w:rPr>
          <w:rFonts w:ascii="Arial" w:eastAsia="MS Mincho" w:hAnsi="Arial" w:cs="Arial"/>
          <w:i/>
          <w:iCs/>
          <w:color w:val="0000FF"/>
          <w:sz w:val="24"/>
          <w:szCs w:val="24"/>
        </w:rPr>
      </w:pPr>
      <w:r w:rsidRPr="007321AC">
        <w:rPr>
          <w:rFonts w:ascii="Arial" w:eastAsia="MS Mincho" w:hAnsi="Arial" w:cs="Arial"/>
          <w:i/>
          <w:iCs/>
          <w:color w:val="0000FF"/>
          <w:sz w:val="24"/>
          <w:szCs w:val="24"/>
        </w:rPr>
        <w:t>Artículo reformado DOF 21-04-1981, 02-08-2007, 10-06-2011</w:t>
      </w:r>
    </w:p>
    <w:p w:rsidR="003E68A8" w:rsidRPr="007321AC" w:rsidRDefault="003E68A8" w:rsidP="007321AC">
      <w:pPr>
        <w:spacing w:after="120" w:line="240" w:lineRule="auto"/>
        <w:ind w:left="1416"/>
        <w:jc w:val="both"/>
        <w:rPr>
          <w:rFonts w:ascii="Arial" w:hAnsi="Arial" w:cs="Arial"/>
          <w:i/>
          <w:sz w:val="24"/>
          <w:szCs w:val="24"/>
        </w:rPr>
      </w:pPr>
      <w:r w:rsidRPr="007321AC">
        <w:rPr>
          <w:rFonts w:ascii="Arial" w:hAnsi="Arial" w:cs="Arial"/>
          <w:i/>
          <w:sz w:val="24"/>
          <w:szCs w:val="24"/>
        </w:rPr>
        <w:t xml:space="preserve"> </w:t>
      </w:r>
    </w:p>
    <w:p w:rsidR="003E68A8" w:rsidRPr="007321AC" w:rsidRDefault="003E68A8" w:rsidP="007321AC">
      <w:pPr>
        <w:spacing w:after="120" w:line="240" w:lineRule="auto"/>
        <w:jc w:val="both"/>
        <w:rPr>
          <w:rFonts w:ascii="Arial" w:hAnsi="Arial" w:cs="Arial"/>
          <w:i/>
          <w:sz w:val="24"/>
          <w:szCs w:val="24"/>
        </w:rPr>
      </w:pP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El artículo 26 de la Ley de Seguridad Interior que fue declarado inconstitucional se refiere a la realización de acciones preventivas o estratégicas relacionadas con los riesgos a la seguridad interior, lo cual, permite la ejecución de acciones de intervención directa de las autoridades federales mediante operativos que puedan involucrar el eventual uso de Fuerzas Armadas, para la posterior atención, reducción o contención de amenazas a la seguridad interior; situación que según la Suprema Corte de Justicia de la Nación resulta contraria al sistema de excepción que debe existir.</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El referido artículo señala lo siguiente:</w:t>
      </w:r>
    </w:p>
    <w:p w:rsidR="003E68A8" w:rsidRPr="007321AC" w:rsidRDefault="003E68A8" w:rsidP="007321AC">
      <w:pPr>
        <w:pStyle w:val="Texto"/>
        <w:spacing w:after="120" w:line="240" w:lineRule="auto"/>
        <w:ind w:left="576"/>
        <w:rPr>
          <w:b/>
          <w:i/>
          <w:sz w:val="24"/>
          <w:szCs w:val="24"/>
        </w:rPr>
      </w:pPr>
      <w:r w:rsidRPr="007321AC">
        <w:rPr>
          <w:i/>
          <w:sz w:val="24"/>
          <w:szCs w:val="24"/>
        </w:rPr>
        <w:t xml:space="preserve"> </w:t>
      </w:r>
      <w:bookmarkStart w:id="1" w:name="Artículo_26"/>
      <w:r w:rsidRPr="007321AC">
        <w:rPr>
          <w:b/>
          <w:i/>
          <w:sz w:val="24"/>
          <w:szCs w:val="24"/>
        </w:rPr>
        <w:t>Artículo 26</w:t>
      </w:r>
      <w:bookmarkEnd w:id="1"/>
      <w:r w:rsidRPr="007321AC">
        <w:rPr>
          <w:b/>
          <w:i/>
          <w:sz w:val="24"/>
          <w:szCs w:val="24"/>
        </w:rPr>
        <w:t xml:space="preserve">. </w:t>
      </w:r>
      <w:r w:rsidRPr="007321AC">
        <w:rPr>
          <w:i/>
          <w:sz w:val="24"/>
          <w:szCs w:val="24"/>
        </w:rPr>
        <w:t>Las autoridades federales, incluidas las Fuerzas Armadas, en el ámbito de sus competencias de acuerdo con la Constitución y las leyes aplicables, llevarán a cabo las Acciones de Seguridad Interior que sean necesarias, pertinentes y eficaces para identificar, prevenir y atender riesgos en aquellas zonas o áreas geográficas del país, vías generales de comunicación e instalaciones estratégicas que lo requieran, así como para garantizar el cumplimiento del Programa de Seguridad Nacional y la Agenda Nacional de Riesgos.</w:t>
      </w:r>
    </w:p>
    <w:p w:rsidR="003E68A8" w:rsidRPr="007321AC" w:rsidRDefault="003E68A8" w:rsidP="007321AC">
      <w:pPr>
        <w:pStyle w:val="Texto"/>
        <w:spacing w:after="120" w:line="240" w:lineRule="auto"/>
        <w:ind w:left="576"/>
        <w:rPr>
          <w:i/>
          <w:sz w:val="24"/>
          <w:szCs w:val="24"/>
        </w:rPr>
      </w:pPr>
    </w:p>
    <w:p w:rsidR="003E68A8" w:rsidRPr="007321AC" w:rsidRDefault="003E68A8" w:rsidP="007321AC">
      <w:pPr>
        <w:pStyle w:val="Texto"/>
        <w:spacing w:after="120" w:line="240" w:lineRule="auto"/>
        <w:ind w:left="576"/>
        <w:rPr>
          <w:i/>
          <w:sz w:val="24"/>
          <w:szCs w:val="24"/>
        </w:rPr>
      </w:pPr>
      <w:r w:rsidRPr="007321AC">
        <w:rPr>
          <w:i/>
          <w:sz w:val="24"/>
          <w:szCs w:val="24"/>
        </w:rPr>
        <w:t>Las acciones que se realicen para identificar, prevenir y atender riesgos a la Seguridad Interior son de carácter permanente y no requieren de la emisión de una Declaratoria de Protección a la Seguridad Interior, pudiendo suscribirse los convenios que en su caso requieran.</w:t>
      </w:r>
    </w:p>
    <w:p w:rsidR="003E68A8" w:rsidRPr="007321AC" w:rsidRDefault="003E68A8" w:rsidP="007321AC">
      <w:pPr>
        <w:spacing w:after="120" w:line="240" w:lineRule="auto"/>
        <w:jc w:val="both"/>
        <w:rPr>
          <w:rFonts w:ascii="Arial" w:hAnsi="Arial" w:cs="Arial"/>
          <w:i/>
          <w:sz w:val="24"/>
          <w:szCs w:val="24"/>
        </w:rPr>
      </w:pP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El referido artículo resultó violatorio del artículo 29 Constitucional, pues de facto está suspendiendo el régimen de excepción e incursionando en la entidades federativas sin requisito previo alguno, sino como un operativo permanente, la Suprema Corte de Justicia de la Nación fue enfática en señalar: “En efecto, cabe precisar que a lo largo de la presente resolución se ha establecido que las acciones en relación a las amenazas de seguridad interior se instrumentan de manera excepcional, en atención a una situación de gravedad en las entidades federativas que solicitan un apoyo ante la superación de sus capacidades efectivas para atenderla, conforme lo establece el artículo 11 de la Ley de Seguridad Interior.”</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 </w:t>
      </w:r>
    </w:p>
    <w:p w:rsidR="003E68A8" w:rsidRPr="007321AC" w:rsidRDefault="003E68A8" w:rsidP="007321AC">
      <w:pPr>
        <w:spacing w:after="120" w:line="240" w:lineRule="auto"/>
        <w:jc w:val="both"/>
        <w:rPr>
          <w:rFonts w:ascii="Arial" w:hAnsi="Arial" w:cs="Arial"/>
          <w:i/>
          <w:sz w:val="24"/>
          <w:szCs w:val="24"/>
        </w:rPr>
      </w:pPr>
      <w:r w:rsidRPr="007321AC">
        <w:rPr>
          <w:rFonts w:ascii="Arial" w:hAnsi="Arial" w:cs="Arial"/>
          <w:i/>
          <w:sz w:val="24"/>
          <w:szCs w:val="24"/>
        </w:rPr>
        <w:t xml:space="preserve">Y sigue afirmando la Suprema Corte de Justicia de la Nación, argumentos tendentes a demostrar que la intervención de las fuerzas armadas no puede ni debe ser permanente, ni invasora de las facultades de las entidades federativas, pues es claro que con ello atiende no solo a los criterios del Corte Interamericana de los Derechos Humanos, sino al sistema federal mexicano así como a su interpretación histórica y teleológica: </w:t>
      </w:r>
    </w:p>
    <w:p w:rsidR="003E68A8" w:rsidRPr="007321AC" w:rsidRDefault="003E68A8" w:rsidP="007321AC">
      <w:pPr>
        <w:spacing w:after="120" w:line="240" w:lineRule="auto"/>
        <w:ind w:left="709"/>
        <w:jc w:val="both"/>
        <w:rPr>
          <w:rFonts w:ascii="Arial" w:hAnsi="Arial" w:cs="Arial"/>
          <w:i/>
          <w:sz w:val="24"/>
          <w:szCs w:val="24"/>
        </w:rPr>
      </w:pPr>
      <w:r w:rsidRPr="007321AC">
        <w:rPr>
          <w:rFonts w:ascii="Arial" w:hAnsi="Arial" w:cs="Arial"/>
          <w:i/>
          <w:sz w:val="24"/>
          <w:szCs w:val="24"/>
        </w:rPr>
        <w:t>“Así, frente a este esquema que activa la participación de fuerzas federales y armadas en relación a la identificación, prevención y atención de riesgos, se advierte que se violarían los principios de temporalidad, subsidiariedad y gradualidad que permiten justificar la intervención excepcional no sólo de las Fuerzas Armadas, sino la intervención de la Federación en las entidades federativas.”</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 “Por ello, no puede justificarse la existencia de una facultad que permita a las autoridades federales (incluidas las Fuerzas Armadas) para que lleven a cabo acciones, sin el cumplimiento de los requisitos que impone la ley en el artículo 11 de la Ley impugnada, es decir, que se solicite por las entidades federativas y las amenazas comprometan o superen las capacidades efectivas de las autoridades o se originen por la falta o insuficiente colaboración con la preservación de la Seguridad Nacional.”</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lastRenderedPageBreak/>
        <w:t xml:space="preserve"> …</w:t>
      </w:r>
    </w:p>
    <w:p w:rsidR="003E68A8" w:rsidRPr="007321AC" w:rsidRDefault="003E68A8" w:rsidP="007321AC">
      <w:pPr>
        <w:spacing w:after="120" w:line="240" w:lineRule="auto"/>
        <w:ind w:left="708"/>
        <w:jc w:val="both"/>
        <w:rPr>
          <w:rFonts w:ascii="Arial" w:hAnsi="Arial" w:cs="Arial"/>
          <w:i/>
          <w:sz w:val="24"/>
          <w:szCs w:val="24"/>
        </w:rPr>
      </w:pP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“Bajo este entendimiento, no es válido que de manera permanente y sin necesidad de Declaratoria de Protección a la Seguridad Interior, las autoridades federales, incluidas las Fuerzas Armadas, en el ámbito de sus competencias de acuerdo con la Constitución y las leyes aplicables, lleven a cabo las acciones de seguridad interior que sean necesarias, pertinentes y eficaces para identificar, prevenir y atender riesgos en aquellas zonas o áreas geográficas del país, vías generales de comunicación e instalaciones estratégicas que lo requieran, así como para garantizar el cumplimiento del Programa de Seguridad Nacional y la Agenda Nacional de Riesgos, sobre todo si se toma en cuenta que dicha cuestión ya se encuentra regulada en la Ley de Seguridad Nacional, misma que para esas cuestiones, parte sobre todo de acuerdos y convenios de colaboración y coordinación.”</w:t>
      </w:r>
    </w:p>
    <w:p w:rsidR="003E68A8" w:rsidRPr="007321AC" w:rsidRDefault="003E68A8" w:rsidP="007321AC">
      <w:pPr>
        <w:spacing w:after="120" w:line="240" w:lineRule="auto"/>
        <w:ind w:left="708"/>
        <w:jc w:val="both"/>
        <w:rPr>
          <w:rFonts w:ascii="Arial" w:hAnsi="Arial" w:cs="Arial"/>
          <w:i/>
          <w:sz w:val="24"/>
          <w:szCs w:val="24"/>
        </w:rPr>
      </w:pPr>
      <w:r w:rsidRPr="007321AC">
        <w:rPr>
          <w:rFonts w:ascii="Arial" w:hAnsi="Arial" w:cs="Arial"/>
          <w:i/>
          <w:sz w:val="24"/>
          <w:szCs w:val="24"/>
        </w:rPr>
        <w:t>…</w:t>
      </w:r>
    </w:p>
    <w:p w:rsidR="003452EE" w:rsidRPr="007321AC" w:rsidRDefault="003452EE" w:rsidP="007321AC">
      <w:pPr>
        <w:spacing w:after="120" w:line="240" w:lineRule="auto"/>
        <w:jc w:val="both"/>
        <w:rPr>
          <w:rFonts w:ascii="Arial" w:hAnsi="Arial" w:cs="Arial"/>
          <w:i/>
          <w:sz w:val="24"/>
          <w:szCs w:val="24"/>
        </w:rPr>
      </w:pPr>
      <w:r w:rsidRPr="007321AC">
        <w:rPr>
          <w:rFonts w:ascii="Arial" w:hAnsi="Arial" w:cs="Arial"/>
          <w:i/>
          <w:sz w:val="24"/>
          <w:szCs w:val="24"/>
        </w:rPr>
        <w:t>Mediante decreto publicado el 26 de marzo de 2019 el Constituyente Permanente Federal, crea el marco jurídico de la Guardia Nacional en México, mediante la reforma de los artículos 10; 16, párrafo quinto; 21, párrafos noveno, décimo y su inciso b); 31, fracción III; 35, fracción IV; 36, fracción II; 73, fracción XXIII; 76, fracciones IV y XI, y 89, fracción VII; adición de los párrafos décimo primero, décimo segundo y décimo tercero al artículo 21; y derogación de la fracción XV del artículo 73, y la fracción I del artículo 78 de la Constitución Política de los Estados Unidos Mexicanos.</w:t>
      </w:r>
    </w:p>
    <w:p w:rsidR="003452EE" w:rsidRPr="007321AC" w:rsidRDefault="003452EE" w:rsidP="007321AC">
      <w:pPr>
        <w:spacing w:after="120" w:line="240" w:lineRule="auto"/>
        <w:jc w:val="both"/>
        <w:rPr>
          <w:rFonts w:ascii="Arial" w:hAnsi="Arial" w:cs="Arial"/>
          <w:i/>
          <w:sz w:val="24"/>
          <w:szCs w:val="24"/>
        </w:rPr>
      </w:pPr>
    </w:p>
    <w:p w:rsidR="003452EE" w:rsidRPr="007321AC" w:rsidRDefault="003452EE" w:rsidP="007321AC">
      <w:pPr>
        <w:spacing w:after="120" w:line="240" w:lineRule="auto"/>
        <w:jc w:val="both"/>
        <w:rPr>
          <w:rFonts w:ascii="Arial" w:hAnsi="Arial" w:cs="Arial"/>
          <w:i/>
          <w:sz w:val="24"/>
          <w:szCs w:val="24"/>
        </w:rPr>
      </w:pPr>
      <w:r w:rsidRPr="007321AC">
        <w:rPr>
          <w:rFonts w:ascii="Arial" w:hAnsi="Arial" w:cs="Arial"/>
          <w:i/>
          <w:sz w:val="24"/>
          <w:szCs w:val="24"/>
        </w:rPr>
        <w:t>Dentro de dicha reforma se incluyen en el artículo 21 de la Constitución Federal, las bases estructurales mínimas a las que se sujetará la estructura y organización de la Guardia Nacional de la siguiente manera:</w:t>
      </w:r>
    </w:p>
    <w:p w:rsidR="003452EE" w:rsidRPr="007321AC" w:rsidRDefault="003452EE" w:rsidP="007321AC">
      <w:pPr>
        <w:pStyle w:val="Texto"/>
        <w:spacing w:after="120" w:line="240" w:lineRule="auto"/>
        <w:rPr>
          <w:b/>
          <w:i/>
          <w:sz w:val="24"/>
          <w:szCs w:val="24"/>
        </w:rPr>
      </w:pPr>
    </w:p>
    <w:p w:rsidR="003452EE" w:rsidRPr="007321AC" w:rsidRDefault="003452EE" w:rsidP="007321AC">
      <w:pPr>
        <w:pStyle w:val="Texto"/>
        <w:spacing w:after="120" w:line="240" w:lineRule="auto"/>
        <w:ind w:left="288"/>
        <w:rPr>
          <w:i/>
          <w:sz w:val="24"/>
          <w:szCs w:val="24"/>
        </w:rPr>
      </w:pPr>
      <w:r w:rsidRPr="007321AC">
        <w:rPr>
          <w:b/>
          <w:i/>
          <w:sz w:val="24"/>
          <w:szCs w:val="24"/>
        </w:rPr>
        <w:t>Artículo 21. ...</w:t>
      </w:r>
    </w:p>
    <w:p w:rsidR="003452EE" w:rsidRPr="007321AC" w:rsidRDefault="003452EE" w:rsidP="007321AC">
      <w:pPr>
        <w:pStyle w:val="Texto"/>
        <w:spacing w:after="120" w:line="240" w:lineRule="auto"/>
        <w:ind w:left="288"/>
        <w:rPr>
          <w:b/>
          <w:i/>
          <w:sz w:val="24"/>
          <w:szCs w:val="24"/>
        </w:rPr>
      </w:pPr>
      <w:r w:rsidRPr="007321AC">
        <w:rPr>
          <w:b/>
          <w:i/>
          <w:sz w:val="24"/>
          <w:szCs w:val="24"/>
        </w:rPr>
        <w:t>...</w:t>
      </w:r>
    </w:p>
    <w:p w:rsidR="003452EE" w:rsidRPr="007321AC" w:rsidRDefault="003452EE" w:rsidP="007321AC">
      <w:pPr>
        <w:pStyle w:val="Texto"/>
        <w:spacing w:after="120" w:line="240" w:lineRule="auto"/>
        <w:ind w:left="288"/>
        <w:rPr>
          <w:b/>
          <w:i/>
          <w:sz w:val="24"/>
          <w:szCs w:val="24"/>
        </w:rPr>
      </w:pPr>
      <w:r w:rsidRPr="007321AC">
        <w:rPr>
          <w:b/>
          <w:i/>
          <w:sz w:val="24"/>
          <w:szCs w:val="24"/>
        </w:rPr>
        <w:t>...</w:t>
      </w:r>
    </w:p>
    <w:p w:rsidR="003452EE" w:rsidRPr="007321AC" w:rsidRDefault="003452EE" w:rsidP="007321AC">
      <w:pPr>
        <w:pStyle w:val="Texto"/>
        <w:spacing w:after="120" w:line="240" w:lineRule="auto"/>
        <w:ind w:left="288"/>
        <w:rPr>
          <w:b/>
          <w:i/>
          <w:sz w:val="24"/>
          <w:szCs w:val="24"/>
        </w:rPr>
      </w:pPr>
      <w:r w:rsidRPr="007321AC">
        <w:rPr>
          <w:b/>
          <w:i/>
          <w:sz w:val="24"/>
          <w:szCs w:val="24"/>
        </w:rPr>
        <w:t>...</w:t>
      </w:r>
    </w:p>
    <w:p w:rsidR="003452EE" w:rsidRPr="007321AC" w:rsidRDefault="003452EE" w:rsidP="007321AC">
      <w:pPr>
        <w:pStyle w:val="Texto"/>
        <w:spacing w:after="120" w:line="240" w:lineRule="auto"/>
        <w:ind w:left="288"/>
        <w:rPr>
          <w:b/>
          <w:i/>
          <w:sz w:val="24"/>
          <w:szCs w:val="24"/>
        </w:rPr>
      </w:pPr>
      <w:r w:rsidRPr="007321AC">
        <w:rPr>
          <w:b/>
          <w:i/>
          <w:sz w:val="24"/>
          <w:szCs w:val="24"/>
        </w:rPr>
        <w:t>...</w:t>
      </w:r>
    </w:p>
    <w:p w:rsidR="003452EE" w:rsidRPr="007321AC" w:rsidRDefault="003452EE" w:rsidP="007321AC">
      <w:pPr>
        <w:pStyle w:val="Texto"/>
        <w:spacing w:after="120" w:line="240" w:lineRule="auto"/>
        <w:ind w:left="288"/>
        <w:rPr>
          <w:b/>
          <w:i/>
          <w:sz w:val="24"/>
          <w:szCs w:val="24"/>
        </w:rPr>
      </w:pPr>
      <w:r w:rsidRPr="007321AC">
        <w:rPr>
          <w:b/>
          <w:i/>
          <w:sz w:val="24"/>
          <w:szCs w:val="24"/>
        </w:rPr>
        <w:t>...</w:t>
      </w:r>
    </w:p>
    <w:p w:rsidR="003452EE" w:rsidRPr="007321AC" w:rsidRDefault="003452EE" w:rsidP="007321AC">
      <w:pPr>
        <w:pStyle w:val="Texto"/>
        <w:spacing w:after="120" w:line="240" w:lineRule="auto"/>
        <w:ind w:left="288"/>
        <w:rPr>
          <w:b/>
          <w:i/>
          <w:sz w:val="24"/>
          <w:szCs w:val="24"/>
        </w:rPr>
      </w:pPr>
      <w:r w:rsidRPr="007321AC">
        <w:rPr>
          <w:b/>
          <w:i/>
          <w:sz w:val="24"/>
          <w:szCs w:val="24"/>
        </w:rPr>
        <w:lastRenderedPageBreak/>
        <w:t>...</w:t>
      </w:r>
    </w:p>
    <w:p w:rsidR="003452EE" w:rsidRPr="007321AC" w:rsidRDefault="003452EE" w:rsidP="007321AC">
      <w:pPr>
        <w:pStyle w:val="Texto"/>
        <w:spacing w:after="120" w:line="240" w:lineRule="auto"/>
        <w:ind w:left="288"/>
        <w:rPr>
          <w:b/>
          <w:i/>
          <w:sz w:val="24"/>
          <w:szCs w:val="24"/>
        </w:rPr>
      </w:pPr>
      <w:r w:rsidRPr="007321AC">
        <w:rPr>
          <w:b/>
          <w:i/>
          <w:sz w:val="24"/>
          <w:szCs w:val="24"/>
        </w:rPr>
        <w:t>...</w:t>
      </w:r>
    </w:p>
    <w:p w:rsidR="003452EE" w:rsidRPr="007321AC" w:rsidRDefault="003452EE" w:rsidP="007321AC">
      <w:pPr>
        <w:pStyle w:val="Texto"/>
        <w:spacing w:after="120" w:line="240" w:lineRule="auto"/>
        <w:ind w:left="288"/>
        <w:rPr>
          <w:i/>
          <w:sz w:val="24"/>
          <w:szCs w:val="24"/>
        </w:rPr>
      </w:pPr>
      <w:r w:rsidRPr="007321AC">
        <w:rPr>
          <w:i/>
          <w:sz w:val="24"/>
          <w:szCs w:val="24"/>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3452EE" w:rsidRPr="007321AC" w:rsidRDefault="003452EE" w:rsidP="007321AC">
      <w:pPr>
        <w:pStyle w:val="Texto"/>
        <w:spacing w:after="120" w:line="240" w:lineRule="auto"/>
        <w:ind w:left="288"/>
        <w:rPr>
          <w:i/>
          <w:sz w:val="24"/>
          <w:szCs w:val="24"/>
        </w:rPr>
      </w:pPr>
      <w:r w:rsidRPr="007321AC">
        <w:rPr>
          <w:i/>
          <w:sz w:val="24"/>
          <w:szCs w:val="24"/>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3452EE" w:rsidRPr="007321AC" w:rsidRDefault="003452EE" w:rsidP="007321AC">
      <w:pPr>
        <w:pStyle w:val="Texto"/>
        <w:spacing w:after="120" w:line="240" w:lineRule="auto"/>
        <w:ind w:left="288"/>
        <w:rPr>
          <w:b/>
          <w:i/>
          <w:sz w:val="24"/>
          <w:szCs w:val="24"/>
        </w:rPr>
      </w:pPr>
      <w:r w:rsidRPr="007321AC">
        <w:rPr>
          <w:b/>
          <w:i/>
          <w:sz w:val="24"/>
          <w:szCs w:val="24"/>
        </w:rPr>
        <w:t>a) ...</w:t>
      </w:r>
    </w:p>
    <w:p w:rsidR="003452EE" w:rsidRPr="007321AC" w:rsidRDefault="003452EE" w:rsidP="007321AC">
      <w:pPr>
        <w:pStyle w:val="Texto"/>
        <w:spacing w:after="120" w:line="240" w:lineRule="auto"/>
        <w:ind w:left="288"/>
        <w:rPr>
          <w:i/>
          <w:sz w:val="24"/>
          <w:szCs w:val="24"/>
        </w:rPr>
      </w:pPr>
      <w:r w:rsidRPr="007321AC">
        <w:rPr>
          <w:b/>
          <w:i/>
          <w:sz w:val="24"/>
          <w:szCs w:val="24"/>
        </w:rPr>
        <w:t xml:space="preserve">b) </w:t>
      </w:r>
      <w:r w:rsidRPr="007321AC">
        <w:rPr>
          <w:i/>
          <w:sz w:val="24"/>
          <w:szCs w:val="24"/>
        </w:rPr>
        <w:t xml:space="preserve">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w:t>
      </w:r>
      <w:r w:rsidRPr="007321AC">
        <w:rPr>
          <w:i/>
          <w:sz w:val="24"/>
          <w:szCs w:val="24"/>
        </w:rPr>
        <w:br/>
        <w:t>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3452EE" w:rsidRPr="007321AC" w:rsidRDefault="003452EE" w:rsidP="007321AC">
      <w:pPr>
        <w:pStyle w:val="Texto"/>
        <w:spacing w:after="120" w:line="240" w:lineRule="auto"/>
        <w:ind w:left="288"/>
        <w:rPr>
          <w:b/>
          <w:i/>
          <w:sz w:val="24"/>
          <w:szCs w:val="24"/>
        </w:rPr>
      </w:pPr>
      <w:r w:rsidRPr="007321AC">
        <w:rPr>
          <w:b/>
          <w:i/>
          <w:sz w:val="24"/>
          <w:szCs w:val="24"/>
        </w:rPr>
        <w:t>c)</w:t>
      </w:r>
      <w:r w:rsidRPr="007321AC">
        <w:rPr>
          <w:i/>
          <w:sz w:val="24"/>
          <w:szCs w:val="24"/>
        </w:rPr>
        <w:t xml:space="preserve"> a </w:t>
      </w:r>
      <w:r w:rsidRPr="007321AC">
        <w:rPr>
          <w:b/>
          <w:i/>
          <w:sz w:val="24"/>
          <w:szCs w:val="24"/>
        </w:rPr>
        <w:t>e) ...</w:t>
      </w:r>
    </w:p>
    <w:p w:rsidR="003452EE" w:rsidRPr="007321AC" w:rsidRDefault="003452EE" w:rsidP="007321AC">
      <w:pPr>
        <w:pStyle w:val="Texto"/>
        <w:spacing w:after="120" w:line="240" w:lineRule="auto"/>
        <w:ind w:left="288"/>
        <w:rPr>
          <w:i/>
          <w:sz w:val="24"/>
          <w:szCs w:val="24"/>
        </w:rPr>
      </w:pPr>
      <w:r w:rsidRPr="007321AC">
        <w:rPr>
          <w:i/>
          <w:sz w:val="24"/>
          <w:szCs w:val="24"/>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3452EE" w:rsidRPr="007321AC" w:rsidRDefault="003452EE" w:rsidP="007321AC">
      <w:pPr>
        <w:pStyle w:val="Texto"/>
        <w:spacing w:after="120" w:line="240" w:lineRule="auto"/>
        <w:ind w:left="288"/>
        <w:rPr>
          <w:i/>
          <w:sz w:val="24"/>
          <w:szCs w:val="24"/>
        </w:rPr>
      </w:pPr>
      <w:r w:rsidRPr="007321AC">
        <w:rPr>
          <w:i/>
          <w:sz w:val="24"/>
          <w:szCs w:val="24"/>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3452EE" w:rsidRPr="007321AC" w:rsidRDefault="003452EE" w:rsidP="007321AC">
      <w:pPr>
        <w:pStyle w:val="Texto"/>
        <w:spacing w:after="120" w:line="240" w:lineRule="auto"/>
        <w:ind w:left="288"/>
        <w:rPr>
          <w:i/>
          <w:sz w:val="24"/>
          <w:szCs w:val="24"/>
        </w:rPr>
      </w:pPr>
      <w:r w:rsidRPr="007321AC">
        <w:rPr>
          <w:i/>
          <w:sz w:val="24"/>
          <w:szCs w:val="24"/>
        </w:rPr>
        <w:lastRenderedPageBreak/>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3452EE" w:rsidRPr="007321AC" w:rsidRDefault="003452EE" w:rsidP="007321AC">
      <w:pPr>
        <w:spacing w:after="120" w:line="240" w:lineRule="auto"/>
        <w:jc w:val="both"/>
        <w:rPr>
          <w:rFonts w:ascii="Arial" w:hAnsi="Arial" w:cs="Arial"/>
          <w:i/>
          <w:sz w:val="24"/>
          <w:szCs w:val="24"/>
        </w:rPr>
      </w:pPr>
    </w:p>
    <w:p w:rsidR="003452EE" w:rsidRPr="007321AC" w:rsidRDefault="003452EE" w:rsidP="007321AC">
      <w:pPr>
        <w:spacing w:after="120" w:line="240" w:lineRule="auto"/>
        <w:jc w:val="both"/>
        <w:rPr>
          <w:rFonts w:ascii="Arial" w:hAnsi="Arial" w:cs="Arial"/>
          <w:i/>
          <w:sz w:val="24"/>
          <w:szCs w:val="24"/>
        </w:rPr>
      </w:pPr>
      <w:r w:rsidRPr="007321AC">
        <w:rPr>
          <w:rFonts w:ascii="Arial" w:hAnsi="Arial" w:cs="Arial"/>
          <w:i/>
          <w:sz w:val="24"/>
          <w:szCs w:val="24"/>
        </w:rPr>
        <w:t>Se destaca en el párrafo décimo de la reforma a dicho artículo el mandato del constituyente permanente de que las instituciones de seguridad pública, incluyendo la Guardia Nacional, sean de carácter civil.  El tema que se debatió al crear la Guardia Nacional en al seno del Congreso de la Unión y en las Legislaturas de los Estados, es la “militarización del país”, precisamente en antagonismo a ello se definió que fuera de carácter civil, lo cual es acorde y congruente con el informe el informe Aprobado por la Comisión Interamericana de Derechos Humanos el 31 de diciembre de 2015.</w:t>
      </w:r>
    </w:p>
    <w:p w:rsidR="003452EE" w:rsidRPr="007321AC" w:rsidRDefault="00ED54D5" w:rsidP="007321AC">
      <w:pPr>
        <w:spacing w:after="120" w:line="240" w:lineRule="auto"/>
        <w:jc w:val="both"/>
        <w:rPr>
          <w:rFonts w:ascii="Arial" w:hAnsi="Arial" w:cs="Arial"/>
          <w:i/>
          <w:sz w:val="24"/>
          <w:szCs w:val="24"/>
        </w:rPr>
      </w:pPr>
      <w:r w:rsidRPr="007321AC">
        <w:rPr>
          <w:rFonts w:ascii="Arial" w:hAnsi="Arial" w:cs="Arial"/>
          <w:i/>
          <w:sz w:val="24"/>
          <w:szCs w:val="24"/>
        </w:rPr>
        <w:t>El presidente, Andrés Manuel López Obrador, en su conferencia de prensa del pasado lunes 8 de agosto del 2022, anuncia que l</w:t>
      </w:r>
      <w:r w:rsidR="003452EE" w:rsidRPr="007321AC">
        <w:rPr>
          <w:rFonts w:ascii="Arial" w:hAnsi="Arial" w:cs="Arial"/>
          <w:i/>
          <w:sz w:val="24"/>
          <w:szCs w:val="24"/>
        </w:rPr>
        <w:t xml:space="preserve">a Guardia Nacional dependerá por completo de la Secretaría </w:t>
      </w:r>
      <w:r w:rsidRPr="007321AC">
        <w:rPr>
          <w:rFonts w:ascii="Arial" w:hAnsi="Arial" w:cs="Arial"/>
          <w:i/>
          <w:sz w:val="24"/>
          <w:szCs w:val="24"/>
        </w:rPr>
        <w:t xml:space="preserve">de la Defensa Nacional (Sedena), </w:t>
      </w:r>
      <w:r w:rsidR="003452EE" w:rsidRPr="007321AC">
        <w:rPr>
          <w:rFonts w:ascii="Arial" w:hAnsi="Arial" w:cs="Arial"/>
          <w:i/>
          <w:sz w:val="24"/>
          <w:szCs w:val="24"/>
        </w:rPr>
        <w:t>adelanta</w:t>
      </w:r>
      <w:r w:rsidRPr="007321AC">
        <w:rPr>
          <w:rFonts w:ascii="Arial" w:hAnsi="Arial" w:cs="Arial"/>
          <w:i/>
          <w:sz w:val="24"/>
          <w:szCs w:val="24"/>
        </w:rPr>
        <w:t>n</w:t>
      </w:r>
      <w:r w:rsidR="003452EE" w:rsidRPr="007321AC">
        <w:rPr>
          <w:rFonts w:ascii="Arial" w:hAnsi="Arial" w:cs="Arial"/>
          <w:i/>
          <w:sz w:val="24"/>
          <w:szCs w:val="24"/>
        </w:rPr>
        <w:t>do que emitirá un decreto para que el Ejército asuma el control operativo y administrativo del cuerpo de seguridad, creado al inicio de su presidencia como una corporación de carácter ci</w:t>
      </w:r>
      <w:r w:rsidRPr="007321AC">
        <w:rPr>
          <w:rFonts w:ascii="Arial" w:hAnsi="Arial" w:cs="Arial"/>
          <w:i/>
          <w:sz w:val="24"/>
          <w:szCs w:val="24"/>
        </w:rPr>
        <w:t>vil, por decisión del Congreso: dijo:</w:t>
      </w:r>
    </w:p>
    <w:p w:rsidR="003452EE" w:rsidRPr="007321AC" w:rsidRDefault="003452EE" w:rsidP="007321AC">
      <w:pPr>
        <w:spacing w:after="120" w:line="240" w:lineRule="auto"/>
        <w:jc w:val="both"/>
        <w:rPr>
          <w:rFonts w:ascii="Arial" w:hAnsi="Arial" w:cs="Arial"/>
          <w:i/>
          <w:sz w:val="24"/>
          <w:szCs w:val="24"/>
        </w:rPr>
      </w:pPr>
      <w:r w:rsidRPr="007321AC">
        <w:rPr>
          <w:rFonts w:ascii="Arial" w:hAnsi="Arial" w:cs="Arial"/>
          <w:i/>
          <w:sz w:val="24"/>
          <w:szCs w:val="24"/>
        </w:rPr>
        <w:t>“Voy a emitir un acuerdo para que ya por completo la Guardia Nacional dependa d</w:t>
      </w:r>
      <w:r w:rsidR="00ED54D5" w:rsidRPr="007321AC">
        <w:rPr>
          <w:rFonts w:ascii="Arial" w:hAnsi="Arial" w:cs="Arial"/>
          <w:i/>
          <w:sz w:val="24"/>
          <w:szCs w:val="24"/>
        </w:rPr>
        <w:t>e la Secretaría de la Defensa”…</w:t>
      </w:r>
      <w:r w:rsidRPr="007321AC">
        <w:rPr>
          <w:rFonts w:ascii="Arial" w:hAnsi="Arial" w:cs="Arial"/>
          <w:i/>
          <w:sz w:val="24"/>
          <w:szCs w:val="24"/>
        </w:rPr>
        <w:t xml:space="preserve">“Quiero que sea la Sedena </w:t>
      </w:r>
      <w:r w:rsidR="00ED54D5" w:rsidRPr="007321AC">
        <w:rPr>
          <w:rFonts w:ascii="Arial" w:hAnsi="Arial" w:cs="Arial"/>
          <w:i/>
          <w:sz w:val="24"/>
          <w:szCs w:val="24"/>
        </w:rPr>
        <w:t>se haga cargo”.</w:t>
      </w:r>
    </w:p>
    <w:p w:rsidR="003452EE" w:rsidRPr="007321AC" w:rsidRDefault="003452EE" w:rsidP="007321AC">
      <w:pPr>
        <w:spacing w:after="120" w:line="240" w:lineRule="auto"/>
        <w:jc w:val="both"/>
        <w:rPr>
          <w:rFonts w:ascii="Arial" w:hAnsi="Arial" w:cs="Arial"/>
          <w:i/>
          <w:sz w:val="24"/>
          <w:szCs w:val="24"/>
        </w:rPr>
      </w:pPr>
    </w:p>
    <w:p w:rsidR="003452EE" w:rsidRPr="007321AC" w:rsidRDefault="003452EE" w:rsidP="007321AC">
      <w:pPr>
        <w:spacing w:after="120" w:line="240" w:lineRule="auto"/>
        <w:jc w:val="both"/>
        <w:rPr>
          <w:rFonts w:ascii="Arial" w:hAnsi="Arial" w:cs="Arial"/>
          <w:i/>
          <w:sz w:val="24"/>
          <w:szCs w:val="24"/>
        </w:rPr>
      </w:pPr>
      <w:r w:rsidRPr="007321AC">
        <w:rPr>
          <w:rFonts w:ascii="Arial" w:hAnsi="Arial" w:cs="Arial"/>
          <w:i/>
          <w:sz w:val="24"/>
          <w:szCs w:val="24"/>
        </w:rPr>
        <w:t xml:space="preserve">El decreto </w:t>
      </w:r>
      <w:r w:rsidR="00ED54D5" w:rsidRPr="007321AC">
        <w:rPr>
          <w:rFonts w:ascii="Arial" w:hAnsi="Arial" w:cs="Arial"/>
          <w:i/>
          <w:sz w:val="24"/>
          <w:szCs w:val="24"/>
        </w:rPr>
        <w:t>atisba</w:t>
      </w:r>
      <w:r w:rsidRPr="007321AC">
        <w:rPr>
          <w:rFonts w:ascii="Arial" w:hAnsi="Arial" w:cs="Arial"/>
          <w:i/>
          <w:sz w:val="24"/>
          <w:szCs w:val="24"/>
        </w:rPr>
        <w:t xml:space="preserve"> la intención original del Gobierno</w:t>
      </w:r>
      <w:r w:rsidR="00ED54D5" w:rsidRPr="007321AC">
        <w:rPr>
          <w:rFonts w:ascii="Arial" w:hAnsi="Arial" w:cs="Arial"/>
          <w:i/>
          <w:sz w:val="24"/>
          <w:szCs w:val="24"/>
        </w:rPr>
        <w:t xml:space="preserve"> de López Obrador</w:t>
      </w:r>
      <w:r w:rsidRPr="007321AC">
        <w:rPr>
          <w:rFonts w:ascii="Arial" w:hAnsi="Arial" w:cs="Arial"/>
          <w:i/>
          <w:sz w:val="24"/>
          <w:szCs w:val="24"/>
        </w:rPr>
        <w:t xml:space="preserve"> para que la Guardia Nacional tenga un mando militar de forma permanente. Se trata de la mayor corporación policial de México, con más de 114.000 efectivos, de acuerdo con datos oficiales publicados a principios de este año. El anuncio quita el control a la Secretaría de Seguridad y Protección Ciudadana y supone la mayor apuesta militar en materia de seguridad del sexenio.</w:t>
      </w:r>
    </w:p>
    <w:p w:rsidR="003452EE" w:rsidRPr="007321AC" w:rsidRDefault="003452EE" w:rsidP="007321AC">
      <w:pPr>
        <w:spacing w:after="120" w:line="240" w:lineRule="auto"/>
        <w:jc w:val="both"/>
        <w:rPr>
          <w:rFonts w:ascii="Arial" w:hAnsi="Arial" w:cs="Arial"/>
          <w:i/>
          <w:sz w:val="24"/>
          <w:szCs w:val="24"/>
        </w:rPr>
      </w:pPr>
    </w:p>
    <w:p w:rsidR="003452EE" w:rsidRPr="007321AC" w:rsidRDefault="00ED54D5" w:rsidP="007321AC">
      <w:pPr>
        <w:spacing w:after="120" w:line="240" w:lineRule="auto"/>
        <w:jc w:val="both"/>
        <w:rPr>
          <w:rFonts w:ascii="Arial" w:hAnsi="Arial" w:cs="Arial"/>
          <w:i/>
          <w:sz w:val="24"/>
          <w:szCs w:val="24"/>
        </w:rPr>
      </w:pPr>
      <w:r w:rsidRPr="007321AC">
        <w:rPr>
          <w:rFonts w:ascii="Arial" w:hAnsi="Arial" w:cs="Arial"/>
          <w:i/>
          <w:sz w:val="24"/>
          <w:szCs w:val="24"/>
        </w:rPr>
        <w:t>Cuestionado</w:t>
      </w:r>
      <w:r w:rsidR="003452EE" w:rsidRPr="007321AC">
        <w:rPr>
          <w:rFonts w:ascii="Arial" w:hAnsi="Arial" w:cs="Arial"/>
          <w:i/>
          <w:sz w:val="24"/>
          <w:szCs w:val="24"/>
        </w:rPr>
        <w:t xml:space="preserve"> el mandatario ha justificado que su actuación está dentro de los márgenes de la ley y que es un cambio necesario para entregar “buenas cuentas” contra la crisis de violencia e inseguridad que azota al país desde hace casi dos décadas y para evitar que “se eche a perder”, en alusión a la extinta Policía Federal.</w:t>
      </w:r>
    </w:p>
    <w:p w:rsidR="003452EE" w:rsidRPr="007321AC" w:rsidRDefault="003452EE" w:rsidP="007321AC">
      <w:pPr>
        <w:spacing w:after="120" w:line="240" w:lineRule="auto"/>
        <w:jc w:val="both"/>
        <w:rPr>
          <w:rFonts w:ascii="Arial" w:hAnsi="Arial" w:cs="Arial"/>
          <w:i/>
          <w:sz w:val="24"/>
          <w:szCs w:val="24"/>
        </w:rPr>
      </w:pPr>
    </w:p>
    <w:p w:rsidR="003452EE" w:rsidRPr="007321AC" w:rsidRDefault="003452EE" w:rsidP="007321AC">
      <w:pPr>
        <w:spacing w:after="120" w:line="240" w:lineRule="auto"/>
        <w:jc w:val="both"/>
        <w:rPr>
          <w:rFonts w:ascii="Arial" w:hAnsi="Arial" w:cs="Arial"/>
          <w:i/>
          <w:sz w:val="24"/>
          <w:szCs w:val="24"/>
        </w:rPr>
      </w:pPr>
      <w:r w:rsidRPr="007321AC">
        <w:rPr>
          <w:rFonts w:ascii="Arial" w:hAnsi="Arial" w:cs="Arial"/>
          <w:i/>
          <w:sz w:val="24"/>
          <w:szCs w:val="24"/>
        </w:rPr>
        <w:lastRenderedPageBreak/>
        <w:t>“Tengo un bloque opositor que no ayuda en nada”, ha reclamado el presidente. El bloque gobernante tiene mayoría en la Cámara de Diputados y en el Senado, pero tiene que negociar con los partidos opositores para alcanzar el umbral de dos tercios de los votos para aprobar reformas constitucionales. Eso ha frustrado algunas de las enmiendas prioritarias para el Gobierno. Su uso no suele ser común para asuntos de esta magnitud, pero López Obrador ya había echado mano de decretos presidenciales para, por ejemplo, quitar el control de las aduanas al fisco y entregarlo a las Fuerzas Armadas, uno de los actores más beneficiados por su Administración.</w:t>
      </w:r>
    </w:p>
    <w:p w:rsidR="003452EE" w:rsidRPr="007321AC" w:rsidRDefault="003452EE" w:rsidP="007321AC">
      <w:pPr>
        <w:spacing w:after="120" w:line="240" w:lineRule="auto"/>
        <w:jc w:val="both"/>
        <w:rPr>
          <w:rFonts w:ascii="Arial" w:hAnsi="Arial" w:cs="Arial"/>
          <w:i/>
          <w:sz w:val="24"/>
          <w:szCs w:val="24"/>
        </w:rPr>
      </w:pPr>
    </w:p>
    <w:p w:rsidR="003452EE" w:rsidRPr="007321AC" w:rsidRDefault="003452EE" w:rsidP="007321AC">
      <w:pPr>
        <w:spacing w:after="120" w:line="240" w:lineRule="auto"/>
        <w:jc w:val="both"/>
        <w:rPr>
          <w:rFonts w:ascii="Arial" w:hAnsi="Arial" w:cs="Arial"/>
          <w:i/>
          <w:sz w:val="24"/>
          <w:szCs w:val="24"/>
        </w:rPr>
      </w:pPr>
      <w:r w:rsidRPr="007321AC">
        <w:rPr>
          <w:rFonts w:ascii="Arial" w:hAnsi="Arial" w:cs="Arial"/>
          <w:i/>
          <w:sz w:val="24"/>
          <w:szCs w:val="24"/>
        </w:rPr>
        <w:t xml:space="preserve">El Ejército se ha convertido en un cajón de sastre para el Ejecutivo y ha asumido casi todos los proyectos insignia del Gobierno de López Obrador, desde la construcción del Aeropuerto Felipe Ángeles y de tramos del Tren Maya hasta el reparto de vacunas contra la covid. La militarización de las tareas de seguridad ha sido especialmente criticada por el historial de reclamos de violaciones de derechos humanos y la falta de transparencia y rendición de </w:t>
      </w:r>
      <w:r w:rsidR="00ED54D5" w:rsidRPr="007321AC">
        <w:rPr>
          <w:rFonts w:ascii="Arial" w:hAnsi="Arial" w:cs="Arial"/>
          <w:i/>
          <w:sz w:val="24"/>
          <w:szCs w:val="24"/>
        </w:rPr>
        <w:t>cuentas de las Fuerzas Armadas.</w:t>
      </w:r>
    </w:p>
    <w:p w:rsidR="00ED54D5" w:rsidRPr="007321AC" w:rsidRDefault="00ED54D5" w:rsidP="007321AC">
      <w:pPr>
        <w:spacing w:after="120" w:line="240" w:lineRule="auto"/>
        <w:jc w:val="both"/>
        <w:rPr>
          <w:rFonts w:ascii="Arial" w:hAnsi="Arial" w:cs="Arial"/>
          <w:i/>
          <w:sz w:val="24"/>
          <w:szCs w:val="24"/>
        </w:rPr>
      </w:pPr>
      <w:r w:rsidRPr="007321AC">
        <w:rPr>
          <w:rFonts w:ascii="Arial" w:hAnsi="Arial" w:cs="Arial"/>
          <w:i/>
          <w:sz w:val="24"/>
          <w:szCs w:val="24"/>
        </w:rPr>
        <w:t xml:space="preserve">La doctrina ha distinguido entre el llamado “poder constituyente originario” y el “poder constituyente derivado”. El primero surge en momentos de ruptura revolucionaria o de fundación de un nuevo Estado. Se dice que no está sujeto a límites jurídicos y que no está condicionado por el orden jurídico preexistente. Por su parte, el segundo surge en el marco de una Constitución vigente, y de él se afirma que sí está sujeto a límites jurídicos y que sí está condicionado por el orden constitucional existente. </w:t>
      </w:r>
    </w:p>
    <w:p w:rsidR="00ED54D5" w:rsidRPr="007321AC" w:rsidRDefault="00ED54D5" w:rsidP="007321AC">
      <w:pPr>
        <w:spacing w:after="120" w:line="240" w:lineRule="auto"/>
        <w:jc w:val="both"/>
        <w:rPr>
          <w:rFonts w:ascii="Arial" w:hAnsi="Arial" w:cs="Arial"/>
          <w:i/>
          <w:sz w:val="24"/>
          <w:szCs w:val="24"/>
        </w:rPr>
      </w:pPr>
      <w:r w:rsidRPr="007321AC">
        <w:rPr>
          <w:rFonts w:ascii="Arial" w:hAnsi="Arial" w:cs="Arial"/>
          <w:i/>
          <w:sz w:val="24"/>
          <w:szCs w:val="24"/>
        </w:rPr>
        <w:t xml:space="preserve">El poder revisor de nuestra Constitución, contemplado en el artículo 135 constitucional, es un “poder constituyente derivado”, en los términos arriba apuntados y por tanto condicionado por el orden constitucional vigente, lo cual nos lleva al tema de los límites del referido tipo de poder. </w:t>
      </w:r>
    </w:p>
    <w:p w:rsidR="00ED54D5" w:rsidRPr="007321AC" w:rsidRDefault="00ED54D5" w:rsidP="007321AC">
      <w:pPr>
        <w:spacing w:after="120" w:line="240" w:lineRule="auto"/>
        <w:jc w:val="both"/>
        <w:rPr>
          <w:rFonts w:ascii="Arial" w:hAnsi="Arial" w:cs="Arial"/>
          <w:i/>
          <w:sz w:val="24"/>
          <w:szCs w:val="24"/>
        </w:rPr>
      </w:pPr>
      <w:r w:rsidRPr="007321AC">
        <w:rPr>
          <w:rFonts w:ascii="Arial" w:hAnsi="Arial" w:cs="Arial"/>
          <w:i/>
          <w:sz w:val="24"/>
          <w:szCs w:val="24"/>
        </w:rPr>
        <w:t>Se han identificado dos tipos de límites: los materiales y los formales. En cuanto a los límites materiales, se ha hablado de límites explícitos y de límites implícitos. En cuanto a los primeros, estamos ante los llamados “principios pétreos” o “cláusulas de intangibilidad”, previstos expresamente en algunas constituciones y que implican que el poder revisor de la Constitución está impedido para reformarlos. Se trata de temas que el poder constituyente decidió declarar inmodificables creando una rigidez constitucional. Este tipo de límites no existe en la Constitución mexicana, pero sí existe en la constitución Francesa, por ejemplo.</w:t>
      </w:r>
    </w:p>
    <w:p w:rsidR="00ED54D5" w:rsidRPr="007321AC" w:rsidRDefault="00ED54D5" w:rsidP="007321AC">
      <w:pPr>
        <w:spacing w:after="120" w:line="240" w:lineRule="auto"/>
        <w:jc w:val="both"/>
        <w:rPr>
          <w:rFonts w:ascii="Arial" w:hAnsi="Arial" w:cs="Arial"/>
          <w:i/>
          <w:sz w:val="24"/>
          <w:szCs w:val="24"/>
        </w:rPr>
      </w:pPr>
      <w:r w:rsidRPr="007321AC">
        <w:rPr>
          <w:rFonts w:ascii="Arial" w:hAnsi="Arial" w:cs="Arial"/>
          <w:i/>
          <w:sz w:val="24"/>
          <w:szCs w:val="24"/>
        </w:rPr>
        <w:t xml:space="preserve">Los límites materiales son aquellas normas sustantivas o aquellos principios que no pueden ser tocados por la reforma constitucional, de tal manera que se cuestiona si </w:t>
      </w:r>
      <w:r w:rsidRPr="007321AC">
        <w:rPr>
          <w:rFonts w:ascii="Arial" w:hAnsi="Arial" w:cs="Arial"/>
          <w:i/>
          <w:sz w:val="24"/>
          <w:szCs w:val="24"/>
        </w:rPr>
        <w:lastRenderedPageBreak/>
        <w:t xml:space="preserve">existen normas o principios establecidos en la Constitución que no puedan ser objeto de reforma por el poder constituyente. </w:t>
      </w:r>
    </w:p>
    <w:p w:rsidR="00ED54D5" w:rsidRPr="007321AC" w:rsidRDefault="00ED54D5" w:rsidP="007321AC">
      <w:pPr>
        <w:spacing w:after="120" w:line="240" w:lineRule="auto"/>
        <w:jc w:val="both"/>
        <w:rPr>
          <w:rFonts w:ascii="Arial" w:hAnsi="Arial" w:cs="Arial"/>
          <w:i/>
          <w:sz w:val="24"/>
          <w:szCs w:val="24"/>
        </w:rPr>
      </w:pPr>
      <w:r w:rsidRPr="007321AC">
        <w:rPr>
          <w:rFonts w:ascii="Arial" w:hAnsi="Arial" w:cs="Arial"/>
          <w:i/>
          <w:sz w:val="24"/>
          <w:szCs w:val="24"/>
        </w:rPr>
        <w:t xml:space="preserve">Si partiésemos afirmando que el poder revisor y el Congreso constituyente pueden partir de cero, sin estar sujetos ni subordinados a ninguna disposición de la Constitución preexistente (a pesar de tener poderes “derivados”), porque la Constitución no establece expresamente ningún “principio pétreo”, es decir, no contiene ninguna cláusula en la cual se prohíba la reforma de algún principio o norma constitucional específica,  equivaldría a la posibilidad de que el día de mañana se reforme la Constitución para constituir el Imperio Mexicano, bajo sistema monárquico, lo cual sería absurdo, pero formalmente solo se requiere que exista la mayoría calificada en el Congreso de la Unión y en las Legislaturas delos Estados para que ello sucediese. </w:t>
      </w:r>
    </w:p>
    <w:p w:rsidR="00ED54D5" w:rsidRPr="007321AC" w:rsidRDefault="00ED54D5" w:rsidP="007321AC">
      <w:pPr>
        <w:spacing w:after="120" w:line="240" w:lineRule="auto"/>
        <w:jc w:val="both"/>
        <w:rPr>
          <w:rFonts w:ascii="Arial" w:hAnsi="Arial" w:cs="Arial"/>
          <w:i/>
          <w:sz w:val="24"/>
          <w:szCs w:val="24"/>
        </w:rPr>
      </w:pPr>
      <w:r w:rsidRPr="007321AC">
        <w:rPr>
          <w:rFonts w:ascii="Arial" w:hAnsi="Arial" w:cs="Arial"/>
          <w:i/>
          <w:sz w:val="24"/>
          <w:szCs w:val="24"/>
        </w:rPr>
        <w:t xml:space="preserve">Por ello la respuesta podríamos decir que existen límites implícitos al poder revisor que derivan de los principios, normas o “decisiones fundamentales” que no pueden ser reformadas, aun cuando la Constitución no establezca expresamente tal prohibición. </w:t>
      </w:r>
    </w:p>
    <w:p w:rsidR="00ED54D5" w:rsidRPr="007321AC" w:rsidRDefault="00ED54D5" w:rsidP="007321AC">
      <w:pPr>
        <w:spacing w:after="120" w:line="240" w:lineRule="auto"/>
        <w:jc w:val="both"/>
        <w:rPr>
          <w:rFonts w:ascii="Arial" w:hAnsi="Arial" w:cs="Arial"/>
          <w:i/>
          <w:sz w:val="24"/>
          <w:szCs w:val="24"/>
        </w:rPr>
      </w:pPr>
      <w:r w:rsidRPr="007321AC">
        <w:rPr>
          <w:rFonts w:ascii="Arial" w:hAnsi="Arial" w:cs="Arial"/>
          <w:i/>
          <w:sz w:val="24"/>
          <w:szCs w:val="24"/>
        </w:rPr>
        <w:t>El problema se presenta en determinar ¿cuáles son esos principios fundamentales que vienen a constituir límites implícitos del poder reformador? Los doctrinarios mexicanos han ofrecido diferentes soluciones, Jorge Carpizo ha señalado que las decisiones fundamentales de nuestro orden constitucional son los derechos humanos, la soberanía popular, la división de poderes, el sistema representativo, el sistema federal, la supremacía del Estado sobre las iglesias y el juicio de amparo. Emilio Rabasa señala como un principio que no puede ser cambiado por el poder reformador de la Constitución, el de la forma de gobierno. Mientras que Mario de la Cueva dice que el poder revisor no puede modificar la esencia de la Constitución que son los derechos individuales y sociales. Burgoa considera como principios fundamentales la forma del Estado, la forma de Gobierno, el sistema electoral, las garantías del gobernado, las garantías sociales, las garantías del trabajador, las declaraciones fundamentales en materia socioeconómica y cultural y el juicio de amparo, y propone que cualquier reforma a la Constitución que afecte sustancialmente alguno de estos principios, debiera ser sometida a referéndum popular, una vez cumplido el procedimiento establecido en el artículo 135 constitucional, para que entre en vigor.</w:t>
      </w:r>
    </w:p>
    <w:p w:rsidR="00ED54D5" w:rsidRPr="007321AC" w:rsidRDefault="00ED54D5" w:rsidP="007321AC">
      <w:pPr>
        <w:spacing w:after="120" w:line="240" w:lineRule="auto"/>
        <w:jc w:val="both"/>
        <w:rPr>
          <w:rFonts w:ascii="Arial" w:hAnsi="Arial" w:cs="Arial"/>
          <w:i/>
          <w:sz w:val="24"/>
          <w:szCs w:val="24"/>
        </w:rPr>
      </w:pPr>
      <w:r w:rsidRPr="007321AC">
        <w:rPr>
          <w:rFonts w:ascii="Arial" w:hAnsi="Arial" w:cs="Arial"/>
          <w:i/>
          <w:sz w:val="24"/>
          <w:szCs w:val="24"/>
        </w:rPr>
        <w:t xml:space="preserve">Como puede observarse, no existe en nuestra Constitución un criterio o base que permita identificar, con un mayor grado de objetividad, cuáles podrían considerarse como “principios pétreos implícitos”. Asimismo, tampoco existe un señalamiento acerca de quién estaría facultado para definir cuáles son dichos principios, sin embargo es de interés superlativo, el siguiente criterio de la Suprema Corte de </w:t>
      </w:r>
      <w:r w:rsidRPr="007321AC">
        <w:rPr>
          <w:rFonts w:ascii="Arial" w:hAnsi="Arial" w:cs="Arial"/>
          <w:i/>
          <w:sz w:val="24"/>
          <w:szCs w:val="24"/>
        </w:rPr>
        <w:lastRenderedPageBreak/>
        <w:t>Justicia de la Nación que asume la existencia de esos límites y por tanto la posibilidad de que sea la misma Corte que defina su transgresión:</w:t>
      </w:r>
    </w:p>
    <w:p w:rsidR="00ED54D5" w:rsidRPr="007321AC" w:rsidRDefault="00ED54D5" w:rsidP="007321AC">
      <w:pPr>
        <w:spacing w:after="120" w:line="240" w:lineRule="auto"/>
        <w:jc w:val="both"/>
        <w:rPr>
          <w:rFonts w:ascii="Arial" w:hAnsi="Arial" w:cs="Arial"/>
          <w:i/>
          <w:sz w:val="24"/>
          <w:szCs w:val="24"/>
        </w:rPr>
      </w:pPr>
    </w:p>
    <w:p w:rsidR="00ED54D5" w:rsidRPr="007321AC" w:rsidRDefault="00ED54D5" w:rsidP="007321AC">
      <w:pPr>
        <w:spacing w:after="120" w:line="240" w:lineRule="auto"/>
        <w:ind w:left="708"/>
        <w:jc w:val="both"/>
        <w:rPr>
          <w:rFonts w:ascii="Arial" w:hAnsi="Arial" w:cs="Arial"/>
          <w:i/>
          <w:sz w:val="24"/>
          <w:szCs w:val="24"/>
        </w:rPr>
      </w:pPr>
      <w:r w:rsidRPr="007321AC">
        <w:rPr>
          <w:rFonts w:ascii="Arial" w:hAnsi="Arial" w:cs="Arial"/>
          <w:b/>
          <w:i/>
          <w:sz w:val="24"/>
          <w:szCs w:val="24"/>
        </w:rPr>
        <w:t>PODER REFORMADOR DE LA CONSTITUCIÓN. EL PROCEDIMIENTO REFORMATORIO RELATIVO EMANADO DE ESTE ÓRGANO CON FACULTADES LIMITADAS, ES SUSCEPTIBLE DE CONTROL CONSTITUCIONAL.</w:t>
      </w:r>
      <w:r w:rsidRPr="007321AC">
        <w:rPr>
          <w:rFonts w:ascii="Arial" w:hAnsi="Arial" w:cs="Arial"/>
          <w:i/>
          <w:sz w:val="24"/>
          <w:szCs w:val="24"/>
        </w:rPr>
        <w:t xml:space="preserve"> No puede identificarse al Poder Reformador de la Constitución con el Poder Constituyente, debido a que la propia Norma Fundamental establece ciertos límites al primero, los cuales deben cumplirse para respetar el principio jurídico de supremacía constitucional, pues de lo contrario se daría prevalencia únicamente al principio político de soberanía popular -los mencionados principios deben coexistir siempre que se asocien adecuadamente con los momentos históricos y con el tipo de ejercicio que se trate-. El Poder Constituyente, soberano, ilimitado, no puede quedar encerrado dentro del ordenamiento constitucional. La historia ha demostrado que todos los intentos de organización jurídica del Poder Constituyente, en el mejor de los casos, han servido sólo para privar al pueblo de sus facultades soberanas, a favor de otras instancias u otros órganos estatales. Se considera que ese poder ilimitado se ejerce, de acuerdo con su propia naturaleza, como fuerza externa al sistema, por lo que siempre y en todo momento podrá reformar a la Constitución existente o establecer una nueva, pero su actuación no podrá explicarse en términos jurídicos, sino por las vías de hecho, esto es, mediante un proceso revolucionario. En cambio, ningún poder constituido puede extraerse de la órbita en que la Constitución sitúa su esfera de competencias; por ello es que resulta inaceptable la pretensión de convertir al Poder Constituyente en el Poder Reformador -ordenado y regulado en la Constitución- como la aspiración contraria de hacer del Poder de Revisión un auténtico y soberano Poder Constituyente. El Poder Reformador es un órgano regulado y ordenado en el texto constitucional, pues es en él donde se basa su competencia. Aun cuando se acepte que la competencia para reformar la Constitución no es una competencia normal, sino una facultad extraordinaria o, si se quiere, una "competencia de competencias", ello no implica que se identifique, sin más, la facultad extraordinaria con el Poder Soberano. Claramente se trata de conceptos que no son idénticos, pues el Poder de Revisión nunca podrá tener otro fundamento que no sea la propia Constitución; de manera contraria, el Poder Constituyente, como poder soberano, es previo e independiente del ordenamiento. En consecuencia, es claro que solamente considerando al Poder Reformador como un poder constituido y limitado, la estructura de la </w:t>
      </w:r>
      <w:r w:rsidRPr="007321AC">
        <w:rPr>
          <w:rFonts w:ascii="Arial" w:hAnsi="Arial" w:cs="Arial"/>
          <w:i/>
          <w:sz w:val="24"/>
          <w:szCs w:val="24"/>
        </w:rPr>
        <w:lastRenderedPageBreak/>
        <w:t>organización constitucional democrática mantiene su coherencia y cobra sentido el principio jurídico de supremacía constitucional, ya que así ningún poder organizado y regulado por la Constitución puede ubicarse encima de ella. Sólo de este modo puede hablarse propiamente de una capacidad de la norma fundamental para controlar sus propios procesos de transformación. Con ello, la Constitución se presenta como auténtica lex superior y la reforma constitucional puede interpretarse como una verdadera operación jurídica. De todo lo anterior se concluye que si el Poder Reformador es un órgano complejo limitado y sujeto necesariamente a las normas de competencia establecidas en el texto constitucional, entonces es jurídica y constitucionalmente posible admitir que un Estado Constitucional debe prever medios de control sobre aquellos actos reformatorios que se aparten de las reglas constitucionales. Es decir, derivado de una interpretación del artículo 135 de la Constitución Política de los Estados Unidos Mexicanos, cabe la posibilidad de ejercer medios de control constitucional contra la eventual actuación violatoria de las normas del procedimiento reformatorio.</w:t>
      </w:r>
    </w:p>
    <w:p w:rsidR="00ED54D5" w:rsidRPr="007321AC" w:rsidRDefault="00ED54D5" w:rsidP="007321AC">
      <w:pPr>
        <w:spacing w:after="120" w:line="240" w:lineRule="auto"/>
        <w:ind w:left="708"/>
        <w:jc w:val="both"/>
        <w:rPr>
          <w:rFonts w:ascii="Arial" w:hAnsi="Arial" w:cs="Arial"/>
          <w:i/>
          <w:sz w:val="24"/>
          <w:szCs w:val="24"/>
        </w:rPr>
      </w:pPr>
      <w:r w:rsidRPr="007321AC">
        <w:rPr>
          <w:rFonts w:ascii="Arial" w:hAnsi="Arial" w:cs="Arial"/>
          <w:i/>
          <w:sz w:val="24"/>
          <w:szCs w:val="24"/>
        </w:rPr>
        <w:t>Amparo en revisión 186/2008. Centro Empresarial de Jalisco, Sindicato Patronal. 29 de septiembre de 2008. Mayoría de seis votos. Disidentes: Margarita Beatriz Luna Ramos, José Fernando Franco González Salas, José de Jesús Gudiño Pelayo y Sergio A. Valls Hernández. Ausente: Mariano Azuela Güitrón. Ponente: José Ramón Cossío Díaz. Secretario: Roberto Lara Chagoyán.</w:t>
      </w:r>
    </w:p>
    <w:p w:rsidR="00ED54D5" w:rsidRPr="007321AC" w:rsidRDefault="00ED54D5" w:rsidP="007321AC">
      <w:pPr>
        <w:spacing w:after="120" w:line="240" w:lineRule="auto"/>
        <w:ind w:left="708"/>
        <w:jc w:val="both"/>
        <w:rPr>
          <w:rFonts w:ascii="Arial" w:hAnsi="Arial" w:cs="Arial"/>
          <w:i/>
          <w:sz w:val="24"/>
          <w:szCs w:val="24"/>
        </w:rPr>
      </w:pPr>
      <w:r w:rsidRPr="007321AC">
        <w:rPr>
          <w:rFonts w:ascii="Arial" w:hAnsi="Arial" w:cs="Arial"/>
          <w:i/>
          <w:sz w:val="24"/>
          <w:szCs w:val="24"/>
        </w:rPr>
        <w:t>El Tribunal Pleno, el tres de noviembre en curso, aprobó, con el número LXXV/2009, la tesis aislada que antecede. México, Distrito Federal, a tres de noviembre de dos mil nueve.</w:t>
      </w:r>
    </w:p>
    <w:p w:rsidR="00ED54D5" w:rsidRPr="007321AC" w:rsidRDefault="00ED54D5" w:rsidP="007321AC">
      <w:pPr>
        <w:spacing w:after="120" w:line="240" w:lineRule="auto"/>
        <w:ind w:left="708"/>
        <w:jc w:val="both"/>
        <w:rPr>
          <w:rFonts w:ascii="Arial" w:hAnsi="Arial" w:cs="Arial"/>
          <w:i/>
          <w:sz w:val="24"/>
          <w:szCs w:val="24"/>
        </w:rPr>
      </w:pPr>
    </w:p>
    <w:p w:rsidR="00ED54D5" w:rsidRPr="007321AC" w:rsidRDefault="00ED54D5" w:rsidP="007321AC">
      <w:pPr>
        <w:spacing w:after="120" w:line="240" w:lineRule="auto"/>
        <w:ind w:left="708"/>
        <w:jc w:val="both"/>
        <w:rPr>
          <w:rFonts w:ascii="Arial" w:hAnsi="Arial" w:cs="Arial"/>
          <w:i/>
          <w:sz w:val="24"/>
          <w:szCs w:val="24"/>
        </w:rPr>
      </w:pPr>
      <w:r w:rsidRPr="007321AC">
        <w:rPr>
          <w:rFonts w:ascii="Arial" w:hAnsi="Arial" w:cs="Arial"/>
          <w:i/>
          <w:sz w:val="24"/>
          <w:szCs w:val="24"/>
        </w:rPr>
        <w:t xml:space="preserve">Época: Novena Época Registro: 165713 Instancia: Pleno Tipo de Tesis: Aislada Fuente: Semanario Judicial de la Federación y su Gaceta Tomo XXX, Diciembre de 2009 Materia(s): Constitucional Tesis: P. LXXV/2009 Página: 14 </w:t>
      </w:r>
    </w:p>
    <w:p w:rsidR="00ED54D5" w:rsidRPr="007321AC" w:rsidRDefault="00ED54D5" w:rsidP="007321AC">
      <w:pPr>
        <w:spacing w:after="120" w:line="240" w:lineRule="auto"/>
        <w:jc w:val="both"/>
        <w:rPr>
          <w:rFonts w:ascii="Arial" w:hAnsi="Arial" w:cs="Arial"/>
          <w:i/>
          <w:sz w:val="24"/>
          <w:szCs w:val="24"/>
        </w:rPr>
      </w:pPr>
      <w:r w:rsidRPr="007321AC">
        <w:rPr>
          <w:rFonts w:ascii="Arial" w:hAnsi="Arial" w:cs="Arial"/>
          <w:i/>
          <w:sz w:val="24"/>
          <w:szCs w:val="24"/>
        </w:rPr>
        <w:t xml:space="preserve">En estas condiciones, a mi juicio y conforme a los argumentos constitucionales que he invocado, </w:t>
      </w:r>
      <w:r w:rsidR="00FA4180" w:rsidRPr="007321AC">
        <w:rPr>
          <w:rFonts w:ascii="Arial" w:hAnsi="Arial" w:cs="Arial"/>
          <w:i/>
          <w:sz w:val="24"/>
          <w:szCs w:val="24"/>
        </w:rPr>
        <w:t xml:space="preserve">es indudable que </w:t>
      </w:r>
      <w:r w:rsidRPr="007321AC">
        <w:rPr>
          <w:rFonts w:ascii="Arial" w:hAnsi="Arial" w:cs="Arial"/>
          <w:i/>
          <w:sz w:val="24"/>
          <w:szCs w:val="24"/>
        </w:rPr>
        <w:t>la participación de las fuerzas armadas en tareas de seguridad pública y seguridad ciudadana tiene aspectos y efectos negativos en el respe</w:t>
      </w:r>
      <w:r w:rsidR="00FA4180" w:rsidRPr="007321AC">
        <w:rPr>
          <w:rFonts w:ascii="Arial" w:hAnsi="Arial" w:cs="Arial"/>
          <w:i/>
          <w:sz w:val="24"/>
          <w:szCs w:val="24"/>
        </w:rPr>
        <w:t>to a los</w:t>
      </w:r>
      <w:r w:rsidRPr="007321AC">
        <w:rPr>
          <w:rFonts w:ascii="Arial" w:hAnsi="Arial" w:cs="Arial"/>
          <w:i/>
          <w:sz w:val="24"/>
          <w:szCs w:val="24"/>
        </w:rPr>
        <w:t xml:space="preserve"> derechos humanos cuando ello se convierte en una práctica generalizada y es propio de un país antidemocrático y dictatorial, de tal suerte que solo se deben usar de manera excepcional, y este principio es asumido por México dentro del contexto jurídico de respeto a los derechos humanos como miembro de </w:t>
      </w:r>
      <w:r w:rsidRPr="007321AC">
        <w:rPr>
          <w:rFonts w:ascii="Arial" w:hAnsi="Arial" w:cs="Arial"/>
          <w:i/>
          <w:sz w:val="24"/>
          <w:szCs w:val="24"/>
        </w:rPr>
        <w:lastRenderedPageBreak/>
        <w:t xml:space="preserve">la OEA, por lo que esa práctica sería contraria la constitución y a los tratados internacionales </w:t>
      </w:r>
      <w:r w:rsidR="00FA4180" w:rsidRPr="007321AC">
        <w:rPr>
          <w:rFonts w:ascii="Arial" w:hAnsi="Arial" w:cs="Arial"/>
          <w:i/>
          <w:sz w:val="24"/>
          <w:szCs w:val="24"/>
        </w:rPr>
        <w:t>adoptados por México.</w:t>
      </w:r>
    </w:p>
    <w:p w:rsidR="00FA4180" w:rsidRPr="007321AC" w:rsidRDefault="00FA4180" w:rsidP="007321AC">
      <w:pPr>
        <w:spacing w:after="120" w:line="240" w:lineRule="auto"/>
        <w:jc w:val="both"/>
        <w:rPr>
          <w:rFonts w:ascii="Arial" w:hAnsi="Arial" w:cs="Arial"/>
          <w:b/>
          <w:bCs/>
          <w:i/>
          <w:sz w:val="24"/>
          <w:szCs w:val="24"/>
        </w:rPr>
      </w:pPr>
      <w:r w:rsidRPr="007321AC">
        <w:rPr>
          <w:rFonts w:ascii="Arial" w:hAnsi="Arial" w:cs="Arial"/>
          <w:i/>
          <w:sz w:val="24"/>
          <w:szCs w:val="24"/>
        </w:rPr>
        <w:t xml:space="preserve">Se propone el siguiente </w:t>
      </w:r>
      <w:r w:rsidRPr="007321AC">
        <w:rPr>
          <w:rFonts w:ascii="Arial" w:hAnsi="Arial" w:cs="Arial"/>
          <w:b/>
          <w:bCs/>
          <w:i/>
          <w:sz w:val="24"/>
          <w:szCs w:val="24"/>
        </w:rPr>
        <w:t>PUNTO DE ACUERDO</w:t>
      </w:r>
      <w:r w:rsidRPr="007321AC">
        <w:rPr>
          <w:rFonts w:ascii="Arial" w:hAnsi="Arial" w:cs="Arial"/>
          <w:i/>
          <w:sz w:val="24"/>
          <w:szCs w:val="24"/>
        </w:rPr>
        <w:t xml:space="preserve"> que tome de inmediato el </w:t>
      </w:r>
      <w:r w:rsidRPr="007321AC">
        <w:rPr>
          <w:rFonts w:ascii="Arial" w:hAnsi="Arial" w:cs="Arial"/>
          <w:b/>
          <w:bCs/>
          <w:i/>
          <w:sz w:val="24"/>
          <w:szCs w:val="24"/>
        </w:rPr>
        <w:t>H. Congreso del Estado de Chihuahua:</w:t>
      </w:r>
    </w:p>
    <w:p w:rsidR="00FA4180" w:rsidRPr="007321AC" w:rsidRDefault="00FA4180" w:rsidP="007321AC">
      <w:pPr>
        <w:spacing w:after="120" w:line="240" w:lineRule="auto"/>
        <w:jc w:val="both"/>
        <w:rPr>
          <w:rFonts w:ascii="Arial" w:hAnsi="Arial" w:cs="Arial"/>
          <w:i/>
          <w:sz w:val="24"/>
          <w:szCs w:val="24"/>
        </w:rPr>
      </w:pPr>
    </w:p>
    <w:p w:rsidR="00FA4180" w:rsidRDefault="00FA4180" w:rsidP="007321AC">
      <w:pPr>
        <w:spacing w:after="120" w:line="240" w:lineRule="auto"/>
        <w:jc w:val="center"/>
        <w:rPr>
          <w:rFonts w:ascii="Arial" w:hAnsi="Arial" w:cs="Arial"/>
          <w:b/>
          <w:bCs/>
          <w:i/>
          <w:sz w:val="24"/>
          <w:szCs w:val="24"/>
        </w:rPr>
      </w:pPr>
      <w:r w:rsidRPr="007321AC">
        <w:rPr>
          <w:rFonts w:ascii="Arial" w:hAnsi="Arial" w:cs="Arial"/>
          <w:b/>
          <w:bCs/>
          <w:i/>
          <w:sz w:val="24"/>
          <w:szCs w:val="24"/>
        </w:rPr>
        <w:t>ACUERDO</w:t>
      </w:r>
    </w:p>
    <w:p w:rsidR="007321AC" w:rsidRPr="007321AC" w:rsidRDefault="007321AC" w:rsidP="007321AC">
      <w:pPr>
        <w:spacing w:after="120" w:line="240" w:lineRule="auto"/>
        <w:jc w:val="center"/>
        <w:rPr>
          <w:rFonts w:ascii="Arial" w:hAnsi="Arial" w:cs="Arial"/>
          <w:b/>
          <w:bCs/>
          <w:i/>
          <w:sz w:val="24"/>
          <w:szCs w:val="24"/>
        </w:rPr>
      </w:pPr>
    </w:p>
    <w:p w:rsidR="00FA4180" w:rsidRDefault="00FA4180" w:rsidP="007321AC">
      <w:pPr>
        <w:spacing w:after="120" w:line="240" w:lineRule="auto"/>
        <w:jc w:val="both"/>
        <w:rPr>
          <w:rFonts w:ascii="Arial" w:hAnsi="Arial" w:cs="Arial"/>
          <w:i/>
          <w:sz w:val="24"/>
          <w:szCs w:val="24"/>
        </w:rPr>
      </w:pPr>
      <w:r w:rsidRPr="007321AC">
        <w:rPr>
          <w:rFonts w:ascii="Arial" w:hAnsi="Arial" w:cs="Arial"/>
          <w:b/>
          <w:bCs/>
          <w:i/>
          <w:sz w:val="24"/>
          <w:szCs w:val="24"/>
        </w:rPr>
        <w:t>PRIMERO.</w:t>
      </w:r>
      <w:r w:rsidRPr="007321AC">
        <w:rPr>
          <w:rFonts w:ascii="Arial" w:hAnsi="Arial" w:cs="Arial"/>
          <w:i/>
          <w:sz w:val="24"/>
          <w:szCs w:val="24"/>
        </w:rPr>
        <w:t xml:space="preserve"> Se conmina y exhorta al titular del Poder Ejecutivo Federal Presidente Andrés Manuel López Obrador que en el uso de sus atribuciones como Comandante en Jefe de las Fuerzas Armadas acate los principios acogidos por la Corte Interamericana y la Suprema Corte de Justicia de la Nación de excepcionalidad, necesidad, proporcionalidad, humanidad y legalidad en el uso de las fuerzas armadas.</w:t>
      </w:r>
    </w:p>
    <w:p w:rsidR="007321AC" w:rsidRPr="007321AC" w:rsidRDefault="007321AC" w:rsidP="007321AC">
      <w:pPr>
        <w:spacing w:after="120" w:line="240" w:lineRule="auto"/>
        <w:jc w:val="both"/>
        <w:rPr>
          <w:rFonts w:ascii="Arial" w:hAnsi="Arial" w:cs="Arial"/>
          <w:i/>
          <w:sz w:val="24"/>
          <w:szCs w:val="24"/>
        </w:rPr>
      </w:pPr>
    </w:p>
    <w:p w:rsidR="00FA4180" w:rsidRPr="007321AC" w:rsidRDefault="00FA4180" w:rsidP="007321AC">
      <w:pPr>
        <w:spacing w:after="120" w:line="240" w:lineRule="auto"/>
        <w:jc w:val="both"/>
        <w:rPr>
          <w:rFonts w:ascii="Arial" w:hAnsi="Arial" w:cs="Arial"/>
          <w:i/>
          <w:sz w:val="24"/>
          <w:szCs w:val="24"/>
        </w:rPr>
      </w:pPr>
      <w:r w:rsidRPr="007321AC">
        <w:rPr>
          <w:rFonts w:ascii="Arial" w:hAnsi="Arial" w:cs="Arial"/>
          <w:b/>
          <w:bCs/>
          <w:i/>
          <w:sz w:val="24"/>
          <w:szCs w:val="24"/>
        </w:rPr>
        <w:t>SEGUNDO.</w:t>
      </w:r>
      <w:r w:rsidRPr="007321AC">
        <w:rPr>
          <w:rFonts w:ascii="Arial" w:hAnsi="Arial" w:cs="Arial"/>
          <w:i/>
          <w:sz w:val="24"/>
          <w:szCs w:val="24"/>
        </w:rPr>
        <w:t xml:space="preserve"> Tomando en cuenta que en México la Constitución de los Estados Unidos Mexicanos en su artículo 29 prevé que el Ejecutivo Federal pueda usar las fuerzas armadas en tareas de seguridad interior, en los caso previstos en la carta magna y previa autorización del Congreso de la Unión, se conmina y exhorta al titular del Poder Ejecutivo Federal Presidente Andrés Manuel López Obrador para que de inmediato se ajuste al marco constitucional en su intención del uso de las fuerzas militares en acciones de </w:t>
      </w:r>
      <w:r w:rsidR="0015593F" w:rsidRPr="007321AC">
        <w:rPr>
          <w:rFonts w:ascii="Arial" w:hAnsi="Arial" w:cs="Arial"/>
          <w:i/>
          <w:sz w:val="24"/>
          <w:szCs w:val="24"/>
        </w:rPr>
        <w:t xml:space="preserve">seguridad pública, bajo el principio irrestricto de excepcionalidad. </w:t>
      </w:r>
    </w:p>
    <w:p w:rsidR="00FA4180" w:rsidRDefault="00FA4180" w:rsidP="007321AC">
      <w:pPr>
        <w:spacing w:after="120" w:line="240" w:lineRule="auto"/>
        <w:jc w:val="center"/>
        <w:rPr>
          <w:rFonts w:ascii="Arial" w:hAnsi="Arial" w:cs="Arial"/>
          <w:b/>
          <w:i/>
          <w:sz w:val="24"/>
          <w:szCs w:val="24"/>
        </w:rPr>
      </w:pPr>
      <w:r w:rsidRPr="007321AC">
        <w:rPr>
          <w:rFonts w:ascii="Arial" w:hAnsi="Arial" w:cs="Arial"/>
          <w:b/>
          <w:i/>
          <w:sz w:val="24"/>
          <w:szCs w:val="24"/>
        </w:rPr>
        <w:t>TRANSITORIOS:</w:t>
      </w:r>
    </w:p>
    <w:p w:rsidR="007321AC" w:rsidRPr="007321AC" w:rsidRDefault="007321AC" w:rsidP="007321AC">
      <w:pPr>
        <w:spacing w:after="120" w:line="240" w:lineRule="auto"/>
        <w:jc w:val="center"/>
        <w:rPr>
          <w:rFonts w:ascii="Arial" w:hAnsi="Arial" w:cs="Arial"/>
          <w:i/>
          <w:sz w:val="24"/>
          <w:szCs w:val="24"/>
        </w:rPr>
      </w:pPr>
    </w:p>
    <w:p w:rsidR="00FA4180" w:rsidRPr="007321AC" w:rsidRDefault="00FA4180" w:rsidP="007321AC">
      <w:pPr>
        <w:spacing w:after="120" w:line="240" w:lineRule="auto"/>
        <w:jc w:val="both"/>
        <w:rPr>
          <w:rFonts w:ascii="Arial" w:hAnsi="Arial" w:cs="Arial"/>
          <w:i/>
          <w:sz w:val="24"/>
          <w:szCs w:val="24"/>
        </w:rPr>
      </w:pPr>
      <w:r w:rsidRPr="007321AC">
        <w:rPr>
          <w:rFonts w:ascii="Arial" w:hAnsi="Arial" w:cs="Arial"/>
          <w:b/>
          <w:i/>
          <w:sz w:val="24"/>
          <w:szCs w:val="24"/>
        </w:rPr>
        <w:t>UNICO.-</w:t>
      </w:r>
      <w:r w:rsidRPr="007321AC">
        <w:rPr>
          <w:rFonts w:ascii="Arial" w:hAnsi="Arial" w:cs="Arial"/>
          <w:i/>
          <w:sz w:val="24"/>
          <w:szCs w:val="24"/>
        </w:rPr>
        <w:t xml:space="preserve"> El presente decreto entrará en vigor el día </w:t>
      </w:r>
      <w:r w:rsidR="00781012" w:rsidRPr="007321AC">
        <w:rPr>
          <w:rFonts w:ascii="Arial" w:hAnsi="Arial" w:cs="Arial"/>
          <w:i/>
          <w:sz w:val="24"/>
          <w:szCs w:val="24"/>
        </w:rPr>
        <w:t>de su aprobación</w:t>
      </w:r>
      <w:r w:rsidR="0015593F" w:rsidRPr="007321AC">
        <w:rPr>
          <w:rFonts w:ascii="Arial" w:hAnsi="Arial" w:cs="Arial"/>
          <w:i/>
          <w:sz w:val="24"/>
          <w:szCs w:val="24"/>
        </w:rPr>
        <w:t>.</w:t>
      </w:r>
    </w:p>
    <w:p w:rsidR="00FA4180" w:rsidRDefault="00FA4180" w:rsidP="007321AC">
      <w:pPr>
        <w:pStyle w:val="NormalWeb"/>
        <w:spacing w:before="0" w:beforeAutospacing="0" w:after="120" w:afterAutospacing="0"/>
        <w:jc w:val="both"/>
        <w:rPr>
          <w:rFonts w:ascii="Arial" w:hAnsi="Arial" w:cs="Arial"/>
          <w:i/>
        </w:rPr>
      </w:pPr>
      <w:r w:rsidRPr="007321AC">
        <w:rPr>
          <w:rFonts w:ascii="Arial" w:hAnsi="Arial" w:cs="Arial"/>
          <w:i/>
        </w:rPr>
        <w:t>En el Palacio Legislativo d</w:t>
      </w:r>
      <w:r w:rsidR="007321AC">
        <w:rPr>
          <w:rFonts w:ascii="Arial" w:hAnsi="Arial" w:cs="Arial"/>
          <w:i/>
        </w:rPr>
        <w:t>el Estado de Chihuahua, a los 16</w:t>
      </w:r>
      <w:r w:rsidRPr="007321AC">
        <w:rPr>
          <w:rFonts w:ascii="Arial" w:hAnsi="Arial" w:cs="Arial"/>
          <w:i/>
        </w:rPr>
        <w:t xml:space="preserve"> días del mes de </w:t>
      </w:r>
      <w:r w:rsidR="00781012" w:rsidRPr="007321AC">
        <w:rPr>
          <w:rFonts w:ascii="Arial" w:hAnsi="Arial" w:cs="Arial"/>
          <w:i/>
        </w:rPr>
        <w:t>agosto d</w:t>
      </w:r>
      <w:r w:rsidRPr="007321AC">
        <w:rPr>
          <w:rFonts w:ascii="Arial" w:hAnsi="Arial" w:cs="Arial"/>
          <w:i/>
        </w:rPr>
        <w:t xml:space="preserve">el año dos mil </w:t>
      </w:r>
      <w:r w:rsidR="00781012" w:rsidRPr="007321AC">
        <w:rPr>
          <w:rFonts w:ascii="Arial" w:hAnsi="Arial" w:cs="Arial"/>
          <w:i/>
        </w:rPr>
        <w:t>veintidós.</w:t>
      </w:r>
    </w:p>
    <w:p w:rsidR="007321AC" w:rsidRPr="007321AC" w:rsidRDefault="007321AC" w:rsidP="007321AC">
      <w:pPr>
        <w:pStyle w:val="NormalWeb"/>
        <w:spacing w:before="0" w:beforeAutospacing="0" w:after="120" w:afterAutospacing="0"/>
        <w:jc w:val="both"/>
        <w:rPr>
          <w:rFonts w:ascii="Arial" w:hAnsi="Arial" w:cs="Arial"/>
          <w:i/>
        </w:rPr>
      </w:pPr>
      <w:bookmarkStart w:id="2" w:name="_GoBack"/>
      <w:bookmarkEnd w:id="2"/>
    </w:p>
    <w:p w:rsidR="00FA4180" w:rsidRPr="007321AC" w:rsidRDefault="007321AC" w:rsidP="007321AC">
      <w:pPr>
        <w:spacing w:after="120" w:line="240" w:lineRule="auto"/>
        <w:jc w:val="center"/>
        <w:rPr>
          <w:rFonts w:ascii="Arial" w:hAnsi="Arial" w:cs="Arial"/>
          <w:b/>
          <w:i/>
          <w:sz w:val="24"/>
          <w:szCs w:val="24"/>
        </w:rPr>
      </w:pPr>
      <w:r w:rsidRPr="007321AC">
        <w:rPr>
          <w:rFonts w:ascii="Arial" w:hAnsi="Arial" w:cs="Arial"/>
          <w:b/>
          <w:i/>
          <w:sz w:val="24"/>
          <w:szCs w:val="24"/>
        </w:rPr>
        <w:drawing>
          <wp:anchor distT="0" distB="0" distL="114300" distR="114300" simplePos="0" relativeHeight="251658240" behindDoc="1" locked="0" layoutInCell="1" allowOverlap="1" wp14:anchorId="0A8540D7" wp14:editId="35151CBF">
            <wp:simplePos x="0" y="0"/>
            <wp:positionH relativeFrom="margin">
              <wp:posOffset>1901190</wp:posOffset>
            </wp:positionH>
            <wp:positionV relativeFrom="paragraph">
              <wp:posOffset>12065</wp:posOffset>
            </wp:positionV>
            <wp:extent cx="1662884" cy="904678"/>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1662884" cy="904678"/>
                    </a:xfrm>
                    <a:prstGeom prst="rect">
                      <a:avLst/>
                    </a:prstGeom>
                  </pic:spPr>
                </pic:pic>
              </a:graphicData>
            </a:graphic>
            <wp14:sizeRelH relativeFrom="margin">
              <wp14:pctWidth>0</wp14:pctWidth>
            </wp14:sizeRelH>
            <wp14:sizeRelV relativeFrom="margin">
              <wp14:pctHeight>0</wp14:pctHeight>
            </wp14:sizeRelV>
          </wp:anchor>
        </w:drawing>
      </w:r>
      <w:r w:rsidR="00FA4180" w:rsidRPr="007321AC">
        <w:rPr>
          <w:rFonts w:ascii="Arial" w:hAnsi="Arial" w:cs="Arial"/>
          <w:b/>
          <w:i/>
          <w:sz w:val="24"/>
          <w:szCs w:val="24"/>
        </w:rPr>
        <w:t>ATENTAMENTE</w:t>
      </w:r>
    </w:p>
    <w:p w:rsidR="00FA4180" w:rsidRPr="007321AC" w:rsidRDefault="00FA4180" w:rsidP="007321AC">
      <w:pPr>
        <w:spacing w:after="120" w:line="240" w:lineRule="auto"/>
        <w:jc w:val="center"/>
        <w:rPr>
          <w:rFonts w:ascii="Arial" w:hAnsi="Arial" w:cs="Arial"/>
          <w:b/>
          <w:i/>
          <w:sz w:val="24"/>
          <w:szCs w:val="24"/>
        </w:rPr>
      </w:pPr>
    </w:p>
    <w:p w:rsidR="00FA4180" w:rsidRPr="007321AC" w:rsidRDefault="00FA4180" w:rsidP="007321AC">
      <w:pPr>
        <w:spacing w:after="120" w:line="240" w:lineRule="auto"/>
        <w:jc w:val="center"/>
        <w:rPr>
          <w:rFonts w:ascii="Arial" w:hAnsi="Arial" w:cs="Arial"/>
          <w:b/>
          <w:i/>
          <w:sz w:val="24"/>
          <w:szCs w:val="24"/>
        </w:rPr>
      </w:pPr>
      <w:r w:rsidRPr="007321AC">
        <w:rPr>
          <w:rFonts w:ascii="Arial" w:hAnsi="Arial" w:cs="Arial"/>
          <w:b/>
          <w:i/>
          <w:sz w:val="24"/>
          <w:szCs w:val="24"/>
        </w:rPr>
        <w:t>DIPUTADO OMAR BAZÁN FLORES</w:t>
      </w:r>
    </w:p>
    <w:p w:rsidR="00ED54D5" w:rsidRPr="007321AC" w:rsidRDefault="007321AC" w:rsidP="007321AC">
      <w:pPr>
        <w:spacing w:after="120" w:line="240" w:lineRule="auto"/>
        <w:jc w:val="center"/>
        <w:rPr>
          <w:rFonts w:ascii="Arial" w:hAnsi="Arial" w:cs="Arial"/>
          <w:i/>
          <w:sz w:val="24"/>
          <w:szCs w:val="24"/>
        </w:rPr>
      </w:pPr>
      <w:r>
        <w:rPr>
          <w:rFonts w:ascii="Arial" w:hAnsi="Arial" w:cs="Arial"/>
          <w:b/>
          <w:i/>
          <w:sz w:val="24"/>
          <w:szCs w:val="24"/>
        </w:rPr>
        <w:t xml:space="preserve">VICEPRESIDENTE DEL H. CONGRESO DEL ESTADO </w:t>
      </w:r>
    </w:p>
    <w:sectPr w:rsidR="00ED54D5" w:rsidRPr="007321AC" w:rsidSect="007321AC">
      <w:footerReference w:type="default" r:id="rId9"/>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67" w:rsidRDefault="00133367" w:rsidP="00781012">
      <w:pPr>
        <w:spacing w:after="0" w:line="240" w:lineRule="auto"/>
      </w:pPr>
      <w:r>
        <w:separator/>
      </w:r>
    </w:p>
  </w:endnote>
  <w:endnote w:type="continuationSeparator" w:id="0">
    <w:p w:rsidR="00133367" w:rsidRDefault="00133367" w:rsidP="0078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143040"/>
      <w:docPartObj>
        <w:docPartGallery w:val="Page Numbers (Bottom of Page)"/>
        <w:docPartUnique/>
      </w:docPartObj>
    </w:sdtPr>
    <w:sdtEndPr/>
    <w:sdtContent>
      <w:p w:rsidR="00781012" w:rsidRDefault="00781012">
        <w:pPr>
          <w:pStyle w:val="Piedepgina"/>
          <w:jc w:val="right"/>
        </w:pPr>
        <w:r>
          <w:fldChar w:fldCharType="begin"/>
        </w:r>
        <w:r>
          <w:instrText>PAGE   \* MERGEFORMAT</w:instrText>
        </w:r>
        <w:r>
          <w:fldChar w:fldCharType="separate"/>
        </w:r>
        <w:r w:rsidR="00FE7EB2" w:rsidRPr="00FE7EB2">
          <w:rPr>
            <w:noProof/>
            <w:lang w:val="es-ES"/>
          </w:rPr>
          <w:t>21</w:t>
        </w:r>
        <w:r>
          <w:fldChar w:fldCharType="end"/>
        </w:r>
      </w:p>
    </w:sdtContent>
  </w:sdt>
  <w:p w:rsidR="00781012" w:rsidRDefault="007810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67" w:rsidRDefault="00133367" w:rsidP="00781012">
      <w:pPr>
        <w:spacing w:after="0" w:line="240" w:lineRule="auto"/>
      </w:pPr>
      <w:r>
        <w:separator/>
      </w:r>
    </w:p>
  </w:footnote>
  <w:footnote w:type="continuationSeparator" w:id="0">
    <w:p w:rsidR="00133367" w:rsidRDefault="00133367" w:rsidP="00781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D2EC9"/>
    <w:multiLevelType w:val="hybridMultilevel"/>
    <w:tmpl w:val="36F6C772"/>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A8"/>
    <w:rsid w:val="00133367"/>
    <w:rsid w:val="0015593F"/>
    <w:rsid w:val="003452EE"/>
    <w:rsid w:val="003E68A8"/>
    <w:rsid w:val="00470FC6"/>
    <w:rsid w:val="007321AC"/>
    <w:rsid w:val="00760C90"/>
    <w:rsid w:val="00781012"/>
    <w:rsid w:val="00924206"/>
    <w:rsid w:val="00BD6733"/>
    <w:rsid w:val="00D645B6"/>
    <w:rsid w:val="00ED54D5"/>
    <w:rsid w:val="00F77A0B"/>
    <w:rsid w:val="00FA4180"/>
    <w:rsid w:val="00FE7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3EF29-702E-4203-8AA9-B4FB4A7D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8A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8A8"/>
    <w:pPr>
      <w:ind w:left="720"/>
      <w:contextualSpacing/>
    </w:pPr>
  </w:style>
  <w:style w:type="paragraph" w:styleId="Textosinformato">
    <w:name w:val="Plain Text"/>
    <w:basedOn w:val="Normal"/>
    <w:link w:val="TextosinformatoCar"/>
    <w:rsid w:val="003E68A8"/>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3E68A8"/>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3E68A8"/>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3E68A8"/>
    <w:rPr>
      <w:rFonts w:ascii="Arial" w:eastAsia="Times New Roman" w:hAnsi="Arial" w:cs="Arial"/>
      <w:sz w:val="18"/>
      <w:szCs w:val="18"/>
      <w:lang w:eastAsia="es-ES"/>
    </w:rPr>
  </w:style>
  <w:style w:type="paragraph" w:styleId="NormalWeb">
    <w:name w:val="Normal (Web)"/>
    <w:basedOn w:val="Normal"/>
    <w:uiPriority w:val="99"/>
    <w:unhideWhenUsed/>
    <w:rsid w:val="00FA41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10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012"/>
  </w:style>
  <w:style w:type="paragraph" w:styleId="Piedepgina">
    <w:name w:val="footer"/>
    <w:basedOn w:val="Normal"/>
    <w:link w:val="PiedepginaCar"/>
    <w:uiPriority w:val="99"/>
    <w:unhideWhenUsed/>
    <w:rsid w:val="007810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012"/>
  </w:style>
  <w:style w:type="paragraph" w:styleId="Textodeglobo">
    <w:name w:val="Balloon Text"/>
    <w:basedOn w:val="Normal"/>
    <w:link w:val="TextodegloboCar"/>
    <w:uiPriority w:val="99"/>
    <w:semiHidden/>
    <w:unhideWhenUsed/>
    <w:rsid w:val="007321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7935</Words>
  <Characters>43648</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Neaves Chacon</dc:creator>
  <cp:keywords/>
  <dc:description/>
  <cp:lastModifiedBy>Azucena Jaquez Delgado</cp:lastModifiedBy>
  <cp:revision>2</cp:revision>
  <cp:lastPrinted>2022-08-16T16:40:00Z</cp:lastPrinted>
  <dcterms:created xsi:type="dcterms:W3CDTF">2022-08-16T18:43:00Z</dcterms:created>
  <dcterms:modified xsi:type="dcterms:W3CDTF">2022-08-16T18:43:00Z</dcterms:modified>
</cp:coreProperties>
</file>