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A0C0E" w14:textId="77777777" w:rsidR="00DB3697" w:rsidRPr="00CE4171" w:rsidRDefault="00DB3697" w:rsidP="00CE4171">
      <w:pPr>
        <w:spacing w:line="360" w:lineRule="auto"/>
        <w:ind w:left="1134"/>
        <w:jc w:val="both"/>
        <w:rPr>
          <w:rFonts w:ascii="Century Gothic" w:hAnsi="Century Gothic"/>
          <w:b/>
          <w:sz w:val="24"/>
          <w:szCs w:val="24"/>
        </w:rPr>
      </w:pPr>
      <w:r w:rsidRPr="00CE4171">
        <w:rPr>
          <w:rFonts w:ascii="Century Gothic" w:hAnsi="Century Gothic"/>
          <w:b/>
          <w:sz w:val="24"/>
          <w:szCs w:val="24"/>
        </w:rPr>
        <w:t>H. CONGRESO DEL ESTADO DE CHIHUAHUA</w:t>
      </w:r>
    </w:p>
    <w:p w14:paraId="6D5D5E82" w14:textId="6C972735" w:rsidR="00DB3697" w:rsidRPr="00CE4171" w:rsidRDefault="00DB3697" w:rsidP="00CE4171">
      <w:pPr>
        <w:spacing w:line="360" w:lineRule="auto"/>
        <w:ind w:left="1134"/>
        <w:jc w:val="both"/>
        <w:rPr>
          <w:rFonts w:ascii="Century Gothic" w:hAnsi="Century Gothic"/>
          <w:b/>
          <w:sz w:val="24"/>
          <w:szCs w:val="24"/>
        </w:rPr>
      </w:pPr>
      <w:r w:rsidRPr="00CE4171">
        <w:rPr>
          <w:rFonts w:ascii="Century Gothic" w:hAnsi="Century Gothic"/>
          <w:b/>
          <w:sz w:val="24"/>
          <w:szCs w:val="24"/>
        </w:rPr>
        <w:t xml:space="preserve">P R E S E N T E. </w:t>
      </w:r>
    </w:p>
    <w:p w14:paraId="792CF2BF" w14:textId="39C381F1" w:rsidR="00EF2BBB" w:rsidRDefault="006C34A3" w:rsidP="00CE4171">
      <w:pPr>
        <w:spacing w:line="360" w:lineRule="auto"/>
        <w:ind w:left="1134"/>
        <w:jc w:val="both"/>
        <w:rPr>
          <w:rFonts w:ascii="Century Gothic" w:hAnsi="Century Gothic"/>
          <w:sz w:val="24"/>
          <w:szCs w:val="24"/>
        </w:rPr>
      </w:pPr>
      <w:r w:rsidRPr="00700CE7">
        <w:rPr>
          <w:rFonts w:ascii="Century Gothic" w:hAnsi="Century Gothic" w:cs="Arial"/>
          <w:sz w:val="24"/>
          <w:szCs w:val="24"/>
        </w:rPr>
        <w:t xml:space="preserve">Las y los que suscriben </w:t>
      </w:r>
      <w:r w:rsidRPr="00700CE7">
        <w:rPr>
          <w:rFonts w:ascii="Century Gothic" w:hAnsi="Century Gothic" w:cs="Arial"/>
          <w:b/>
          <w:bCs/>
          <w:sz w:val="24"/>
          <w:szCs w:val="24"/>
        </w:rPr>
        <w:t>EDIN CUAUHTÉMOC ESTRADA SOTELO, LETICIA ORTEGA MÁYNEZ, ÓSCAR DANIEL AVITIA ARELLANES, ROSANA DÍAZ REYES, GUSTAVO DE LA ROSA HICKERSON, MAGDALENA RENTERÍA PÉREZ, MARÍA ANTONIETA PÉREZ REYES, ADRIANA TERRAZAS PORRAS, BENJAMÍN CARRERA CHÁVEZ Y DAVID OSCAR CASTREJÓN RIVAS</w:t>
      </w:r>
      <w:r w:rsidRPr="00700CE7">
        <w:rPr>
          <w:rFonts w:ascii="Century Gothic" w:hAnsi="Century Gothic" w:cs="Arial"/>
          <w:b/>
          <w:sz w:val="24"/>
          <w:szCs w:val="24"/>
        </w:rPr>
        <w:t xml:space="preserve">, </w:t>
      </w:r>
      <w:r w:rsidRPr="00700CE7">
        <w:rPr>
          <w:rFonts w:ascii="Century Gothic" w:hAnsi="Century Gothic" w:cs="Arial"/>
          <w:sz w:val="24"/>
          <w:szCs w:val="24"/>
        </w:rPr>
        <w:t>en nuestro carácter de Diputadas y Diputados de la Sexagésima Séptima Legislatura, integrantes del Grupo Parlamentario de MORENA</w:t>
      </w:r>
      <w:r w:rsidRPr="00700CE7">
        <w:rPr>
          <w:rFonts w:ascii="Century Gothic" w:eastAsia="Arial" w:hAnsi="Century Gothic" w:cs="Arial"/>
          <w:sz w:val="24"/>
          <w:szCs w:val="24"/>
        </w:rPr>
        <w:t xml:space="preserve">, en uso de las facultades que nos confiere el artículo 68 fracción I de la Constitución Política del Estado, así como los numerales 169, 174 fracción I y 175 de la Ley Orgánica del Poder Legislativo del Estado de Chihuahua, comparecemos ante esta Diputación, con el objeto de presentar </w:t>
      </w:r>
      <w:r w:rsidRPr="00700CE7">
        <w:rPr>
          <w:rFonts w:ascii="Century Gothic" w:hAnsi="Century Gothic" w:cs="Arial"/>
          <w:b/>
          <w:bCs/>
          <w:sz w:val="24"/>
          <w:szCs w:val="24"/>
        </w:rPr>
        <w:t>iniciativa con el carácter de PUNTO DE ACUERDO</w:t>
      </w:r>
      <w:r w:rsidRPr="00700CE7">
        <w:rPr>
          <w:rFonts w:ascii="Century Gothic" w:hAnsi="Century Gothic" w:cs="Arial"/>
          <w:b/>
          <w:sz w:val="24"/>
          <w:szCs w:val="24"/>
        </w:rPr>
        <w:t xml:space="preserve">, por medio de la cual </w:t>
      </w:r>
      <w:r w:rsidR="00700CE7" w:rsidRPr="00700CE7">
        <w:rPr>
          <w:rFonts w:ascii="Century Gothic" w:hAnsi="Century Gothic" w:cs="Arial"/>
          <w:b/>
          <w:sz w:val="24"/>
          <w:szCs w:val="24"/>
        </w:rPr>
        <w:t xml:space="preserve">se </w:t>
      </w:r>
      <w:r w:rsidR="00700CE7" w:rsidRPr="00700CE7">
        <w:rPr>
          <w:rFonts w:ascii="Century Gothic" w:eastAsia="Arial" w:hAnsi="Century Gothic" w:cs="Arial"/>
          <w:b/>
          <w:bCs/>
          <w:sz w:val="24"/>
          <w:szCs w:val="24"/>
        </w:rPr>
        <w:t xml:space="preserve">exhorta </w:t>
      </w:r>
      <w:r w:rsidR="00700CE7" w:rsidRPr="00700CE7">
        <w:rPr>
          <w:rFonts w:ascii="Century Gothic" w:hAnsi="Century Gothic" w:cs="Calibri"/>
          <w:b/>
          <w:bCs/>
          <w:sz w:val="24"/>
          <w:szCs w:val="24"/>
        </w:rPr>
        <w:t xml:space="preserve">a la Secretaría de Salud Federal, a la Delegación en Chihuahua de la Secretaría de Bienestar, a la Secretaría de Salud Estatal, a la Secretaria de Desarrollo Humano y Bien Común, y al Desarrollo Integral de las Familias en el Estado para que brinde de manera urgente atención médica necesaria a mujeres embarazadas en los municipios del Estado, sobre todo en aquellos que se encuentran en la Sierra, para </w:t>
      </w:r>
      <w:r w:rsidR="00700CE7" w:rsidRPr="00700CE7">
        <w:rPr>
          <w:rFonts w:ascii="Century Gothic" w:hAnsi="Century Gothic"/>
          <w:b/>
          <w:sz w:val="24"/>
          <w:szCs w:val="24"/>
        </w:rPr>
        <w:t>garantizar la disponibilidad y la accesibilidad a una atención a la salud reproductiva, materna y neonatal</w:t>
      </w:r>
      <w:r w:rsidR="00700CE7" w:rsidRPr="00700CE7">
        <w:rPr>
          <w:rFonts w:ascii="Century Gothic" w:hAnsi="Century Gothic"/>
          <w:sz w:val="24"/>
          <w:szCs w:val="24"/>
        </w:rPr>
        <w:t xml:space="preserve"> </w:t>
      </w:r>
      <w:r w:rsidR="00700CE7" w:rsidRPr="00700CE7">
        <w:rPr>
          <w:rFonts w:ascii="Century Gothic" w:hAnsi="Century Gothic" w:cs="Calibri"/>
          <w:b/>
          <w:bCs/>
          <w:sz w:val="24"/>
          <w:szCs w:val="24"/>
        </w:rPr>
        <w:t>a fin de erradicar la mortalidad materna</w:t>
      </w:r>
      <w:r w:rsidR="00FF28AF" w:rsidRPr="00700CE7">
        <w:rPr>
          <w:rFonts w:ascii="Century Gothic" w:hAnsi="Century Gothic" w:cs="Calibri"/>
          <w:b/>
          <w:bCs/>
          <w:sz w:val="24"/>
          <w:szCs w:val="24"/>
        </w:rPr>
        <w:t>,</w:t>
      </w:r>
      <w:r w:rsidR="00EF2BBB" w:rsidRPr="00700CE7">
        <w:rPr>
          <w:rFonts w:ascii="Century Gothic" w:hAnsi="Century Gothic"/>
          <w:sz w:val="24"/>
          <w:szCs w:val="24"/>
        </w:rPr>
        <w:t xml:space="preserve"> lo anterior bajo la siguiente:</w:t>
      </w:r>
    </w:p>
    <w:p w14:paraId="053065B0" w14:textId="77777777" w:rsidR="00CE4171" w:rsidRPr="00700CE7" w:rsidRDefault="00CE4171" w:rsidP="00CE4171">
      <w:pPr>
        <w:spacing w:line="360" w:lineRule="auto"/>
        <w:ind w:left="1134"/>
        <w:jc w:val="both"/>
        <w:rPr>
          <w:rFonts w:ascii="Century Gothic" w:hAnsi="Century Gothic"/>
          <w:sz w:val="24"/>
          <w:szCs w:val="24"/>
        </w:rPr>
      </w:pPr>
    </w:p>
    <w:p w14:paraId="6117C45C" w14:textId="1CFEB8F7" w:rsidR="00E33203" w:rsidRPr="00700CE7" w:rsidRDefault="009E095A" w:rsidP="00CE4171">
      <w:pPr>
        <w:spacing w:line="360" w:lineRule="auto"/>
        <w:ind w:left="1134"/>
        <w:jc w:val="center"/>
        <w:rPr>
          <w:rFonts w:ascii="Century Gothic" w:hAnsi="Century Gothic"/>
          <w:b/>
          <w:sz w:val="24"/>
          <w:szCs w:val="24"/>
        </w:rPr>
      </w:pPr>
      <w:r w:rsidRPr="00700CE7">
        <w:rPr>
          <w:rFonts w:ascii="Century Gothic" w:hAnsi="Century Gothic"/>
          <w:b/>
          <w:sz w:val="24"/>
          <w:szCs w:val="24"/>
        </w:rPr>
        <w:lastRenderedPageBreak/>
        <w:t>EXPOSICIÓN DE MOTIVOS</w:t>
      </w:r>
    </w:p>
    <w:p w14:paraId="433EBB05" w14:textId="45844397" w:rsidR="00BF607E" w:rsidRPr="00700CE7" w:rsidRDefault="00E33203" w:rsidP="00CE4171">
      <w:pPr>
        <w:spacing w:line="360" w:lineRule="auto"/>
        <w:ind w:left="1134"/>
        <w:jc w:val="both"/>
        <w:rPr>
          <w:rFonts w:ascii="Century Gothic" w:hAnsi="Century Gothic"/>
          <w:bCs/>
          <w:sz w:val="24"/>
          <w:szCs w:val="24"/>
        </w:rPr>
      </w:pPr>
      <w:r w:rsidRPr="00700CE7">
        <w:rPr>
          <w:rFonts w:ascii="Century Gothic" w:hAnsi="Century Gothic"/>
          <w:bCs/>
          <w:sz w:val="24"/>
          <w:szCs w:val="24"/>
        </w:rPr>
        <w:t>En México</w:t>
      </w:r>
      <w:r w:rsidR="006C34A3" w:rsidRPr="00700CE7">
        <w:rPr>
          <w:rFonts w:ascii="Century Gothic" w:hAnsi="Century Gothic"/>
          <w:bCs/>
          <w:sz w:val="24"/>
          <w:szCs w:val="24"/>
        </w:rPr>
        <w:t>, desde 1922,</w:t>
      </w:r>
      <w:r w:rsidRPr="00700CE7">
        <w:rPr>
          <w:rFonts w:ascii="Century Gothic" w:hAnsi="Century Gothic"/>
          <w:bCs/>
          <w:sz w:val="24"/>
          <w:szCs w:val="24"/>
        </w:rPr>
        <w:t xml:space="preserve"> se celebra el Día de la Madre y </w:t>
      </w:r>
      <w:r w:rsidR="006C34A3" w:rsidRPr="00700CE7">
        <w:rPr>
          <w:rFonts w:ascii="Century Gothic" w:hAnsi="Century Gothic"/>
          <w:bCs/>
          <w:sz w:val="24"/>
          <w:szCs w:val="24"/>
        </w:rPr>
        <w:t>a través</w:t>
      </w:r>
      <w:r w:rsidR="00BF607E" w:rsidRPr="00700CE7">
        <w:rPr>
          <w:rFonts w:ascii="Century Gothic" w:hAnsi="Century Gothic"/>
          <w:bCs/>
          <w:sz w:val="24"/>
          <w:szCs w:val="24"/>
        </w:rPr>
        <w:t xml:space="preserve"> de un proceso de transformación en el significado de esta celebración, ahora </w:t>
      </w:r>
      <w:r w:rsidRPr="00700CE7">
        <w:rPr>
          <w:rFonts w:ascii="Century Gothic" w:hAnsi="Century Gothic"/>
          <w:bCs/>
          <w:sz w:val="24"/>
          <w:szCs w:val="24"/>
        </w:rPr>
        <w:t xml:space="preserve">su propósito es generar un espacio de reflexión para valorar la labor de las mujeres </w:t>
      </w:r>
      <w:r w:rsidR="006C34A3" w:rsidRPr="00700CE7">
        <w:rPr>
          <w:rFonts w:ascii="Century Gothic" w:hAnsi="Century Gothic"/>
          <w:bCs/>
          <w:sz w:val="24"/>
          <w:szCs w:val="24"/>
        </w:rPr>
        <w:t>que ejercen la maternidad.</w:t>
      </w:r>
      <w:r w:rsidRPr="00700CE7">
        <w:rPr>
          <w:rFonts w:ascii="Century Gothic" w:hAnsi="Century Gothic"/>
          <w:bCs/>
          <w:sz w:val="24"/>
          <w:szCs w:val="24"/>
        </w:rPr>
        <w:t xml:space="preserve">   </w:t>
      </w:r>
    </w:p>
    <w:p w14:paraId="2A63EEA3" w14:textId="4B8FAA63" w:rsidR="00E33203" w:rsidRPr="00700CE7" w:rsidRDefault="006C34A3" w:rsidP="00CE4171">
      <w:pPr>
        <w:spacing w:line="360" w:lineRule="auto"/>
        <w:ind w:left="1134"/>
        <w:jc w:val="both"/>
        <w:rPr>
          <w:rFonts w:ascii="Century Gothic" w:hAnsi="Century Gothic"/>
          <w:bCs/>
          <w:sz w:val="24"/>
          <w:szCs w:val="24"/>
        </w:rPr>
      </w:pPr>
      <w:r w:rsidRPr="00700CE7">
        <w:rPr>
          <w:rFonts w:ascii="Century Gothic" w:hAnsi="Century Gothic"/>
          <w:bCs/>
          <w:sz w:val="24"/>
          <w:szCs w:val="24"/>
        </w:rPr>
        <w:t>Es por esto que</w:t>
      </w:r>
      <w:r w:rsidR="00E33203" w:rsidRPr="00700CE7">
        <w:rPr>
          <w:rFonts w:ascii="Century Gothic" w:hAnsi="Century Gothic"/>
          <w:bCs/>
          <w:sz w:val="24"/>
          <w:szCs w:val="24"/>
        </w:rPr>
        <w:t xml:space="preserve"> valoramos el rol social desempeñado por las mujeres madres y nos preocupamos por</w:t>
      </w:r>
      <w:r w:rsidRPr="00700CE7">
        <w:rPr>
          <w:rFonts w:ascii="Century Gothic" w:hAnsi="Century Gothic"/>
          <w:bCs/>
          <w:sz w:val="24"/>
          <w:szCs w:val="24"/>
        </w:rPr>
        <w:t xml:space="preserve"> la</w:t>
      </w:r>
      <w:r w:rsidR="00E33203" w:rsidRPr="00700CE7">
        <w:rPr>
          <w:rFonts w:ascii="Century Gothic" w:hAnsi="Century Gothic"/>
          <w:bCs/>
          <w:sz w:val="24"/>
          <w:szCs w:val="24"/>
        </w:rPr>
        <w:t xml:space="preserve"> preservación de su vida en </w:t>
      </w:r>
      <w:r w:rsidR="00BF607E" w:rsidRPr="00700CE7">
        <w:rPr>
          <w:rFonts w:ascii="Century Gothic" w:hAnsi="Century Gothic"/>
          <w:bCs/>
          <w:sz w:val="24"/>
          <w:szCs w:val="24"/>
        </w:rPr>
        <w:t>el</w:t>
      </w:r>
      <w:r w:rsidR="00E33203" w:rsidRPr="00700CE7">
        <w:rPr>
          <w:rFonts w:ascii="Century Gothic" w:hAnsi="Century Gothic"/>
          <w:bCs/>
          <w:sz w:val="24"/>
          <w:szCs w:val="24"/>
        </w:rPr>
        <w:t xml:space="preserve"> momento vital del embarazo.</w:t>
      </w:r>
      <w:r w:rsidRPr="00700CE7">
        <w:rPr>
          <w:rFonts w:ascii="Century Gothic" w:hAnsi="Century Gothic"/>
          <w:bCs/>
          <w:sz w:val="24"/>
          <w:szCs w:val="24"/>
        </w:rPr>
        <w:t xml:space="preserve"> Pues j</w:t>
      </w:r>
      <w:r w:rsidR="00BF607E" w:rsidRPr="00700CE7">
        <w:rPr>
          <w:rFonts w:ascii="Century Gothic" w:hAnsi="Century Gothic"/>
          <w:bCs/>
          <w:sz w:val="24"/>
          <w:szCs w:val="24"/>
        </w:rPr>
        <w:t>ustamente, en el proceso de dar vida, las muje</w:t>
      </w:r>
      <w:r w:rsidRPr="00700CE7">
        <w:rPr>
          <w:rFonts w:ascii="Century Gothic" w:hAnsi="Century Gothic"/>
          <w:bCs/>
          <w:sz w:val="24"/>
          <w:szCs w:val="24"/>
        </w:rPr>
        <w:t xml:space="preserve">res ponen en riesgo la propia, sobre todo aquellas </w:t>
      </w:r>
      <w:r w:rsidR="00BF607E" w:rsidRPr="00700CE7">
        <w:rPr>
          <w:rFonts w:ascii="Century Gothic" w:hAnsi="Century Gothic"/>
          <w:bCs/>
          <w:sz w:val="24"/>
          <w:szCs w:val="24"/>
        </w:rPr>
        <w:t>que viven en situación de vulnerabilidad, que viven en condiciones de pobreza, falta de servicios</w:t>
      </w:r>
      <w:r w:rsidR="00FF28AF" w:rsidRPr="00700CE7">
        <w:rPr>
          <w:rFonts w:ascii="Century Gothic" w:hAnsi="Century Gothic"/>
          <w:bCs/>
          <w:sz w:val="24"/>
          <w:szCs w:val="24"/>
        </w:rPr>
        <w:t xml:space="preserve"> y</w:t>
      </w:r>
      <w:r w:rsidR="00BF607E" w:rsidRPr="00700CE7">
        <w:rPr>
          <w:rFonts w:ascii="Century Gothic" w:hAnsi="Century Gothic"/>
          <w:bCs/>
          <w:sz w:val="24"/>
          <w:szCs w:val="24"/>
        </w:rPr>
        <w:t xml:space="preserve"> de marginación.</w:t>
      </w:r>
    </w:p>
    <w:p w14:paraId="2B9A7B5A" w14:textId="70EA059E" w:rsidR="003026D8" w:rsidRPr="00700CE7" w:rsidRDefault="006C34A3" w:rsidP="00CE4171">
      <w:pPr>
        <w:spacing w:line="360" w:lineRule="auto"/>
        <w:ind w:left="1134"/>
        <w:jc w:val="both"/>
        <w:rPr>
          <w:rFonts w:ascii="Century Gothic" w:hAnsi="Century Gothic"/>
          <w:sz w:val="24"/>
          <w:szCs w:val="24"/>
        </w:rPr>
      </w:pPr>
      <w:r w:rsidRPr="00700CE7">
        <w:rPr>
          <w:rFonts w:ascii="Century Gothic" w:hAnsi="Century Gothic"/>
          <w:sz w:val="24"/>
          <w:szCs w:val="24"/>
        </w:rPr>
        <w:t>L</w:t>
      </w:r>
      <w:r w:rsidR="00FE2245" w:rsidRPr="00700CE7">
        <w:rPr>
          <w:rFonts w:ascii="Century Gothic" w:hAnsi="Century Gothic"/>
          <w:sz w:val="24"/>
          <w:szCs w:val="24"/>
        </w:rPr>
        <w:t xml:space="preserve">a mortalidad materna </w:t>
      </w:r>
      <w:r w:rsidRPr="00700CE7">
        <w:rPr>
          <w:rFonts w:ascii="Century Gothic" w:hAnsi="Century Gothic"/>
          <w:sz w:val="24"/>
          <w:szCs w:val="24"/>
        </w:rPr>
        <w:t xml:space="preserve">se define </w:t>
      </w:r>
      <w:r w:rsidR="00FE2245" w:rsidRPr="00700CE7">
        <w:rPr>
          <w:rFonts w:ascii="Century Gothic" w:hAnsi="Century Gothic"/>
          <w:sz w:val="24"/>
          <w:szCs w:val="24"/>
        </w:rPr>
        <w:t>como las defunciones de mujeres durante el embarazo, parto o dentro de los 42 días siguientes a la terminación del alumbramiento, debid</w:t>
      </w:r>
      <w:r w:rsidRPr="00700CE7">
        <w:rPr>
          <w:rFonts w:ascii="Century Gothic" w:hAnsi="Century Gothic"/>
          <w:sz w:val="24"/>
          <w:szCs w:val="24"/>
        </w:rPr>
        <w:t>o a cualquier causa relacionada con</w:t>
      </w:r>
      <w:r w:rsidR="00FE2245" w:rsidRPr="00700CE7">
        <w:rPr>
          <w:rFonts w:ascii="Century Gothic" w:hAnsi="Century Gothic"/>
          <w:sz w:val="24"/>
          <w:szCs w:val="24"/>
        </w:rPr>
        <w:t xml:space="preserve"> el embarazo o su atención </w:t>
      </w:r>
      <w:r w:rsidR="007461DA" w:rsidRPr="00700CE7">
        <w:rPr>
          <w:rFonts w:ascii="Century Gothic" w:eastAsia="Calibri" w:hAnsi="Century Gothic" w:cs="Times New Roman"/>
          <w:sz w:val="24"/>
          <w:szCs w:val="24"/>
        </w:rPr>
        <w:t xml:space="preserve">como la hemorragia obstétrica, enfermedad hipertensiva, edema y proteinuria en el embarazo, parto y puerperio; dejando fuera las </w:t>
      </w:r>
      <w:r w:rsidR="00FE2245" w:rsidRPr="00700CE7">
        <w:rPr>
          <w:rFonts w:ascii="Century Gothic" w:hAnsi="Century Gothic"/>
          <w:sz w:val="24"/>
          <w:szCs w:val="24"/>
        </w:rPr>
        <w:t xml:space="preserve"> muer</w:t>
      </w:r>
      <w:r w:rsidR="007461DA" w:rsidRPr="00700CE7">
        <w:rPr>
          <w:rFonts w:ascii="Century Gothic" w:hAnsi="Century Gothic"/>
          <w:sz w:val="24"/>
          <w:szCs w:val="24"/>
        </w:rPr>
        <w:t>tes accidentales o incidentales</w:t>
      </w:r>
      <w:r w:rsidR="00FE2245" w:rsidRPr="00700CE7">
        <w:rPr>
          <w:rFonts w:ascii="Century Gothic" w:hAnsi="Century Gothic"/>
          <w:sz w:val="24"/>
          <w:szCs w:val="24"/>
        </w:rPr>
        <w:t>.</w:t>
      </w:r>
    </w:p>
    <w:p w14:paraId="7C924C96" w14:textId="416DA36D" w:rsidR="00EC5388" w:rsidRPr="00700CE7" w:rsidRDefault="006C34A3" w:rsidP="00CE4171">
      <w:pPr>
        <w:spacing w:line="360" w:lineRule="auto"/>
        <w:ind w:left="1134"/>
        <w:jc w:val="both"/>
        <w:rPr>
          <w:rFonts w:ascii="Century Gothic" w:hAnsi="Century Gothic"/>
          <w:bCs/>
          <w:sz w:val="24"/>
          <w:szCs w:val="24"/>
        </w:rPr>
      </w:pPr>
      <w:r w:rsidRPr="00700CE7">
        <w:rPr>
          <w:rFonts w:ascii="Century Gothic" w:hAnsi="Century Gothic"/>
          <w:bCs/>
          <w:sz w:val="24"/>
          <w:szCs w:val="24"/>
        </w:rPr>
        <w:t>L</w:t>
      </w:r>
      <w:r w:rsidR="0000091C" w:rsidRPr="00700CE7">
        <w:rPr>
          <w:rFonts w:ascii="Century Gothic" w:hAnsi="Century Gothic"/>
          <w:bCs/>
          <w:sz w:val="24"/>
          <w:szCs w:val="24"/>
        </w:rPr>
        <w:t xml:space="preserve">a condición de desigualdad de género se entrecruza con otras situaciones de desigualdad relacionadas por su condición socioeconómica, </w:t>
      </w:r>
      <w:r w:rsidR="00EC5388" w:rsidRPr="00700CE7">
        <w:rPr>
          <w:rFonts w:ascii="Century Gothic" w:hAnsi="Century Gothic"/>
          <w:bCs/>
          <w:sz w:val="24"/>
          <w:szCs w:val="24"/>
        </w:rPr>
        <w:t>si pertenecen a la población indígena o viven en condiciones de marginalidad urbana, que ponen en riesgo la vida de las mujeres por el hecho de vivir un proceso natural de embarazo que puede complicarse en este contexto de vul</w:t>
      </w:r>
      <w:r w:rsidR="007461DA" w:rsidRPr="00700CE7">
        <w:rPr>
          <w:rFonts w:ascii="Century Gothic" w:hAnsi="Century Gothic"/>
          <w:bCs/>
          <w:sz w:val="24"/>
          <w:szCs w:val="24"/>
        </w:rPr>
        <w:t xml:space="preserve">nerabilidad, siendo uno de los principales problemas la desnutrición y la falta de atención médica. </w:t>
      </w:r>
    </w:p>
    <w:p w14:paraId="66B534B1" w14:textId="1B5207E1" w:rsidR="00030FCC" w:rsidRPr="00700CE7" w:rsidRDefault="00030FCC" w:rsidP="00CE4171">
      <w:pPr>
        <w:spacing w:line="360" w:lineRule="auto"/>
        <w:ind w:left="1134"/>
        <w:jc w:val="both"/>
        <w:rPr>
          <w:rFonts w:ascii="Century Gothic" w:hAnsi="Century Gothic"/>
          <w:bCs/>
          <w:sz w:val="24"/>
          <w:szCs w:val="24"/>
        </w:rPr>
      </w:pPr>
      <w:r w:rsidRPr="00700CE7">
        <w:rPr>
          <w:rFonts w:ascii="Century Gothic" w:hAnsi="Century Gothic"/>
          <w:bCs/>
          <w:sz w:val="24"/>
          <w:szCs w:val="24"/>
        </w:rPr>
        <w:lastRenderedPageBreak/>
        <w:t>L</w:t>
      </w:r>
      <w:r w:rsidR="000D4FD1" w:rsidRPr="00700CE7">
        <w:rPr>
          <w:rFonts w:ascii="Century Gothic" w:hAnsi="Century Gothic"/>
          <w:bCs/>
          <w:sz w:val="24"/>
          <w:szCs w:val="24"/>
        </w:rPr>
        <w:t xml:space="preserve">a lucha por la vida y libertad de las mujeres, tiene </w:t>
      </w:r>
      <w:r w:rsidR="007461DA" w:rsidRPr="00700CE7">
        <w:rPr>
          <w:rFonts w:ascii="Century Gothic" w:hAnsi="Century Gothic"/>
          <w:bCs/>
          <w:sz w:val="24"/>
          <w:szCs w:val="24"/>
        </w:rPr>
        <w:t xml:space="preserve">también </w:t>
      </w:r>
      <w:r w:rsidR="000D4FD1" w:rsidRPr="00700CE7">
        <w:rPr>
          <w:rFonts w:ascii="Century Gothic" w:hAnsi="Century Gothic"/>
          <w:bCs/>
          <w:sz w:val="24"/>
          <w:szCs w:val="24"/>
        </w:rPr>
        <w:t xml:space="preserve">como uno de </w:t>
      </w:r>
      <w:r w:rsidR="00BF607E" w:rsidRPr="00700CE7">
        <w:rPr>
          <w:rFonts w:ascii="Century Gothic" w:hAnsi="Century Gothic"/>
          <w:bCs/>
          <w:sz w:val="24"/>
          <w:szCs w:val="24"/>
        </w:rPr>
        <w:t>sus objetivos</w:t>
      </w:r>
      <w:r w:rsidR="00FE2245" w:rsidRPr="00700CE7">
        <w:rPr>
          <w:rFonts w:ascii="Century Gothic" w:hAnsi="Century Gothic"/>
          <w:bCs/>
          <w:sz w:val="24"/>
          <w:szCs w:val="24"/>
        </w:rPr>
        <w:t xml:space="preserve"> reducir la mortalidad materna</w:t>
      </w:r>
      <w:r w:rsidR="000D4FD1" w:rsidRPr="00700CE7">
        <w:rPr>
          <w:rFonts w:ascii="Century Gothic" w:hAnsi="Century Gothic"/>
          <w:bCs/>
          <w:sz w:val="24"/>
          <w:szCs w:val="24"/>
        </w:rPr>
        <w:t>. Los cuerpos de las mujeres</w:t>
      </w:r>
      <w:r w:rsidR="00FE2245" w:rsidRPr="00700CE7">
        <w:rPr>
          <w:rFonts w:ascii="Century Gothic" w:hAnsi="Century Gothic"/>
          <w:bCs/>
          <w:sz w:val="24"/>
          <w:szCs w:val="24"/>
        </w:rPr>
        <w:t>, entre la concepción y el parto</w:t>
      </w:r>
      <w:r w:rsidR="000D4FD1" w:rsidRPr="00700CE7">
        <w:rPr>
          <w:rFonts w:ascii="Century Gothic" w:hAnsi="Century Gothic"/>
          <w:bCs/>
          <w:sz w:val="24"/>
          <w:szCs w:val="24"/>
        </w:rPr>
        <w:t xml:space="preserve">, </w:t>
      </w:r>
      <w:r w:rsidR="00FE2245" w:rsidRPr="00700CE7">
        <w:rPr>
          <w:rFonts w:ascii="Century Gothic" w:hAnsi="Century Gothic"/>
          <w:bCs/>
          <w:sz w:val="24"/>
          <w:szCs w:val="24"/>
        </w:rPr>
        <w:t>sufre</w:t>
      </w:r>
      <w:r w:rsidR="000D4FD1" w:rsidRPr="00700CE7">
        <w:rPr>
          <w:rFonts w:ascii="Century Gothic" w:hAnsi="Century Gothic"/>
          <w:bCs/>
          <w:sz w:val="24"/>
          <w:szCs w:val="24"/>
        </w:rPr>
        <w:t>n</w:t>
      </w:r>
      <w:r w:rsidR="00FE2245" w:rsidRPr="00700CE7">
        <w:rPr>
          <w:rFonts w:ascii="Century Gothic" w:hAnsi="Century Gothic"/>
          <w:bCs/>
          <w:sz w:val="24"/>
          <w:szCs w:val="24"/>
        </w:rPr>
        <w:t xml:space="preserve"> cambios que deben ser atendidos médicamente para que el nuevo ser sea viable y la vida de la madre no esté en riesgo, ante un proceso biológico natural que no debe ser causa de muerte</w:t>
      </w:r>
      <w:r w:rsidR="000D4FD1" w:rsidRPr="00700CE7">
        <w:rPr>
          <w:rFonts w:ascii="Century Gothic" w:hAnsi="Century Gothic"/>
          <w:bCs/>
          <w:sz w:val="24"/>
          <w:szCs w:val="24"/>
        </w:rPr>
        <w:t xml:space="preserve">.  </w:t>
      </w:r>
    </w:p>
    <w:p w14:paraId="004A3D9F" w14:textId="7D6C49F2" w:rsidR="00F1495C" w:rsidRPr="00700CE7" w:rsidRDefault="000D4FD1" w:rsidP="00CE4171">
      <w:pPr>
        <w:spacing w:line="360" w:lineRule="auto"/>
        <w:ind w:left="1134"/>
        <w:jc w:val="both"/>
        <w:rPr>
          <w:rFonts w:ascii="Century Gothic" w:hAnsi="Century Gothic"/>
          <w:bCs/>
          <w:sz w:val="24"/>
          <w:szCs w:val="24"/>
        </w:rPr>
      </w:pPr>
      <w:r w:rsidRPr="00700CE7">
        <w:rPr>
          <w:rFonts w:ascii="Century Gothic" w:hAnsi="Century Gothic"/>
          <w:bCs/>
          <w:sz w:val="24"/>
          <w:szCs w:val="24"/>
        </w:rPr>
        <w:t>En</w:t>
      </w:r>
      <w:r w:rsidR="0071498E" w:rsidRPr="00700CE7">
        <w:rPr>
          <w:rFonts w:ascii="Century Gothic" w:hAnsi="Century Gothic"/>
          <w:bCs/>
          <w:sz w:val="24"/>
          <w:szCs w:val="24"/>
        </w:rPr>
        <w:t xml:space="preserve"> Chihuahua, que </w:t>
      </w:r>
      <w:r w:rsidR="00030FCC" w:rsidRPr="00700CE7">
        <w:rPr>
          <w:rFonts w:ascii="Century Gothic" w:hAnsi="Century Gothic"/>
          <w:bCs/>
          <w:sz w:val="24"/>
          <w:szCs w:val="24"/>
        </w:rPr>
        <w:t>ocupa el lugar número 13º en el</w:t>
      </w:r>
      <w:r w:rsidR="0071498E" w:rsidRPr="00700CE7">
        <w:rPr>
          <w:rFonts w:ascii="Century Gothic" w:hAnsi="Century Gothic"/>
          <w:bCs/>
          <w:sz w:val="24"/>
          <w:szCs w:val="24"/>
        </w:rPr>
        <w:t xml:space="preserve"> </w:t>
      </w:r>
      <w:r w:rsidR="006E2DFB" w:rsidRPr="00700CE7">
        <w:rPr>
          <w:rFonts w:ascii="Century Gothic" w:hAnsi="Century Gothic"/>
          <w:bCs/>
          <w:sz w:val="24"/>
          <w:szCs w:val="24"/>
        </w:rPr>
        <w:t>Í</w:t>
      </w:r>
      <w:r w:rsidR="0071498E" w:rsidRPr="00700CE7">
        <w:rPr>
          <w:rFonts w:ascii="Century Gothic" w:hAnsi="Century Gothic"/>
          <w:bCs/>
          <w:sz w:val="24"/>
          <w:szCs w:val="24"/>
        </w:rPr>
        <w:t>ndice de Desarrollo Humano</w:t>
      </w:r>
      <w:r w:rsidR="00030FCC" w:rsidRPr="00700CE7">
        <w:rPr>
          <w:rFonts w:ascii="Century Gothic" w:hAnsi="Century Gothic"/>
          <w:bCs/>
          <w:sz w:val="24"/>
          <w:szCs w:val="24"/>
        </w:rPr>
        <w:t xml:space="preserve">, según datos de 2019, </w:t>
      </w:r>
      <w:r w:rsidR="006E2DFB" w:rsidRPr="00700CE7">
        <w:rPr>
          <w:rFonts w:ascii="Century Gothic" w:hAnsi="Century Gothic"/>
          <w:bCs/>
          <w:sz w:val="24"/>
          <w:szCs w:val="24"/>
        </w:rPr>
        <w:t xml:space="preserve"> contradictoriamente, es de los estados que muestra mayor mortalidad materna</w:t>
      </w:r>
      <w:r w:rsidR="00AB67B7" w:rsidRPr="00700CE7">
        <w:rPr>
          <w:rFonts w:ascii="Century Gothic" w:hAnsi="Century Gothic"/>
          <w:bCs/>
          <w:sz w:val="24"/>
          <w:szCs w:val="24"/>
        </w:rPr>
        <w:t xml:space="preserve">. </w:t>
      </w:r>
      <w:r w:rsidR="006E2DFB" w:rsidRPr="00700CE7">
        <w:rPr>
          <w:rFonts w:ascii="Century Gothic" w:hAnsi="Century Gothic"/>
          <w:bCs/>
          <w:sz w:val="24"/>
          <w:szCs w:val="24"/>
        </w:rPr>
        <w:t xml:space="preserve">Lo cual significa que la brecha de género y de clase social es muy amplia, </w:t>
      </w:r>
      <w:r w:rsidR="00AD5307" w:rsidRPr="00700CE7">
        <w:rPr>
          <w:rFonts w:ascii="Century Gothic" w:hAnsi="Century Gothic"/>
          <w:bCs/>
          <w:sz w:val="24"/>
          <w:szCs w:val="24"/>
        </w:rPr>
        <w:t>pues</w:t>
      </w:r>
      <w:r w:rsidR="006E2DFB" w:rsidRPr="00700CE7">
        <w:rPr>
          <w:rFonts w:ascii="Century Gothic" w:hAnsi="Century Gothic"/>
          <w:bCs/>
          <w:sz w:val="24"/>
          <w:szCs w:val="24"/>
        </w:rPr>
        <w:t xml:space="preserve"> contamos con municipios de alto grado de desarrollo, frente a municipios de alto grado de marginalidad.  </w:t>
      </w:r>
      <w:r w:rsidR="00AD5307" w:rsidRPr="00700CE7">
        <w:rPr>
          <w:rFonts w:ascii="Century Gothic" w:hAnsi="Century Gothic"/>
          <w:bCs/>
          <w:sz w:val="24"/>
          <w:szCs w:val="24"/>
        </w:rPr>
        <w:t>Son los municipios serranos,</w:t>
      </w:r>
      <w:r w:rsidR="006E2DFB" w:rsidRPr="00700CE7">
        <w:rPr>
          <w:rFonts w:ascii="Century Gothic" w:hAnsi="Century Gothic"/>
          <w:bCs/>
          <w:sz w:val="24"/>
          <w:szCs w:val="24"/>
        </w:rPr>
        <w:t xml:space="preserve"> en donde la mayor población es indígena</w:t>
      </w:r>
      <w:r w:rsidR="00AD5307" w:rsidRPr="00700CE7">
        <w:rPr>
          <w:rFonts w:ascii="Century Gothic" w:hAnsi="Century Gothic"/>
          <w:bCs/>
          <w:sz w:val="24"/>
          <w:szCs w:val="24"/>
        </w:rPr>
        <w:t xml:space="preserve"> l</w:t>
      </w:r>
      <w:r w:rsidR="006E2DFB" w:rsidRPr="00700CE7">
        <w:rPr>
          <w:rFonts w:ascii="Century Gothic" w:hAnsi="Century Gothic"/>
          <w:bCs/>
          <w:sz w:val="24"/>
          <w:szCs w:val="24"/>
        </w:rPr>
        <w:t>os colocan al Estado en los primeros lugares de mortalidad matern</w:t>
      </w:r>
      <w:bookmarkStart w:id="0" w:name="_Hlk103059271"/>
      <w:r w:rsidR="00AD5307" w:rsidRPr="00700CE7">
        <w:rPr>
          <w:rFonts w:ascii="Century Gothic" w:hAnsi="Century Gothic"/>
          <w:bCs/>
          <w:sz w:val="24"/>
          <w:szCs w:val="24"/>
        </w:rPr>
        <w:t>a.</w:t>
      </w:r>
      <w:bookmarkEnd w:id="0"/>
      <w:r w:rsidR="00AD5307" w:rsidRPr="00700CE7">
        <w:rPr>
          <w:rFonts w:ascii="Century Gothic" w:hAnsi="Century Gothic"/>
          <w:bCs/>
          <w:sz w:val="24"/>
          <w:szCs w:val="24"/>
        </w:rPr>
        <w:t xml:space="preserve"> En los Municipios como </w:t>
      </w:r>
      <w:r w:rsidR="00ED0A16" w:rsidRPr="00700CE7">
        <w:rPr>
          <w:rFonts w:ascii="Century Gothic" w:hAnsi="Century Gothic"/>
          <w:bCs/>
          <w:sz w:val="24"/>
          <w:szCs w:val="24"/>
        </w:rPr>
        <w:t>Guachochi, Guadalupe y Calvo</w:t>
      </w:r>
      <w:r w:rsidR="00FF28AF" w:rsidRPr="00700CE7">
        <w:rPr>
          <w:rFonts w:ascii="Century Gothic" w:hAnsi="Century Gothic"/>
          <w:bCs/>
          <w:sz w:val="24"/>
          <w:szCs w:val="24"/>
        </w:rPr>
        <w:t>,</w:t>
      </w:r>
      <w:r w:rsidR="00ED0A16" w:rsidRPr="00700CE7">
        <w:rPr>
          <w:rFonts w:ascii="Century Gothic" w:hAnsi="Century Gothic"/>
          <w:bCs/>
          <w:sz w:val="24"/>
          <w:szCs w:val="24"/>
        </w:rPr>
        <w:t xml:space="preserve"> y Batopilas</w:t>
      </w:r>
      <w:r w:rsidR="00FA060A" w:rsidRPr="00700CE7">
        <w:rPr>
          <w:rFonts w:ascii="Century Gothic" w:hAnsi="Century Gothic"/>
          <w:bCs/>
          <w:sz w:val="24"/>
          <w:szCs w:val="24"/>
        </w:rPr>
        <w:t>, las mujeres madres no</w:t>
      </w:r>
      <w:r w:rsidR="00FF28AF" w:rsidRPr="00700CE7">
        <w:rPr>
          <w:rFonts w:ascii="Century Gothic" w:hAnsi="Century Gothic"/>
          <w:bCs/>
          <w:sz w:val="24"/>
          <w:szCs w:val="24"/>
        </w:rPr>
        <w:t xml:space="preserve"> gozan del derecho humano a la s</w:t>
      </w:r>
      <w:r w:rsidR="00FA060A" w:rsidRPr="00700CE7">
        <w:rPr>
          <w:rFonts w:ascii="Century Gothic" w:hAnsi="Century Gothic"/>
          <w:bCs/>
          <w:sz w:val="24"/>
          <w:szCs w:val="24"/>
        </w:rPr>
        <w:t xml:space="preserve">alud, </w:t>
      </w:r>
      <w:r w:rsidR="00AD5307" w:rsidRPr="00700CE7">
        <w:rPr>
          <w:rFonts w:ascii="Century Gothic" w:hAnsi="Century Gothic"/>
          <w:bCs/>
          <w:sz w:val="24"/>
          <w:szCs w:val="24"/>
        </w:rPr>
        <w:t>lo mismo ocurre</w:t>
      </w:r>
      <w:r w:rsidR="00FA060A" w:rsidRPr="00700CE7">
        <w:rPr>
          <w:rFonts w:ascii="Century Gothic" w:hAnsi="Century Gothic"/>
          <w:bCs/>
          <w:sz w:val="24"/>
          <w:szCs w:val="24"/>
        </w:rPr>
        <w:t xml:space="preserve"> en la periferia de </w:t>
      </w:r>
      <w:r w:rsidR="00AD5307" w:rsidRPr="00700CE7">
        <w:rPr>
          <w:rFonts w:ascii="Century Gothic" w:hAnsi="Century Gothic"/>
          <w:bCs/>
          <w:sz w:val="24"/>
          <w:szCs w:val="24"/>
        </w:rPr>
        <w:t>C</w:t>
      </w:r>
      <w:r w:rsidR="00FA060A" w:rsidRPr="00700CE7">
        <w:rPr>
          <w:rFonts w:ascii="Century Gothic" w:hAnsi="Century Gothic"/>
          <w:bCs/>
          <w:sz w:val="24"/>
          <w:szCs w:val="24"/>
        </w:rPr>
        <w:t xml:space="preserve">iudad Juárez y </w:t>
      </w:r>
      <w:r w:rsidR="00AD5307" w:rsidRPr="00700CE7">
        <w:rPr>
          <w:rFonts w:ascii="Century Gothic" w:hAnsi="Century Gothic"/>
          <w:bCs/>
          <w:sz w:val="24"/>
          <w:szCs w:val="24"/>
        </w:rPr>
        <w:t xml:space="preserve">de </w:t>
      </w:r>
      <w:r w:rsidR="00FA060A" w:rsidRPr="00700CE7">
        <w:rPr>
          <w:rFonts w:ascii="Century Gothic" w:hAnsi="Century Gothic"/>
          <w:bCs/>
          <w:sz w:val="24"/>
          <w:szCs w:val="24"/>
        </w:rPr>
        <w:t>Chihuahua</w:t>
      </w:r>
      <w:r w:rsidR="00FE2245" w:rsidRPr="00700CE7">
        <w:rPr>
          <w:rFonts w:ascii="Century Gothic" w:hAnsi="Century Gothic"/>
          <w:bCs/>
          <w:sz w:val="24"/>
          <w:szCs w:val="24"/>
        </w:rPr>
        <w:t xml:space="preserve">, </w:t>
      </w:r>
      <w:r w:rsidR="00AD5307" w:rsidRPr="00700CE7">
        <w:rPr>
          <w:rFonts w:ascii="Century Gothic" w:hAnsi="Century Gothic"/>
          <w:bCs/>
          <w:sz w:val="24"/>
          <w:szCs w:val="24"/>
        </w:rPr>
        <w:t>donde t</w:t>
      </w:r>
      <w:r w:rsidR="00FE2245" w:rsidRPr="00700CE7">
        <w:rPr>
          <w:rFonts w:ascii="Century Gothic" w:hAnsi="Century Gothic"/>
          <w:bCs/>
          <w:sz w:val="24"/>
          <w:szCs w:val="24"/>
        </w:rPr>
        <w:t>ambién</w:t>
      </w:r>
      <w:r w:rsidR="00AD5307" w:rsidRPr="00700CE7">
        <w:rPr>
          <w:rFonts w:ascii="Century Gothic" w:hAnsi="Century Gothic"/>
          <w:bCs/>
          <w:sz w:val="24"/>
          <w:szCs w:val="24"/>
        </w:rPr>
        <w:t xml:space="preserve"> se</w:t>
      </w:r>
      <w:r w:rsidR="00FE2245" w:rsidRPr="00700CE7">
        <w:rPr>
          <w:rFonts w:ascii="Century Gothic" w:hAnsi="Century Gothic"/>
          <w:bCs/>
          <w:sz w:val="24"/>
          <w:szCs w:val="24"/>
        </w:rPr>
        <w:t xml:space="preserve"> ha</w:t>
      </w:r>
      <w:r w:rsidR="00AD5307" w:rsidRPr="00700CE7">
        <w:rPr>
          <w:rFonts w:ascii="Century Gothic" w:hAnsi="Century Gothic"/>
          <w:bCs/>
          <w:sz w:val="24"/>
          <w:szCs w:val="24"/>
        </w:rPr>
        <w:t>n</w:t>
      </w:r>
      <w:r w:rsidR="00FE2245" w:rsidRPr="00700CE7">
        <w:rPr>
          <w:rFonts w:ascii="Century Gothic" w:hAnsi="Century Gothic"/>
          <w:bCs/>
          <w:sz w:val="24"/>
          <w:szCs w:val="24"/>
        </w:rPr>
        <w:t xml:space="preserve"> presentado casos de muerte materna por </w:t>
      </w:r>
      <w:r w:rsidR="00B910E8" w:rsidRPr="00700CE7">
        <w:rPr>
          <w:rFonts w:ascii="Century Gothic" w:hAnsi="Century Gothic"/>
          <w:bCs/>
          <w:sz w:val="24"/>
          <w:szCs w:val="24"/>
        </w:rPr>
        <w:t>causa de desatención médica durante el embarazo</w:t>
      </w:r>
      <w:r w:rsidR="00F1495C" w:rsidRPr="00700CE7">
        <w:rPr>
          <w:rFonts w:ascii="Century Gothic" w:hAnsi="Century Gothic"/>
          <w:bCs/>
          <w:sz w:val="24"/>
          <w:szCs w:val="24"/>
        </w:rPr>
        <w:t>, por falta de prestación de servicio de salud y por la condición de ignorancia</w:t>
      </w:r>
      <w:r w:rsidR="00AD5307" w:rsidRPr="00700CE7">
        <w:rPr>
          <w:rFonts w:ascii="Century Gothic" w:hAnsi="Century Gothic"/>
          <w:bCs/>
          <w:sz w:val="24"/>
          <w:szCs w:val="24"/>
        </w:rPr>
        <w:t>,</w:t>
      </w:r>
      <w:r w:rsidR="00F1495C" w:rsidRPr="00700CE7">
        <w:rPr>
          <w:rFonts w:ascii="Century Gothic" w:hAnsi="Century Gothic"/>
          <w:bCs/>
          <w:sz w:val="24"/>
          <w:szCs w:val="24"/>
        </w:rPr>
        <w:t xml:space="preserve"> por falta de educación de las mujeres, otra variable que se cruza en la situación de marginalidad o pobreza extrema.</w:t>
      </w:r>
    </w:p>
    <w:p w14:paraId="755204EA" w14:textId="3ED3795E" w:rsidR="00803E74" w:rsidRPr="00700CE7" w:rsidRDefault="005855AB" w:rsidP="00CE4171">
      <w:pPr>
        <w:spacing w:line="360" w:lineRule="auto"/>
        <w:ind w:left="1134"/>
        <w:jc w:val="both"/>
        <w:rPr>
          <w:rFonts w:ascii="Century Gothic" w:hAnsi="Century Gothic"/>
          <w:bCs/>
          <w:sz w:val="24"/>
          <w:szCs w:val="24"/>
        </w:rPr>
      </w:pPr>
      <w:r w:rsidRPr="00700CE7">
        <w:rPr>
          <w:rFonts w:ascii="Century Gothic" w:hAnsi="Century Gothic"/>
          <w:bCs/>
          <w:sz w:val="24"/>
          <w:szCs w:val="24"/>
        </w:rPr>
        <w:t xml:space="preserve">La Secretaría de Salud </w:t>
      </w:r>
      <w:r w:rsidR="00803E74" w:rsidRPr="00700CE7">
        <w:rPr>
          <w:rFonts w:ascii="Century Gothic" w:hAnsi="Century Gothic"/>
          <w:bCs/>
          <w:sz w:val="24"/>
          <w:szCs w:val="24"/>
        </w:rPr>
        <w:t>Federal publica semanalmente un informe de notificación inmediata de muerte materna</w:t>
      </w:r>
      <w:r w:rsidR="00712CA6" w:rsidRPr="00700CE7">
        <w:rPr>
          <w:rFonts w:ascii="Century Gothic" w:hAnsi="Century Gothic"/>
          <w:bCs/>
          <w:sz w:val="24"/>
          <w:szCs w:val="24"/>
        </w:rPr>
        <w:t xml:space="preserve"> por estado. Para este informe implementa el método de Definición de RMM (Razón de la Mortalidad Materna), en el que se considera cualquier causa relacionada con el embarazo, o su atención, excluyendo las </w:t>
      </w:r>
      <w:r w:rsidR="00712CA6" w:rsidRPr="00700CE7">
        <w:rPr>
          <w:rFonts w:ascii="Century Gothic" w:hAnsi="Century Gothic"/>
          <w:bCs/>
          <w:sz w:val="24"/>
          <w:szCs w:val="24"/>
        </w:rPr>
        <w:lastRenderedPageBreak/>
        <w:t>causas accidentales o incidentales, tampoco se incluyen las muertes maternas debidas a suicidio, feminicidio ni aquellas muertes que se produzcan luego de los 42 días de terminado el embarazo.</w:t>
      </w:r>
    </w:p>
    <w:p w14:paraId="723021FE" w14:textId="19F2ACB7" w:rsidR="00712CA6" w:rsidRPr="00700CE7" w:rsidRDefault="00803E74" w:rsidP="00CE4171">
      <w:pPr>
        <w:spacing w:line="360" w:lineRule="auto"/>
        <w:ind w:left="1134"/>
        <w:jc w:val="both"/>
        <w:rPr>
          <w:rFonts w:ascii="Century Gothic" w:hAnsi="Century Gothic"/>
          <w:bCs/>
          <w:sz w:val="24"/>
          <w:szCs w:val="24"/>
        </w:rPr>
      </w:pPr>
      <w:r w:rsidRPr="00700CE7">
        <w:rPr>
          <w:rFonts w:ascii="Century Gothic" w:hAnsi="Century Gothic"/>
          <w:bCs/>
          <w:sz w:val="24"/>
          <w:szCs w:val="24"/>
        </w:rPr>
        <w:t>En estos</w:t>
      </w:r>
      <w:r w:rsidR="00F1495C" w:rsidRPr="00700CE7">
        <w:rPr>
          <w:rFonts w:ascii="Century Gothic" w:hAnsi="Century Gothic"/>
          <w:bCs/>
          <w:sz w:val="24"/>
          <w:szCs w:val="24"/>
        </w:rPr>
        <w:t xml:space="preserve"> informes semanales de la Secretaría de Salud; menos de la mitad de los 32 Estados de la República reportan semanalmente muertes maternas, </w:t>
      </w:r>
      <w:r w:rsidR="00712CA6" w:rsidRPr="00700CE7">
        <w:rPr>
          <w:rFonts w:ascii="Century Gothic" w:hAnsi="Century Gothic"/>
          <w:bCs/>
          <w:sz w:val="24"/>
          <w:szCs w:val="24"/>
        </w:rPr>
        <w:t xml:space="preserve">sin embargo, el Estado de Chihuahua ha presentado un </w:t>
      </w:r>
      <w:r w:rsidR="00F1495C" w:rsidRPr="00700CE7">
        <w:rPr>
          <w:rFonts w:ascii="Century Gothic" w:hAnsi="Century Gothic"/>
          <w:bCs/>
          <w:sz w:val="24"/>
          <w:szCs w:val="24"/>
        </w:rPr>
        <w:t>reporte en 14 de las 18 semanas contabilizadas de este año,</w:t>
      </w:r>
      <w:r w:rsidR="00712CA6" w:rsidRPr="00700CE7">
        <w:rPr>
          <w:rFonts w:ascii="Century Gothic" w:hAnsi="Century Gothic"/>
          <w:bCs/>
          <w:sz w:val="24"/>
          <w:szCs w:val="24"/>
        </w:rPr>
        <w:t xml:space="preserve"> lo que representa que no se ha  implementado una buena estrategia o no ha realizado un esfuerzo suficiente para la atención de la mujer embarazada.</w:t>
      </w:r>
    </w:p>
    <w:p w14:paraId="0D50F11B" w14:textId="05B21502" w:rsidR="00712CA6" w:rsidRPr="00700CE7" w:rsidRDefault="00712CA6" w:rsidP="00CE4171">
      <w:pPr>
        <w:spacing w:line="360" w:lineRule="auto"/>
        <w:ind w:left="1134"/>
        <w:jc w:val="both"/>
        <w:rPr>
          <w:rFonts w:ascii="Century Gothic" w:hAnsi="Century Gothic"/>
          <w:bCs/>
          <w:sz w:val="24"/>
          <w:szCs w:val="24"/>
        </w:rPr>
      </w:pPr>
      <w:r w:rsidRPr="00700CE7">
        <w:rPr>
          <w:rFonts w:ascii="Century Gothic" w:hAnsi="Century Gothic"/>
          <w:bCs/>
          <w:sz w:val="24"/>
          <w:szCs w:val="24"/>
        </w:rPr>
        <w:t xml:space="preserve">Durante las primeras 18 semanas de 2022, Chihuahua se ha colocado dentro de los principales estado con mayor mortalidad materna, alcanzando en 9 semanas el primer lugar, un dato verdaderamente alarmante. </w:t>
      </w:r>
    </w:p>
    <w:p w14:paraId="65AFDF66" w14:textId="69055E75" w:rsidR="00F1495C" w:rsidRPr="00700CE7" w:rsidRDefault="00712CA6" w:rsidP="00CE4171">
      <w:pPr>
        <w:ind w:left="1134"/>
        <w:jc w:val="both"/>
        <w:rPr>
          <w:rFonts w:ascii="Century Gothic" w:hAnsi="Century Gothic"/>
          <w:bCs/>
          <w:sz w:val="24"/>
          <w:szCs w:val="24"/>
        </w:rPr>
      </w:pPr>
      <w:r w:rsidRPr="00700CE7">
        <w:rPr>
          <w:rFonts w:ascii="Century Gothic" w:hAnsi="Century Gothic"/>
          <w:bCs/>
          <w:sz w:val="24"/>
          <w:szCs w:val="24"/>
        </w:rPr>
        <w:t xml:space="preserve">La información </w:t>
      </w:r>
      <w:r w:rsidR="00766107" w:rsidRPr="00700CE7">
        <w:rPr>
          <w:rFonts w:ascii="Century Gothic" w:hAnsi="Century Gothic"/>
          <w:bCs/>
          <w:sz w:val="24"/>
          <w:szCs w:val="24"/>
        </w:rPr>
        <w:t xml:space="preserve">se presenta en la siguiente tabla: </w:t>
      </w:r>
      <w:r w:rsidR="00766107" w:rsidRPr="00700CE7">
        <w:rPr>
          <w:rStyle w:val="Refdenotaalpie"/>
          <w:rFonts w:ascii="Century Gothic" w:hAnsi="Century Gothic"/>
          <w:bCs/>
          <w:sz w:val="24"/>
          <w:szCs w:val="24"/>
        </w:rPr>
        <w:footnoteReference w:id="1"/>
      </w:r>
    </w:p>
    <w:p w14:paraId="585EBE3C" w14:textId="2AEE19EB" w:rsidR="00F1495C" w:rsidRPr="00700CE7" w:rsidRDefault="00F1495C" w:rsidP="00CE4171">
      <w:pPr>
        <w:ind w:left="1134"/>
        <w:jc w:val="both"/>
        <w:rPr>
          <w:rFonts w:ascii="Century Gothic" w:eastAsia="Calibri" w:hAnsi="Century Gothic" w:cs="Times New Roman"/>
          <w:sz w:val="24"/>
          <w:szCs w:val="24"/>
        </w:rPr>
      </w:pPr>
      <w:r w:rsidRPr="00700CE7">
        <w:rPr>
          <w:rFonts w:ascii="Century Gothic" w:eastAsia="Calibri" w:hAnsi="Century Gothic" w:cs="Times New Roman"/>
          <w:bCs/>
          <w:sz w:val="24"/>
          <w:szCs w:val="24"/>
        </w:rPr>
        <w:t>Proporción de defunciones identificadas por BIRMM</w:t>
      </w:r>
      <w:r w:rsidR="00766107" w:rsidRPr="00700CE7">
        <w:rPr>
          <w:rStyle w:val="Refdenotaalpie"/>
          <w:rFonts w:ascii="Century Gothic" w:eastAsia="Calibri" w:hAnsi="Century Gothic" w:cs="Times New Roman"/>
          <w:bCs/>
          <w:sz w:val="24"/>
          <w:szCs w:val="24"/>
        </w:rPr>
        <w:footnoteReference w:id="2"/>
      </w:r>
      <w:r w:rsidRPr="00700CE7">
        <w:rPr>
          <w:rFonts w:ascii="Century Gothic" w:eastAsia="Calibri" w:hAnsi="Century Gothic" w:cs="Times New Roman"/>
          <w:bCs/>
          <w:sz w:val="24"/>
          <w:szCs w:val="24"/>
        </w:rPr>
        <w:t>, 2022</w:t>
      </w:r>
    </w:p>
    <w:tbl>
      <w:tblPr>
        <w:tblStyle w:val="Tablaconcuadrcula1"/>
        <w:tblpPr w:leftFromText="141" w:rightFromText="141" w:vertAnchor="text" w:horzAnchor="margin" w:tblpX="1129" w:tblpY="178"/>
        <w:tblW w:w="0" w:type="auto"/>
        <w:tblLayout w:type="fixed"/>
        <w:tblLook w:val="04A0" w:firstRow="1" w:lastRow="0" w:firstColumn="1" w:lastColumn="0" w:noHBand="0" w:noVBand="1"/>
      </w:tblPr>
      <w:tblGrid>
        <w:gridCol w:w="1129"/>
        <w:gridCol w:w="1701"/>
        <w:gridCol w:w="3828"/>
        <w:gridCol w:w="1275"/>
      </w:tblGrid>
      <w:tr w:rsidR="00357149" w:rsidRPr="00CE4171" w14:paraId="6E7DFE1B" w14:textId="77777777" w:rsidTr="00CE4171">
        <w:tc>
          <w:tcPr>
            <w:tcW w:w="1129" w:type="dxa"/>
            <w:shd w:val="clear" w:color="auto" w:fill="E7E6E6"/>
          </w:tcPr>
          <w:p w14:paraId="45B4E67A" w14:textId="50D8A85E" w:rsidR="00F1495C" w:rsidRPr="00CE4171" w:rsidRDefault="00F1495C" w:rsidP="00CE4171">
            <w:pPr>
              <w:pStyle w:val="Sinespaciado"/>
              <w:rPr>
                <w:sz w:val="20"/>
                <w:szCs w:val="20"/>
              </w:rPr>
            </w:pPr>
            <w:r w:rsidRPr="00CE4171">
              <w:rPr>
                <w:sz w:val="20"/>
                <w:szCs w:val="20"/>
              </w:rPr>
              <w:t>Semana epidemiológica</w:t>
            </w:r>
          </w:p>
          <w:p w14:paraId="22C002B4" w14:textId="3D18260A" w:rsidR="00F1495C" w:rsidRPr="00CE4171" w:rsidRDefault="00F1495C" w:rsidP="00CE4171">
            <w:pPr>
              <w:pStyle w:val="Sinespaciado"/>
              <w:rPr>
                <w:sz w:val="20"/>
                <w:szCs w:val="20"/>
              </w:rPr>
            </w:pPr>
            <w:r w:rsidRPr="00CE4171">
              <w:rPr>
                <w:sz w:val="20"/>
                <w:szCs w:val="20"/>
              </w:rPr>
              <w:t>(2022)</w:t>
            </w:r>
          </w:p>
          <w:p w14:paraId="47FAB8A0" w14:textId="77777777" w:rsidR="00F1495C" w:rsidRPr="00CE4171" w:rsidRDefault="00F1495C" w:rsidP="00CE4171">
            <w:pPr>
              <w:pStyle w:val="Sinespaciado"/>
              <w:rPr>
                <w:sz w:val="20"/>
                <w:szCs w:val="20"/>
              </w:rPr>
            </w:pPr>
          </w:p>
        </w:tc>
        <w:tc>
          <w:tcPr>
            <w:tcW w:w="1701" w:type="dxa"/>
            <w:shd w:val="clear" w:color="auto" w:fill="E7E6E6"/>
          </w:tcPr>
          <w:p w14:paraId="7889B7F3" w14:textId="77777777" w:rsidR="00F1495C" w:rsidRPr="00CE4171" w:rsidRDefault="00F1495C" w:rsidP="00CE4171">
            <w:pPr>
              <w:pStyle w:val="Sinespaciado"/>
              <w:rPr>
                <w:sz w:val="20"/>
                <w:szCs w:val="20"/>
              </w:rPr>
            </w:pPr>
            <w:r w:rsidRPr="00CE4171">
              <w:rPr>
                <w:sz w:val="20"/>
                <w:szCs w:val="20"/>
              </w:rPr>
              <w:t>DEFUNCIONES BIRMM</w:t>
            </w:r>
          </w:p>
          <w:p w14:paraId="5662DFB6" w14:textId="77777777" w:rsidR="00F1495C" w:rsidRPr="00CE4171" w:rsidRDefault="00F1495C" w:rsidP="00CE4171">
            <w:pPr>
              <w:pStyle w:val="Sinespaciado"/>
              <w:rPr>
                <w:sz w:val="20"/>
                <w:szCs w:val="20"/>
              </w:rPr>
            </w:pPr>
            <w:r w:rsidRPr="00CE4171">
              <w:rPr>
                <w:sz w:val="20"/>
                <w:szCs w:val="20"/>
              </w:rPr>
              <w:t>ENTIDAD FEDERATIVA:</w:t>
            </w:r>
          </w:p>
          <w:p w14:paraId="2A2D1B77" w14:textId="77777777" w:rsidR="00F1495C" w:rsidRPr="00CE4171" w:rsidRDefault="00F1495C" w:rsidP="00CE4171">
            <w:pPr>
              <w:pStyle w:val="Sinespaciado"/>
              <w:rPr>
                <w:sz w:val="20"/>
                <w:szCs w:val="20"/>
              </w:rPr>
            </w:pPr>
            <w:r w:rsidRPr="00CE4171">
              <w:rPr>
                <w:sz w:val="20"/>
                <w:szCs w:val="20"/>
              </w:rPr>
              <w:t>CHIHUAHUA</w:t>
            </w:r>
          </w:p>
        </w:tc>
        <w:tc>
          <w:tcPr>
            <w:tcW w:w="3828" w:type="dxa"/>
            <w:shd w:val="clear" w:color="auto" w:fill="E7E6E6"/>
          </w:tcPr>
          <w:p w14:paraId="1F836F9C" w14:textId="43D10FD4" w:rsidR="00F1495C" w:rsidRPr="00CE4171" w:rsidRDefault="00F1495C" w:rsidP="00CE4171">
            <w:pPr>
              <w:pStyle w:val="Sinespaciado"/>
              <w:rPr>
                <w:sz w:val="20"/>
                <w:szCs w:val="20"/>
              </w:rPr>
            </w:pPr>
            <w:r w:rsidRPr="00CE4171">
              <w:rPr>
                <w:sz w:val="20"/>
                <w:szCs w:val="20"/>
              </w:rPr>
              <w:t xml:space="preserve">El total de las entidades con casos BIRMM                                                     </w:t>
            </w:r>
            <w:r w:rsidRPr="00CE4171">
              <w:rPr>
                <w:i/>
                <w:iCs/>
                <w:sz w:val="20"/>
                <w:szCs w:val="20"/>
              </w:rPr>
              <w:t>(Búsqueda Intencionada y Reclasificación de las Muertes Maternas)</w:t>
            </w:r>
          </w:p>
        </w:tc>
        <w:tc>
          <w:tcPr>
            <w:tcW w:w="1275" w:type="dxa"/>
            <w:shd w:val="clear" w:color="auto" w:fill="E7E6E6"/>
          </w:tcPr>
          <w:p w14:paraId="105D832D" w14:textId="77777777" w:rsidR="00F1495C" w:rsidRPr="00CE4171" w:rsidRDefault="00F1495C" w:rsidP="00CE4171">
            <w:pPr>
              <w:pStyle w:val="Sinespaciado"/>
              <w:rPr>
                <w:sz w:val="20"/>
                <w:szCs w:val="20"/>
              </w:rPr>
            </w:pPr>
            <w:r w:rsidRPr="00CE4171">
              <w:rPr>
                <w:sz w:val="20"/>
                <w:szCs w:val="20"/>
              </w:rPr>
              <w:t>Lugar Nacional en MM             (Chihuahua)</w:t>
            </w:r>
          </w:p>
        </w:tc>
      </w:tr>
      <w:tr w:rsidR="00357149" w:rsidRPr="00CE4171" w14:paraId="64C585FC" w14:textId="77777777" w:rsidTr="00CE4171">
        <w:tc>
          <w:tcPr>
            <w:tcW w:w="1129" w:type="dxa"/>
          </w:tcPr>
          <w:p w14:paraId="728A4AD1" w14:textId="77777777" w:rsidR="00F1495C" w:rsidRPr="00CE4171" w:rsidRDefault="00F1495C" w:rsidP="00CE4171">
            <w:pPr>
              <w:pStyle w:val="Sinespaciado"/>
              <w:rPr>
                <w:rFonts w:ascii="Century Gothic" w:eastAsia="Calibri" w:hAnsi="Century Gothic" w:cs="Times New Roman"/>
                <w:sz w:val="20"/>
                <w:szCs w:val="20"/>
              </w:rPr>
            </w:pPr>
          </w:p>
          <w:p w14:paraId="3E651B41"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18</w:t>
            </w:r>
          </w:p>
        </w:tc>
        <w:tc>
          <w:tcPr>
            <w:tcW w:w="1701" w:type="dxa"/>
          </w:tcPr>
          <w:p w14:paraId="47D352AC" w14:textId="77777777" w:rsidR="00F1495C" w:rsidRPr="00CE4171" w:rsidRDefault="00F1495C" w:rsidP="00CE4171">
            <w:pPr>
              <w:pStyle w:val="Sinespaciado"/>
              <w:rPr>
                <w:rFonts w:ascii="Century Gothic" w:eastAsia="Calibri" w:hAnsi="Century Gothic" w:cs="Times New Roman"/>
                <w:sz w:val="20"/>
                <w:szCs w:val="20"/>
              </w:rPr>
            </w:pPr>
          </w:p>
          <w:p w14:paraId="111763F5"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w:t>
            </w:r>
          </w:p>
        </w:tc>
        <w:tc>
          <w:tcPr>
            <w:tcW w:w="3828" w:type="dxa"/>
          </w:tcPr>
          <w:p w14:paraId="49626ED1" w14:textId="22BF1660"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 xml:space="preserve">B. California 1, Colima 1, Cd. México 1, Durango 2, Guerrero 2, Hidalgo 1, México 4, Michoacán 3, Puebla 1, </w:t>
            </w:r>
            <w:r w:rsidRPr="00CE4171">
              <w:rPr>
                <w:rFonts w:ascii="Century Gothic" w:eastAsia="Calibri" w:hAnsi="Century Gothic" w:cs="Times New Roman"/>
                <w:sz w:val="20"/>
                <w:szCs w:val="20"/>
              </w:rPr>
              <w:lastRenderedPageBreak/>
              <w:t>Quintana Roo 1, Tabasc</w:t>
            </w:r>
            <w:r w:rsidR="00712CA6" w:rsidRPr="00CE4171">
              <w:rPr>
                <w:rFonts w:ascii="Century Gothic" w:eastAsia="Calibri" w:hAnsi="Century Gothic" w:cs="Times New Roman"/>
                <w:sz w:val="20"/>
                <w:szCs w:val="20"/>
              </w:rPr>
              <w:t xml:space="preserve">o 1, Tamaulipas 1, Veracruz 1. </w:t>
            </w:r>
            <w:r w:rsidRPr="00CE4171">
              <w:rPr>
                <w:rFonts w:ascii="Century Gothic" w:eastAsia="Calibri" w:hAnsi="Century Gothic" w:cs="Times New Roman"/>
                <w:sz w:val="20"/>
                <w:szCs w:val="20"/>
              </w:rPr>
              <w:t xml:space="preserve">  =22</w:t>
            </w:r>
          </w:p>
        </w:tc>
        <w:tc>
          <w:tcPr>
            <w:tcW w:w="1275" w:type="dxa"/>
          </w:tcPr>
          <w:p w14:paraId="60422655"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lastRenderedPageBreak/>
              <w:t>3º.</w:t>
            </w:r>
          </w:p>
        </w:tc>
      </w:tr>
      <w:tr w:rsidR="00357149" w:rsidRPr="00CE4171" w14:paraId="0B66395D" w14:textId="77777777" w:rsidTr="00CE4171">
        <w:tc>
          <w:tcPr>
            <w:tcW w:w="1129" w:type="dxa"/>
          </w:tcPr>
          <w:p w14:paraId="08B1FF19" w14:textId="77777777" w:rsidR="00F1495C" w:rsidRPr="00CE4171" w:rsidRDefault="00F1495C" w:rsidP="00CE4171">
            <w:pPr>
              <w:pStyle w:val="Sinespaciado"/>
              <w:rPr>
                <w:rFonts w:ascii="Century Gothic" w:eastAsia="Calibri" w:hAnsi="Century Gothic" w:cs="Times New Roman"/>
                <w:sz w:val="20"/>
                <w:szCs w:val="20"/>
              </w:rPr>
            </w:pPr>
          </w:p>
          <w:p w14:paraId="2F9420CC"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17</w:t>
            </w:r>
          </w:p>
        </w:tc>
        <w:tc>
          <w:tcPr>
            <w:tcW w:w="1701" w:type="dxa"/>
          </w:tcPr>
          <w:p w14:paraId="60BB0D38" w14:textId="77777777" w:rsidR="00F1495C" w:rsidRPr="00CE4171" w:rsidRDefault="00F1495C" w:rsidP="00CE4171">
            <w:pPr>
              <w:pStyle w:val="Sinespaciado"/>
              <w:rPr>
                <w:rFonts w:ascii="Century Gothic" w:eastAsia="Calibri" w:hAnsi="Century Gothic" w:cs="Times New Roman"/>
                <w:sz w:val="20"/>
                <w:szCs w:val="20"/>
              </w:rPr>
            </w:pPr>
          </w:p>
          <w:p w14:paraId="02F718C1"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w:t>
            </w:r>
          </w:p>
        </w:tc>
        <w:tc>
          <w:tcPr>
            <w:tcW w:w="3828" w:type="dxa"/>
          </w:tcPr>
          <w:p w14:paraId="5C7D5DCF"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B. California 1, Colima 1, Cd. México 1, Durango 2, Guerrero 2, Hidalgo 1, México 4, Michoacán 3, Puebla 1, Quintana Roo 1, Tabasco 1, Tamaulipas 1, Veracruz 1.           =22</w:t>
            </w:r>
          </w:p>
        </w:tc>
        <w:tc>
          <w:tcPr>
            <w:tcW w:w="1275" w:type="dxa"/>
          </w:tcPr>
          <w:p w14:paraId="5084A2CB"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3º.</w:t>
            </w:r>
          </w:p>
        </w:tc>
      </w:tr>
      <w:tr w:rsidR="00357149" w:rsidRPr="00CE4171" w14:paraId="6E4C3F1E" w14:textId="77777777" w:rsidTr="00CE4171">
        <w:tc>
          <w:tcPr>
            <w:tcW w:w="1129" w:type="dxa"/>
          </w:tcPr>
          <w:p w14:paraId="6BB362AC" w14:textId="77777777" w:rsidR="00F1495C" w:rsidRPr="00CE4171" w:rsidRDefault="00F1495C" w:rsidP="00CE4171">
            <w:pPr>
              <w:pStyle w:val="Sinespaciado"/>
              <w:rPr>
                <w:rFonts w:ascii="Century Gothic" w:eastAsia="Calibri" w:hAnsi="Century Gothic" w:cs="Times New Roman"/>
                <w:sz w:val="20"/>
                <w:szCs w:val="20"/>
              </w:rPr>
            </w:pPr>
          </w:p>
          <w:p w14:paraId="5BDD6209"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16</w:t>
            </w:r>
          </w:p>
        </w:tc>
        <w:tc>
          <w:tcPr>
            <w:tcW w:w="1701" w:type="dxa"/>
          </w:tcPr>
          <w:p w14:paraId="5706CF5B" w14:textId="77777777" w:rsidR="00F1495C" w:rsidRPr="00CE4171" w:rsidRDefault="00F1495C" w:rsidP="00CE4171">
            <w:pPr>
              <w:pStyle w:val="Sinespaciado"/>
              <w:rPr>
                <w:rFonts w:ascii="Century Gothic" w:eastAsia="Calibri" w:hAnsi="Century Gothic" w:cs="Times New Roman"/>
                <w:sz w:val="20"/>
                <w:szCs w:val="20"/>
              </w:rPr>
            </w:pPr>
          </w:p>
          <w:p w14:paraId="3B4DB8F7"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w:t>
            </w:r>
          </w:p>
        </w:tc>
        <w:tc>
          <w:tcPr>
            <w:tcW w:w="3828" w:type="dxa"/>
          </w:tcPr>
          <w:p w14:paraId="2FBDAC94"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B. California 1, Colima 1, Cd. México 1, Durango 2, Guerrero 2, Hidalgo 1, México 4, Michoacán 2, Puebla 1, Quintana Roo 1, Tabasco 1, Tamaulipas 1, Veracruz 1.           =21</w:t>
            </w:r>
          </w:p>
        </w:tc>
        <w:tc>
          <w:tcPr>
            <w:tcW w:w="1275" w:type="dxa"/>
          </w:tcPr>
          <w:p w14:paraId="1A92833C"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2º.</w:t>
            </w:r>
          </w:p>
          <w:p w14:paraId="01C143A2"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Igual que Durango, Guerrero, Michoacán</w:t>
            </w:r>
          </w:p>
        </w:tc>
      </w:tr>
      <w:tr w:rsidR="00357149" w:rsidRPr="00CE4171" w14:paraId="6EE48346" w14:textId="77777777" w:rsidTr="00CE4171">
        <w:tc>
          <w:tcPr>
            <w:tcW w:w="1129" w:type="dxa"/>
          </w:tcPr>
          <w:p w14:paraId="7E1E549D" w14:textId="77777777" w:rsidR="00F1495C" w:rsidRPr="00CE4171" w:rsidRDefault="00F1495C" w:rsidP="00CE4171">
            <w:pPr>
              <w:pStyle w:val="Sinespaciado"/>
              <w:rPr>
                <w:rFonts w:ascii="Century Gothic" w:eastAsia="Calibri" w:hAnsi="Century Gothic" w:cs="Times New Roman"/>
                <w:sz w:val="20"/>
                <w:szCs w:val="20"/>
              </w:rPr>
            </w:pPr>
          </w:p>
          <w:p w14:paraId="6CA0FF65"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15</w:t>
            </w:r>
          </w:p>
        </w:tc>
        <w:tc>
          <w:tcPr>
            <w:tcW w:w="1701" w:type="dxa"/>
          </w:tcPr>
          <w:p w14:paraId="7772C956" w14:textId="77777777" w:rsidR="00F1495C" w:rsidRPr="00CE4171" w:rsidRDefault="00F1495C" w:rsidP="00CE4171">
            <w:pPr>
              <w:pStyle w:val="Sinespaciado"/>
              <w:rPr>
                <w:rFonts w:ascii="Century Gothic" w:eastAsia="Calibri" w:hAnsi="Century Gothic" w:cs="Times New Roman"/>
                <w:sz w:val="20"/>
                <w:szCs w:val="20"/>
              </w:rPr>
            </w:pPr>
          </w:p>
          <w:p w14:paraId="09A2EDFE"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3</w:t>
            </w:r>
          </w:p>
        </w:tc>
        <w:tc>
          <w:tcPr>
            <w:tcW w:w="3828" w:type="dxa"/>
          </w:tcPr>
          <w:p w14:paraId="4A90E597"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Colima 1, Cd. México 1, Durango 2, Hidalgo 1, México 3, Michoacán 2, Puebla 1, Quintana Roo 1, Tabasco 1.                                             =16</w:t>
            </w:r>
          </w:p>
        </w:tc>
        <w:tc>
          <w:tcPr>
            <w:tcW w:w="1275" w:type="dxa"/>
          </w:tcPr>
          <w:p w14:paraId="33C4B42A"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1º.</w:t>
            </w:r>
          </w:p>
          <w:p w14:paraId="1C406EB9"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Igual que México</w:t>
            </w:r>
          </w:p>
        </w:tc>
      </w:tr>
      <w:tr w:rsidR="00357149" w:rsidRPr="00CE4171" w14:paraId="3FB6B6B1" w14:textId="77777777" w:rsidTr="00CE4171">
        <w:tc>
          <w:tcPr>
            <w:tcW w:w="1129" w:type="dxa"/>
          </w:tcPr>
          <w:p w14:paraId="4F8D0CFD" w14:textId="77777777" w:rsidR="00F1495C" w:rsidRPr="00CE4171" w:rsidRDefault="00F1495C" w:rsidP="00CE4171">
            <w:pPr>
              <w:pStyle w:val="Sinespaciado"/>
              <w:rPr>
                <w:rFonts w:ascii="Century Gothic" w:eastAsia="Calibri" w:hAnsi="Century Gothic" w:cs="Times New Roman"/>
                <w:sz w:val="20"/>
                <w:szCs w:val="20"/>
              </w:rPr>
            </w:pPr>
          </w:p>
          <w:p w14:paraId="713829C9"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14</w:t>
            </w:r>
          </w:p>
        </w:tc>
        <w:tc>
          <w:tcPr>
            <w:tcW w:w="1701" w:type="dxa"/>
          </w:tcPr>
          <w:p w14:paraId="12A80918" w14:textId="77777777" w:rsidR="00F1495C" w:rsidRPr="00CE4171" w:rsidRDefault="00F1495C" w:rsidP="00CE4171">
            <w:pPr>
              <w:pStyle w:val="Sinespaciado"/>
              <w:rPr>
                <w:rFonts w:ascii="Century Gothic" w:eastAsia="Calibri" w:hAnsi="Century Gothic" w:cs="Times New Roman"/>
                <w:sz w:val="20"/>
                <w:szCs w:val="20"/>
              </w:rPr>
            </w:pPr>
          </w:p>
          <w:p w14:paraId="5371A7F9"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3</w:t>
            </w:r>
          </w:p>
        </w:tc>
        <w:tc>
          <w:tcPr>
            <w:tcW w:w="3828" w:type="dxa"/>
          </w:tcPr>
          <w:p w14:paraId="4A45D585"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 xml:space="preserve">Colima 1, Cd. México 1, Durango 2, Guerrero 2, Hidalgo 1, México 4, Michoacán 3, Puebla 1, Quintana Roo 1, Tabasco 1, Tamaulipas 1.  =16 </w:t>
            </w:r>
          </w:p>
        </w:tc>
        <w:tc>
          <w:tcPr>
            <w:tcW w:w="1275" w:type="dxa"/>
          </w:tcPr>
          <w:p w14:paraId="741D35E4"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1º.</w:t>
            </w:r>
          </w:p>
          <w:p w14:paraId="1FA95F38"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Igual que Michoacán</w:t>
            </w:r>
          </w:p>
        </w:tc>
      </w:tr>
      <w:tr w:rsidR="00357149" w:rsidRPr="00CE4171" w14:paraId="3DCF8F7D" w14:textId="77777777" w:rsidTr="00CE4171">
        <w:trPr>
          <w:trHeight w:val="229"/>
        </w:trPr>
        <w:tc>
          <w:tcPr>
            <w:tcW w:w="1129" w:type="dxa"/>
          </w:tcPr>
          <w:p w14:paraId="5F8B8BDA" w14:textId="77777777" w:rsidR="00F1495C" w:rsidRPr="00CE4171" w:rsidRDefault="00F1495C" w:rsidP="00CE4171">
            <w:pPr>
              <w:pStyle w:val="Sinespaciado"/>
              <w:rPr>
                <w:rFonts w:ascii="Century Gothic" w:eastAsia="Calibri" w:hAnsi="Century Gothic" w:cs="Times New Roman"/>
                <w:sz w:val="20"/>
                <w:szCs w:val="20"/>
              </w:rPr>
            </w:pPr>
          </w:p>
          <w:p w14:paraId="07810516"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13</w:t>
            </w:r>
          </w:p>
        </w:tc>
        <w:tc>
          <w:tcPr>
            <w:tcW w:w="1701" w:type="dxa"/>
          </w:tcPr>
          <w:p w14:paraId="7BACDD21" w14:textId="77777777" w:rsidR="00F1495C" w:rsidRPr="00CE4171" w:rsidRDefault="00F1495C" w:rsidP="00CE4171">
            <w:pPr>
              <w:pStyle w:val="Sinespaciado"/>
              <w:rPr>
                <w:rFonts w:ascii="Century Gothic" w:eastAsia="Calibri" w:hAnsi="Century Gothic" w:cs="Times New Roman"/>
                <w:sz w:val="20"/>
                <w:szCs w:val="20"/>
              </w:rPr>
            </w:pPr>
          </w:p>
          <w:p w14:paraId="31AC2769"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3</w:t>
            </w:r>
          </w:p>
        </w:tc>
        <w:tc>
          <w:tcPr>
            <w:tcW w:w="3828" w:type="dxa"/>
          </w:tcPr>
          <w:p w14:paraId="3470BAB1"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Colima 1, Cd. México 1, Durango 2, Guerrero 2, Hidalgo 1, México 4, Michoacán 3, Puebla 1, Quintana Roo 1, Tabasco 1, Tamaulipas 1, Veracruz 1.                                                         =17</w:t>
            </w:r>
          </w:p>
        </w:tc>
        <w:tc>
          <w:tcPr>
            <w:tcW w:w="1275" w:type="dxa"/>
          </w:tcPr>
          <w:p w14:paraId="63B6E015"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2º.</w:t>
            </w:r>
          </w:p>
          <w:p w14:paraId="79BF5FEA"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Igual que Michoacán</w:t>
            </w:r>
          </w:p>
        </w:tc>
      </w:tr>
      <w:tr w:rsidR="00357149" w:rsidRPr="00CE4171" w14:paraId="048DFD20" w14:textId="77777777" w:rsidTr="00CE4171">
        <w:tc>
          <w:tcPr>
            <w:tcW w:w="1129" w:type="dxa"/>
          </w:tcPr>
          <w:p w14:paraId="5EC0956F" w14:textId="77777777" w:rsidR="00F1495C" w:rsidRPr="00CE4171" w:rsidRDefault="00F1495C" w:rsidP="00CE4171">
            <w:pPr>
              <w:pStyle w:val="Sinespaciado"/>
              <w:rPr>
                <w:rFonts w:ascii="Century Gothic" w:eastAsia="Calibri" w:hAnsi="Century Gothic" w:cs="Times New Roman"/>
                <w:sz w:val="20"/>
                <w:szCs w:val="20"/>
              </w:rPr>
            </w:pPr>
          </w:p>
          <w:p w14:paraId="1D31BA2A"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12</w:t>
            </w:r>
          </w:p>
        </w:tc>
        <w:tc>
          <w:tcPr>
            <w:tcW w:w="1701" w:type="dxa"/>
          </w:tcPr>
          <w:p w14:paraId="17BF93E2" w14:textId="77777777" w:rsidR="00F1495C" w:rsidRPr="00CE4171" w:rsidRDefault="00F1495C" w:rsidP="00CE4171">
            <w:pPr>
              <w:pStyle w:val="Sinespaciado"/>
              <w:rPr>
                <w:rFonts w:ascii="Century Gothic" w:eastAsia="Calibri" w:hAnsi="Century Gothic" w:cs="Times New Roman"/>
                <w:sz w:val="20"/>
                <w:szCs w:val="20"/>
              </w:rPr>
            </w:pPr>
          </w:p>
          <w:p w14:paraId="2B99088A"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3</w:t>
            </w:r>
          </w:p>
        </w:tc>
        <w:tc>
          <w:tcPr>
            <w:tcW w:w="3828" w:type="dxa"/>
          </w:tcPr>
          <w:p w14:paraId="28E95BE5"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 xml:space="preserve">Colima 1, Cd. México 1, Durango 2, Hidalgo 1, México 3, Michoacán 1, Puebla 1, Tabasco 1.                                                                      =14                                                         </w:t>
            </w:r>
          </w:p>
        </w:tc>
        <w:tc>
          <w:tcPr>
            <w:tcW w:w="1275" w:type="dxa"/>
          </w:tcPr>
          <w:p w14:paraId="1B7717CA"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1º.</w:t>
            </w:r>
          </w:p>
          <w:p w14:paraId="42D871AE"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Igual que México</w:t>
            </w:r>
          </w:p>
        </w:tc>
      </w:tr>
      <w:tr w:rsidR="00357149" w:rsidRPr="00CE4171" w14:paraId="7EB5CC62" w14:textId="77777777" w:rsidTr="00CE4171">
        <w:tc>
          <w:tcPr>
            <w:tcW w:w="1129" w:type="dxa"/>
          </w:tcPr>
          <w:p w14:paraId="56347117" w14:textId="77777777" w:rsidR="00F1495C" w:rsidRPr="00CE4171" w:rsidRDefault="00F1495C" w:rsidP="00CE4171">
            <w:pPr>
              <w:pStyle w:val="Sinespaciado"/>
              <w:rPr>
                <w:rFonts w:ascii="Century Gothic" w:eastAsia="Calibri" w:hAnsi="Century Gothic" w:cs="Times New Roman"/>
                <w:sz w:val="20"/>
                <w:szCs w:val="20"/>
              </w:rPr>
            </w:pPr>
          </w:p>
          <w:p w14:paraId="34E36F99"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11</w:t>
            </w:r>
          </w:p>
        </w:tc>
        <w:tc>
          <w:tcPr>
            <w:tcW w:w="1701" w:type="dxa"/>
          </w:tcPr>
          <w:p w14:paraId="143D1E2C" w14:textId="77777777" w:rsidR="00F1495C" w:rsidRPr="00CE4171" w:rsidRDefault="00F1495C" w:rsidP="00CE4171">
            <w:pPr>
              <w:pStyle w:val="Sinespaciado"/>
              <w:rPr>
                <w:rFonts w:ascii="Century Gothic" w:eastAsia="Calibri" w:hAnsi="Century Gothic" w:cs="Times New Roman"/>
                <w:sz w:val="20"/>
                <w:szCs w:val="20"/>
              </w:rPr>
            </w:pPr>
          </w:p>
          <w:p w14:paraId="07BB2C72"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3</w:t>
            </w:r>
          </w:p>
        </w:tc>
        <w:tc>
          <w:tcPr>
            <w:tcW w:w="3828" w:type="dxa"/>
          </w:tcPr>
          <w:p w14:paraId="32A4B634"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 xml:space="preserve">Colima 1, Cd. México 1, Durango 2, Hidalgo 1, México 3, Michoacán 1, Sinaloa 1, Tabasco 1.                                                     =15                                                         </w:t>
            </w:r>
          </w:p>
        </w:tc>
        <w:tc>
          <w:tcPr>
            <w:tcW w:w="1275" w:type="dxa"/>
          </w:tcPr>
          <w:p w14:paraId="73EEC9D8"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1º.</w:t>
            </w:r>
          </w:p>
          <w:p w14:paraId="2AC26552"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Igual que México</w:t>
            </w:r>
          </w:p>
        </w:tc>
      </w:tr>
      <w:tr w:rsidR="00357149" w:rsidRPr="00CE4171" w14:paraId="3AD4A08D" w14:textId="77777777" w:rsidTr="00CE4171">
        <w:tc>
          <w:tcPr>
            <w:tcW w:w="1129" w:type="dxa"/>
          </w:tcPr>
          <w:p w14:paraId="1F6EC463" w14:textId="77777777" w:rsidR="00F1495C" w:rsidRPr="00CE4171" w:rsidRDefault="00F1495C" w:rsidP="00CE4171">
            <w:pPr>
              <w:pStyle w:val="Sinespaciado"/>
              <w:rPr>
                <w:rFonts w:ascii="Century Gothic" w:eastAsia="Calibri" w:hAnsi="Century Gothic" w:cs="Times New Roman"/>
                <w:sz w:val="20"/>
                <w:szCs w:val="20"/>
              </w:rPr>
            </w:pPr>
          </w:p>
          <w:p w14:paraId="7770DC4F"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10</w:t>
            </w:r>
          </w:p>
        </w:tc>
        <w:tc>
          <w:tcPr>
            <w:tcW w:w="1701" w:type="dxa"/>
          </w:tcPr>
          <w:p w14:paraId="3FC0B471" w14:textId="77777777" w:rsidR="00F1495C" w:rsidRPr="00CE4171" w:rsidRDefault="00F1495C" w:rsidP="00CE4171">
            <w:pPr>
              <w:pStyle w:val="Sinespaciado"/>
              <w:rPr>
                <w:rFonts w:ascii="Century Gothic" w:eastAsia="Calibri" w:hAnsi="Century Gothic" w:cs="Times New Roman"/>
                <w:sz w:val="20"/>
                <w:szCs w:val="20"/>
              </w:rPr>
            </w:pPr>
          </w:p>
          <w:p w14:paraId="5ED722B3"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w:t>
            </w:r>
          </w:p>
        </w:tc>
        <w:tc>
          <w:tcPr>
            <w:tcW w:w="3828" w:type="dxa"/>
          </w:tcPr>
          <w:p w14:paraId="7E5B0A16"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 xml:space="preserve">Colima 1, Cd. México 1, Durango 1, Hidalgo 1, México 3, Michoacán 1, Puebla 1, Sinaloa 1, Tabasco 1.                                                 =13                                                        </w:t>
            </w:r>
          </w:p>
        </w:tc>
        <w:tc>
          <w:tcPr>
            <w:tcW w:w="1275" w:type="dxa"/>
          </w:tcPr>
          <w:p w14:paraId="059EDEC3"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2º.</w:t>
            </w:r>
          </w:p>
        </w:tc>
      </w:tr>
      <w:tr w:rsidR="00357149" w:rsidRPr="00CE4171" w14:paraId="0B4AAEF5" w14:textId="77777777" w:rsidTr="00CE4171">
        <w:tc>
          <w:tcPr>
            <w:tcW w:w="1129" w:type="dxa"/>
          </w:tcPr>
          <w:p w14:paraId="0A202688" w14:textId="77777777" w:rsidR="00F1495C" w:rsidRPr="00CE4171" w:rsidRDefault="00F1495C" w:rsidP="00CE4171">
            <w:pPr>
              <w:pStyle w:val="Sinespaciado"/>
              <w:rPr>
                <w:rFonts w:ascii="Century Gothic" w:eastAsia="Calibri" w:hAnsi="Century Gothic" w:cs="Times New Roman"/>
                <w:sz w:val="20"/>
                <w:szCs w:val="20"/>
              </w:rPr>
            </w:pPr>
          </w:p>
          <w:p w14:paraId="0E72D2B3"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9</w:t>
            </w:r>
          </w:p>
        </w:tc>
        <w:tc>
          <w:tcPr>
            <w:tcW w:w="1701" w:type="dxa"/>
          </w:tcPr>
          <w:p w14:paraId="6609E5B5" w14:textId="77777777" w:rsidR="00F1495C" w:rsidRPr="00CE4171" w:rsidRDefault="00F1495C" w:rsidP="00CE4171">
            <w:pPr>
              <w:pStyle w:val="Sinespaciado"/>
              <w:rPr>
                <w:rFonts w:ascii="Century Gothic" w:eastAsia="Calibri" w:hAnsi="Century Gothic" w:cs="Times New Roman"/>
                <w:sz w:val="20"/>
                <w:szCs w:val="20"/>
              </w:rPr>
            </w:pPr>
          </w:p>
          <w:p w14:paraId="24BE31F0"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w:t>
            </w:r>
          </w:p>
        </w:tc>
        <w:tc>
          <w:tcPr>
            <w:tcW w:w="3828" w:type="dxa"/>
          </w:tcPr>
          <w:p w14:paraId="2F8E8E38"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 xml:space="preserve">Colima 1, Cd. México 1, Durango 1, Hidalgo 1, México 2, Michoacán 1, Puebla 1, Sinaloa 1, Tabasco 1.                                           =12                                                 </w:t>
            </w:r>
          </w:p>
        </w:tc>
        <w:tc>
          <w:tcPr>
            <w:tcW w:w="1275" w:type="dxa"/>
          </w:tcPr>
          <w:p w14:paraId="0AF2BF82"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1º.</w:t>
            </w:r>
          </w:p>
          <w:p w14:paraId="1DA98471"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Igual que México</w:t>
            </w:r>
          </w:p>
        </w:tc>
      </w:tr>
      <w:tr w:rsidR="00357149" w:rsidRPr="00CE4171" w14:paraId="2E7D499F" w14:textId="77777777" w:rsidTr="00CE4171">
        <w:tc>
          <w:tcPr>
            <w:tcW w:w="1129" w:type="dxa"/>
          </w:tcPr>
          <w:p w14:paraId="4B26A08E" w14:textId="77777777" w:rsidR="00F1495C" w:rsidRPr="00CE4171" w:rsidRDefault="00F1495C" w:rsidP="00CE4171">
            <w:pPr>
              <w:pStyle w:val="Sinespaciado"/>
              <w:rPr>
                <w:rFonts w:ascii="Century Gothic" w:eastAsia="Calibri" w:hAnsi="Century Gothic" w:cs="Times New Roman"/>
                <w:sz w:val="20"/>
                <w:szCs w:val="20"/>
              </w:rPr>
            </w:pPr>
          </w:p>
          <w:p w14:paraId="23EA403A"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8</w:t>
            </w:r>
          </w:p>
        </w:tc>
        <w:tc>
          <w:tcPr>
            <w:tcW w:w="1701" w:type="dxa"/>
          </w:tcPr>
          <w:p w14:paraId="6CAEC656" w14:textId="77777777" w:rsidR="00F1495C" w:rsidRPr="00CE4171" w:rsidRDefault="00F1495C" w:rsidP="00CE4171">
            <w:pPr>
              <w:pStyle w:val="Sinespaciado"/>
              <w:rPr>
                <w:rFonts w:ascii="Century Gothic" w:eastAsia="Calibri" w:hAnsi="Century Gothic" w:cs="Times New Roman"/>
                <w:sz w:val="20"/>
                <w:szCs w:val="20"/>
              </w:rPr>
            </w:pPr>
          </w:p>
          <w:p w14:paraId="07FBC636"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w:t>
            </w:r>
          </w:p>
        </w:tc>
        <w:tc>
          <w:tcPr>
            <w:tcW w:w="3828" w:type="dxa"/>
          </w:tcPr>
          <w:p w14:paraId="60EFA78F"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 xml:space="preserve">Colima 1, Cd. México 1, Durango 1, Hidalgo 1, México 2, Michoacán 1, Puebla 1, Sinaloa 1, Tabasco 1.                                                =12                                                        </w:t>
            </w:r>
          </w:p>
        </w:tc>
        <w:tc>
          <w:tcPr>
            <w:tcW w:w="1275" w:type="dxa"/>
          </w:tcPr>
          <w:p w14:paraId="64FBFDA7"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1º.</w:t>
            </w:r>
          </w:p>
          <w:p w14:paraId="323ECE4E"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Igual que México</w:t>
            </w:r>
          </w:p>
        </w:tc>
      </w:tr>
      <w:tr w:rsidR="00357149" w:rsidRPr="00CE4171" w14:paraId="31750794" w14:textId="77777777" w:rsidTr="00CE4171">
        <w:tc>
          <w:tcPr>
            <w:tcW w:w="1129" w:type="dxa"/>
          </w:tcPr>
          <w:p w14:paraId="177E36F3" w14:textId="77777777" w:rsidR="00F1495C" w:rsidRPr="00CE4171" w:rsidRDefault="00F1495C" w:rsidP="00CE4171">
            <w:pPr>
              <w:pStyle w:val="Sinespaciado"/>
              <w:rPr>
                <w:rFonts w:ascii="Century Gothic" w:eastAsia="Calibri" w:hAnsi="Century Gothic" w:cs="Times New Roman"/>
                <w:sz w:val="20"/>
                <w:szCs w:val="20"/>
              </w:rPr>
            </w:pPr>
          </w:p>
          <w:p w14:paraId="600EC81D"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7</w:t>
            </w:r>
          </w:p>
        </w:tc>
        <w:tc>
          <w:tcPr>
            <w:tcW w:w="1701" w:type="dxa"/>
          </w:tcPr>
          <w:p w14:paraId="321FF773"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 xml:space="preserve">            </w:t>
            </w:r>
          </w:p>
          <w:p w14:paraId="0F64B45F" w14:textId="6430F184"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w:t>
            </w:r>
          </w:p>
        </w:tc>
        <w:tc>
          <w:tcPr>
            <w:tcW w:w="3828" w:type="dxa"/>
          </w:tcPr>
          <w:p w14:paraId="25685FD4"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 xml:space="preserve">Colima 1, Hidalgo 1, México 1, Michoacán 1, Puebla 1, Sinaloa 1, Tabasco 1.               =9    </w:t>
            </w:r>
          </w:p>
          <w:p w14:paraId="30310E26"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 xml:space="preserve">                                         </w:t>
            </w:r>
          </w:p>
        </w:tc>
        <w:tc>
          <w:tcPr>
            <w:tcW w:w="1275" w:type="dxa"/>
          </w:tcPr>
          <w:p w14:paraId="64F8A23E"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1º.</w:t>
            </w:r>
          </w:p>
        </w:tc>
      </w:tr>
      <w:tr w:rsidR="00357149" w:rsidRPr="00CE4171" w14:paraId="2712B373" w14:textId="77777777" w:rsidTr="00CE4171">
        <w:tc>
          <w:tcPr>
            <w:tcW w:w="1129" w:type="dxa"/>
          </w:tcPr>
          <w:p w14:paraId="71B0978C"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 xml:space="preserve"> </w:t>
            </w:r>
          </w:p>
          <w:p w14:paraId="1EB2CD73"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6</w:t>
            </w:r>
          </w:p>
        </w:tc>
        <w:tc>
          <w:tcPr>
            <w:tcW w:w="1701" w:type="dxa"/>
          </w:tcPr>
          <w:p w14:paraId="4C80645B" w14:textId="77777777" w:rsidR="00F1495C" w:rsidRPr="00CE4171" w:rsidRDefault="00F1495C" w:rsidP="00CE4171">
            <w:pPr>
              <w:pStyle w:val="Sinespaciado"/>
              <w:rPr>
                <w:rFonts w:ascii="Century Gothic" w:eastAsia="Calibri" w:hAnsi="Century Gothic" w:cs="Times New Roman"/>
                <w:sz w:val="20"/>
                <w:szCs w:val="20"/>
              </w:rPr>
            </w:pPr>
          </w:p>
          <w:p w14:paraId="7496DE02"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w:t>
            </w:r>
          </w:p>
        </w:tc>
        <w:tc>
          <w:tcPr>
            <w:tcW w:w="3828" w:type="dxa"/>
          </w:tcPr>
          <w:p w14:paraId="5ACFE298"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Colima 1, Hidalgo 1, México 1, Michoacán 1, Puebla 1, Sinaloa 1, Tabasco 1, Tamaulipas 1.                                                              =10</w:t>
            </w:r>
          </w:p>
        </w:tc>
        <w:tc>
          <w:tcPr>
            <w:tcW w:w="1275" w:type="dxa"/>
          </w:tcPr>
          <w:p w14:paraId="7434C266"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1º.</w:t>
            </w:r>
          </w:p>
        </w:tc>
      </w:tr>
      <w:tr w:rsidR="00357149" w:rsidRPr="00CE4171" w14:paraId="2798B0F6" w14:textId="77777777" w:rsidTr="00CE4171">
        <w:tc>
          <w:tcPr>
            <w:tcW w:w="1129" w:type="dxa"/>
          </w:tcPr>
          <w:p w14:paraId="137B07F0" w14:textId="77777777" w:rsidR="00F1495C" w:rsidRPr="00CE4171" w:rsidRDefault="00F1495C" w:rsidP="00CE4171">
            <w:pPr>
              <w:pStyle w:val="Sinespaciado"/>
              <w:rPr>
                <w:rFonts w:ascii="Century Gothic" w:eastAsia="Calibri" w:hAnsi="Century Gothic" w:cs="Times New Roman"/>
                <w:sz w:val="20"/>
                <w:szCs w:val="20"/>
              </w:rPr>
            </w:pPr>
          </w:p>
          <w:p w14:paraId="71EC4EC3"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5</w:t>
            </w:r>
          </w:p>
        </w:tc>
        <w:tc>
          <w:tcPr>
            <w:tcW w:w="1701" w:type="dxa"/>
          </w:tcPr>
          <w:p w14:paraId="1196811C" w14:textId="77777777" w:rsidR="00F1495C" w:rsidRPr="00CE4171" w:rsidRDefault="00F1495C" w:rsidP="00CE4171">
            <w:pPr>
              <w:pStyle w:val="Sinespaciado"/>
              <w:rPr>
                <w:rFonts w:ascii="Century Gothic" w:eastAsia="Calibri" w:hAnsi="Century Gothic" w:cs="Times New Roman"/>
                <w:sz w:val="20"/>
                <w:szCs w:val="20"/>
              </w:rPr>
            </w:pPr>
          </w:p>
          <w:p w14:paraId="55E3C2CC"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w:t>
            </w:r>
          </w:p>
        </w:tc>
        <w:tc>
          <w:tcPr>
            <w:tcW w:w="3828" w:type="dxa"/>
          </w:tcPr>
          <w:p w14:paraId="1DB4EBB8"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Colima 1, Hidalgo 1, México 1, Michoacán 1, Puebla 1, Sinaloa 1, Tabasco 1.                     =9</w:t>
            </w:r>
          </w:p>
        </w:tc>
        <w:tc>
          <w:tcPr>
            <w:tcW w:w="1275" w:type="dxa"/>
          </w:tcPr>
          <w:p w14:paraId="40C3C2FE"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1º.</w:t>
            </w:r>
          </w:p>
          <w:p w14:paraId="311C5940" w14:textId="77777777" w:rsidR="00F1495C" w:rsidRPr="00CE4171" w:rsidRDefault="00F1495C" w:rsidP="00CE4171">
            <w:pPr>
              <w:pStyle w:val="Sinespaciado"/>
              <w:rPr>
                <w:rFonts w:ascii="Century Gothic" w:eastAsia="Calibri" w:hAnsi="Century Gothic" w:cs="Times New Roman"/>
                <w:sz w:val="20"/>
                <w:szCs w:val="20"/>
              </w:rPr>
            </w:pPr>
          </w:p>
        </w:tc>
      </w:tr>
      <w:tr w:rsidR="00357149" w:rsidRPr="00CE4171" w14:paraId="7146486C" w14:textId="77777777" w:rsidTr="00CE4171">
        <w:tc>
          <w:tcPr>
            <w:tcW w:w="1129" w:type="dxa"/>
          </w:tcPr>
          <w:p w14:paraId="27C99680"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4</w:t>
            </w:r>
          </w:p>
        </w:tc>
        <w:tc>
          <w:tcPr>
            <w:tcW w:w="1701" w:type="dxa"/>
          </w:tcPr>
          <w:p w14:paraId="7B9F6AC3"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0</w:t>
            </w:r>
          </w:p>
        </w:tc>
        <w:tc>
          <w:tcPr>
            <w:tcW w:w="3828" w:type="dxa"/>
          </w:tcPr>
          <w:p w14:paraId="2DCFB8DF" w14:textId="77777777" w:rsidR="00F1495C" w:rsidRPr="00CE4171" w:rsidRDefault="00F1495C" w:rsidP="00CE4171">
            <w:pPr>
              <w:pStyle w:val="Sinespaciado"/>
              <w:rPr>
                <w:rFonts w:ascii="Century Gothic" w:eastAsia="Calibri" w:hAnsi="Century Gothic" w:cs="Times New Roman"/>
                <w:sz w:val="20"/>
                <w:szCs w:val="20"/>
              </w:rPr>
            </w:pPr>
          </w:p>
        </w:tc>
        <w:tc>
          <w:tcPr>
            <w:tcW w:w="1275" w:type="dxa"/>
          </w:tcPr>
          <w:p w14:paraId="14F40A92" w14:textId="77777777" w:rsidR="00F1495C" w:rsidRPr="00CE4171" w:rsidRDefault="00F1495C" w:rsidP="00CE4171">
            <w:pPr>
              <w:pStyle w:val="Sinespaciado"/>
              <w:rPr>
                <w:rFonts w:ascii="Century Gothic" w:eastAsia="Calibri" w:hAnsi="Century Gothic" w:cs="Times New Roman"/>
                <w:sz w:val="20"/>
                <w:szCs w:val="20"/>
              </w:rPr>
            </w:pPr>
          </w:p>
        </w:tc>
      </w:tr>
      <w:tr w:rsidR="00357149" w:rsidRPr="00CE4171" w14:paraId="77E2240C" w14:textId="77777777" w:rsidTr="00CE4171">
        <w:tc>
          <w:tcPr>
            <w:tcW w:w="1129" w:type="dxa"/>
          </w:tcPr>
          <w:p w14:paraId="305538B8"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3</w:t>
            </w:r>
          </w:p>
        </w:tc>
        <w:tc>
          <w:tcPr>
            <w:tcW w:w="1701" w:type="dxa"/>
          </w:tcPr>
          <w:p w14:paraId="506DAA75"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0</w:t>
            </w:r>
          </w:p>
        </w:tc>
        <w:tc>
          <w:tcPr>
            <w:tcW w:w="3828" w:type="dxa"/>
          </w:tcPr>
          <w:p w14:paraId="1A312C83" w14:textId="77777777" w:rsidR="00F1495C" w:rsidRPr="00CE4171" w:rsidRDefault="00F1495C" w:rsidP="00CE4171">
            <w:pPr>
              <w:pStyle w:val="Sinespaciado"/>
              <w:rPr>
                <w:rFonts w:ascii="Century Gothic" w:eastAsia="Calibri" w:hAnsi="Century Gothic" w:cs="Times New Roman"/>
                <w:sz w:val="20"/>
                <w:szCs w:val="20"/>
              </w:rPr>
            </w:pPr>
          </w:p>
        </w:tc>
        <w:tc>
          <w:tcPr>
            <w:tcW w:w="1275" w:type="dxa"/>
          </w:tcPr>
          <w:p w14:paraId="6B85678B" w14:textId="77777777" w:rsidR="00F1495C" w:rsidRPr="00CE4171" w:rsidRDefault="00F1495C" w:rsidP="00CE4171">
            <w:pPr>
              <w:pStyle w:val="Sinespaciado"/>
              <w:rPr>
                <w:rFonts w:ascii="Century Gothic" w:eastAsia="Calibri" w:hAnsi="Century Gothic" w:cs="Times New Roman"/>
                <w:sz w:val="20"/>
                <w:szCs w:val="20"/>
              </w:rPr>
            </w:pPr>
          </w:p>
        </w:tc>
      </w:tr>
      <w:tr w:rsidR="00357149" w:rsidRPr="00CE4171" w14:paraId="7469F041" w14:textId="77777777" w:rsidTr="00CE4171">
        <w:tc>
          <w:tcPr>
            <w:tcW w:w="1129" w:type="dxa"/>
          </w:tcPr>
          <w:p w14:paraId="398DD792"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2</w:t>
            </w:r>
          </w:p>
        </w:tc>
        <w:tc>
          <w:tcPr>
            <w:tcW w:w="1701" w:type="dxa"/>
          </w:tcPr>
          <w:p w14:paraId="1193D595"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0</w:t>
            </w:r>
          </w:p>
        </w:tc>
        <w:tc>
          <w:tcPr>
            <w:tcW w:w="3828" w:type="dxa"/>
          </w:tcPr>
          <w:p w14:paraId="6F756AED" w14:textId="77777777" w:rsidR="00F1495C" w:rsidRPr="00CE4171" w:rsidRDefault="00F1495C" w:rsidP="00CE4171">
            <w:pPr>
              <w:pStyle w:val="Sinespaciado"/>
              <w:rPr>
                <w:rFonts w:ascii="Century Gothic" w:eastAsia="Calibri" w:hAnsi="Century Gothic" w:cs="Times New Roman"/>
                <w:sz w:val="20"/>
                <w:szCs w:val="20"/>
              </w:rPr>
            </w:pPr>
          </w:p>
        </w:tc>
        <w:tc>
          <w:tcPr>
            <w:tcW w:w="1275" w:type="dxa"/>
          </w:tcPr>
          <w:p w14:paraId="0693EFFA" w14:textId="77777777" w:rsidR="00F1495C" w:rsidRPr="00CE4171" w:rsidRDefault="00F1495C" w:rsidP="00CE4171">
            <w:pPr>
              <w:pStyle w:val="Sinespaciado"/>
              <w:rPr>
                <w:rFonts w:ascii="Century Gothic" w:eastAsia="Calibri" w:hAnsi="Century Gothic" w:cs="Times New Roman"/>
                <w:sz w:val="20"/>
                <w:szCs w:val="20"/>
              </w:rPr>
            </w:pPr>
          </w:p>
        </w:tc>
      </w:tr>
      <w:tr w:rsidR="00357149" w:rsidRPr="00CE4171" w14:paraId="39A5D625" w14:textId="77777777" w:rsidTr="00CE4171">
        <w:tc>
          <w:tcPr>
            <w:tcW w:w="1129" w:type="dxa"/>
          </w:tcPr>
          <w:p w14:paraId="1F32F4C9"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1</w:t>
            </w:r>
          </w:p>
        </w:tc>
        <w:tc>
          <w:tcPr>
            <w:tcW w:w="1701" w:type="dxa"/>
          </w:tcPr>
          <w:p w14:paraId="00E59093"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0</w:t>
            </w:r>
          </w:p>
        </w:tc>
        <w:tc>
          <w:tcPr>
            <w:tcW w:w="3828" w:type="dxa"/>
          </w:tcPr>
          <w:p w14:paraId="01E80ACF" w14:textId="77777777" w:rsidR="00F1495C" w:rsidRPr="00CE4171" w:rsidRDefault="00F1495C" w:rsidP="00CE4171">
            <w:pPr>
              <w:pStyle w:val="Sinespaciado"/>
              <w:rPr>
                <w:rFonts w:ascii="Century Gothic" w:eastAsia="Calibri" w:hAnsi="Century Gothic" w:cs="Times New Roman"/>
                <w:sz w:val="20"/>
                <w:szCs w:val="20"/>
              </w:rPr>
            </w:pPr>
          </w:p>
        </w:tc>
        <w:tc>
          <w:tcPr>
            <w:tcW w:w="1275" w:type="dxa"/>
          </w:tcPr>
          <w:p w14:paraId="3DF34B8B" w14:textId="77777777" w:rsidR="00F1495C" w:rsidRPr="00CE4171" w:rsidRDefault="00F1495C" w:rsidP="00CE4171">
            <w:pPr>
              <w:pStyle w:val="Sinespaciado"/>
              <w:rPr>
                <w:rFonts w:ascii="Century Gothic" w:eastAsia="Calibri" w:hAnsi="Century Gothic" w:cs="Times New Roman"/>
                <w:sz w:val="20"/>
                <w:szCs w:val="20"/>
              </w:rPr>
            </w:pPr>
          </w:p>
        </w:tc>
      </w:tr>
      <w:tr w:rsidR="00357149" w:rsidRPr="00CE4171" w14:paraId="4584178E" w14:textId="77777777" w:rsidTr="00CE4171">
        <w:tc>
          <w:tcPr>
            <w:tcW w:w="1129" w:type="dxa"/>
          </w:tcPr>
          <w:p w14:paraId="2A150EFA" w14:textId="77777777" w:rsidR="00F1495C" w:rsidRPr="00CE4171" w:rsidRDefault="00F1495C" w:rsidP="00CE4171">
            <w:pPr>
              <w:pStyle w:val="Sinespaciado"/>
              <w:rPr>
                <w:rFonts w:ascii="Century Gothic" w:eastAsia="Calibri" w:hAnsi="Century Gothic" w:cs="Times New Roman"/>
                <w:sz w:val="20"/>
                <w:szCs w:val="20"/>
              </w:rPr>
            </w:pPr>
          </w:p>
        </w:tc>
        <w:tc>
          <w:tcPr>
            <w:tcW w:w="1701" w:type="dxa"/>
          </w:tcPr>
          <w:p w14:paraId="04EC55E1" w14:textId="77777777" w:rsidR="00F1495C" w:rsidRPr="00CE4171" w:rsidRDefault="00F1495C" w:rsidP="00CE4171">
            <w:pPr>
              <w:pStyle w:val="Sinespaciado"/>
              <w:rPr>
                <w:rFonts w:ascii="Century Gothic" w:eastAsia="Calibri" w:hAnsi="Century Gothic" w:cs="Times New Roman"/>
                <w:sz w:val="20"/>
                <w:szCs w:val="20"/>
              </w:rPr>
            </w:pPr>
            <w:r w:rsidRPr="00CE4171">
              <w:rPr>
                <w:rFonts w:ascii="Century Gothic" w:eastAsia="Calibri" w:hAnsi="Century Gothic" w:cs="Times New Roman"/>
                <w:sz w:val="20"/>
                <w:szCs w:val="20"/>
              </w:rPr>
              <w:t>33</w:t>
            </w:r>
          </w:p>
        </w:tc>
        <w:tc>
          <w:tcPr>
            <w:tcW w:w="3828" w:type="dxa"/>
          </w:tcPr>
          <w:p w14:paraId="79A75008" w14:textId="77777777" w:rsidR="00F1495C" w:rsidRPr="00CE4171" w:rsidRDefault="00F1495C" w:rsidP="00CE4171">
            <w:pPr>
              <w:pStyle w:val="Sinespaciado"/>
              <w:rPr>
                <w:rFonts w:ascii="Century Gothic" w:eastAsia="Calibri" w:hAnsi="Century Gothic" w:cs="Times New Roman"/>
                <w:sz w:val="20"/>
                <w:szCs w:val="20"/>
              </w:rPr>
            </w:pPr>
          </w:p>
        </w:tc>
        <w:tc>
          <w:tcPr>
            <w:tcW w:w="1275" w:type="dxa"/>
          </w:tcPr>
          <w:p w14:paraId="22B6450F" w14:textId="77777777" w:rsidR="00F1495C" w:rsidRPr="00CE4171" w:rsidRDefault="00F1495C" w:rsidP="00CE4171">
            <w:pPr>
              <w:pStyle w:val="Sinespaciado"/>
              <w:rPr>
                <w:rFonts w:ascii="Century Gothic" w:eastAsia="Calibri" w:hAnsi="Century Gothic" w:cs="Times New Roman"/>
                <w:sz w:val="20"/>
                <w:szCs w:val="20"/>
              </w:rPr>
            </w:pPr>
          </w:p>
        </w:tc>
      </w:tr>
    </w:tbl>
    <w:p w14:paraId="3B98DA99" w14:textId="77777777" w:rsidR="00766107" w:rsidRPr="00700CE7" w:rsidRDefault="00766107" w:rsidP="00CE4171">
      <w:pPr>
        <w:ind w:left="1134"/>
        <w:jc w:val="both"/>
        <w:rPr>
          <w:rFonts w:ascii="Century Gothic" w:eastAsia="Calibri" w:hAnsi="Century Gothic" w:cs="Times New Roman"/>
          <w:sz w:val="24"/>
          <w:szCs w:val="24"/>
        </w:rPr>
      </w:pPr>
    </w:p>
    <w:p w14:paraId="56F5673B" w14:textId="35E830D5" w:rsidR="004B5732" w:rsidRPr="00700CE7" w:rsidRDefault="008376D6" w:rsidP="00CE4171">
      <w:pPr>
        <w:spacing w:line="360" w:lineRule="auto"/>
        <w:ind w:left="1134"/>
        <w:jc w:val="both"/>
        <w:rPr>
          <w:rFonts w:ascii="Century Gothic" w:eastAsia="Calibri" w:hAnsi="Century Gothic" w:cs="Times New Roman"/>
          <w:sz w:val="24"/>
          <w:szCs w:val="24"/>
        </w:rPr>
      </w:pPr>
      <w:r w:rsidRPr="00700CE7">
        <w:rPr>
          <w:rFonts w:ascii="Century Gothic" w:eastAsia="Calibri" w:hAnsi="Century Gothic" w:cs="Times New Roman"/>
          <w:sz w:val="24"/>
          <w:szCs w:val="24"/>
        </w:rPr>
        <w:t xml:space="preserve">La Constitución del Estado de Chihuahua </w:t>
      </w:r>
      <w:r w:rsidR="00297983" w:rsidRPr="00700CE7">
        <w:rPr>
          <w:rFonts w:ascii="Century Gothic" w:eastAsia="Calibri" w:hAnsi="Century Gothic" w:cs="Times New Roman"/>
          <w:sz w:val="24"/>
          <w:szCs w:val="24"/>
        </w:rPr>
        <w:t xml:space="preserve">establece </w:t>
      </w:r>
      <w:r w:rsidRPr="00700CE7">
        <w:rPr>
          <w:rFonts w:ascii="Century Gothic" w:eastAsia="Calibri" w:hAnsi="Century Gothic" w:cs="Times New Roman"/>
          <w:sz w:val="24"/>
          <w:szCs w:val="24"/>
        </w:rPr>
        <w:t xml:space="preserve">en su </w:t>
      </w:r>
      <w:r w:rsidR="00297983" w:rsidRPr="00700CE7">
        <w:rPr>
          <w:rFonts w:ascii="Century Gothic" w:eastAsia="Calibri" w:hAnsi="Century Gothic" w:cs="Times New Roman"/>
          <w:sz w:val="24"/>
          <w:szCs w:val="24"/>
        </w:rPr>
        <w:t>artículo 4º, que e</w:t>
      </w:r>
      <w:r w:rsidRPr="00700CE7">
        <w:rPr>
          <w:rFonts w:ascii="Century Gothic" w:eastAsia="Calibri" w:hAnsi="Century Gothic" w:cs="Times New Roman"/>
          <w:sz w:val="24"/>
          <w:szCs w:val="24"/>
        </w:rPr>
        <w:t xml:space="preserve">n el Estado de Chihuahua, toda persona gozará de los derechos reconocidos en la Constitución Federal, los Tratados Internacionales en materia de derechos humanos, celebrados por el Estado Mexicano y en esta Constitución. </w:t>
      </w:r>
    </w:p>
    <w:p w14:paraId="217944E3" w14:textId="12E818C8" w:rsidR="008376D6" w:rsidRPr="00700CE7" w:rsidRDefault="00297983" w:rsidP="00CE4171">
      <w:pPr>
        <w:spacing w:line="360" w:lineRule="auto"/>
        <w:ind w:left="1134"/>
        <w:jc w:val="both"/>
        <w:rPr>
          <w:rFonts w:ascii="Century Gothic" w:eastAsia="Calibri" w:hAnsi="Century Gothic" w:cs="Times New Roman"/>
          <w:sz w:val="24"/>
          <w:szCs w:val="24"/>
        </w:rPr>
      </w:pPr>
      <w:r w:rsidRPr="00700CE7">
        <w:rPr>
          <w:rFonts w:ascii="Century Gothic" w:eastAsia="Calibri" w:hAnsi="Century Gothic" w:cs="Times New Roman"/>
          <w:sz w:val="24"/>
          <w:szCs w:val="24"/>
        </w:rPr>
        <w:t>Durante l</w:t>
      </w:r>
      <w:r w:rsidR="008376D6" w:rsidRPr="00700CE7">
        <w:rPr>
          <w:rFonts w:ascii="Century Gothic" w:eastAsia="Calibri" w:hAnsi="Century Gothic" w:cs="Times New Roman"/>
          <w:sz w:val="24"/>
          <w:szCs w:val="24"/>
        </w:rPr>
        <w:t>a IV Conferencia Mundial de la Mujer celebrada desde 1995, a fin de ver el esfuerzo de las mujeres en</w:t>
      </w:r>
      <w:r w:rsidRPr="00700CE7">
        <w:rPr>
          <w:rFonts w:ascii="Century Gothic" w:eastAsia="Calibri" w:hAnsi="Century Gothic" w:cs="Times New Roman"/>
          <w:sz w:val="24"/>
          <w:szCs w:val="24"/>
        </w:rPr>
        <w:t xml:space="preserve"> la</w:t>
      </w:r>
      <w:r w:rsidR="008376D6" w:rsidRPr="00700CE7">
        <w:rPr>
          <w:rFonts w:ascii="Century Gothic" w:eastAsia="Calibri" w:hAnsi="Century Gothic" w:cs="Times New Roman"/>
          <w:sz w:val="24"/>
          <w:szCs w:val="24"/>
        </w:rPr>
        <w:t xml:space="preserve"> lucha por sus derechos, </w:t>
      </w:r>
      <w:r w:rsidR="00B528AC" w:rsidRPr="00700CE7">
        <w:rPr>
          <w:rFonts w:ascii="Century Gothic" w:eastAsia="Calibri" w:hAnsi="Century Gothic" w:cs="Times New Roman"/>
          <w:sz w:val="24"/>
          <w:szCs w:val="24"/>
        </w:rPr>
        <w:t xml:space="preserve">se </w:t>
      </w:r>
      <w:r w:rsidR="008376D6" w:rsidRPr="00700CE7">
        <w:rPr>
          <w:rFonts w:ascii="Century Gothic" w:eastAsia="Calibri" w:hAnsi="Century Gothic" w:cs="Times New Roman"/>
          <w:sz w:val="24"/>
          <w:szCs w:val="24"/>
        </w:rPr>
        <w:t xml:space="preserve"> </w:t>
      </w:r>
      <w:r w:rsidR="00B528AC" w:rsidRPr="00700CE7">
        <w:rPr>
          <w:rFonts w:ascii="Century Gothic" w:eastAsia="Calibri" w:hAnsi="Century Gothic" w:cs="Times New Roman"/>
          <w:sz w:val="24"/>
          <w:szCs w:val="24"/>
        </w:rPr>
        <w:t xml:space="preserve">determinó como </w:t>
      </w:r>
      <w:r w:rsidR="008376D6" w:rsidRPr="00700CE7">
        <w:rPr>
          <w:rFonts w:ascii="Century Gothic" w:eastAsia="Calibri" w:hAnsi="Century Gothic" w:cs="Times New Roman"/>
          <w:sz w:val="24"/>
          <w:szCs w:val="24"/>
        </w:rPr>
        <w:t>recomendación fundamental el derecho a la salud materna</w:t>
      </w:r>
      <w:r w:rsidR="00B528AC" w:rsidRPr="00700CE7">
        <w:rPr>
          <w:rFonts w:ascii="Century Gothic" w:eastAsia="Calibri" w:hAnsi="Century Gothic" w:cs="Times New Roman"/>
          <w:sz w:val="24"/>
          <w:szCs w:val="24"/>
        </w:rPr>
        <w:t>, declarando</w:t>
      </w:r>
      <w:r w:rsidR="00065913" w:rsidRPr="00700CE7">
        <w:rPr>
          <w:rFonts w:ascii="Century Gothic" w:eastAsia="Calibri" w:hAnsi="Century Gothic" w:cs="Times New Roman"/>
          <w:sz w:val="24"/>
          <w:szCs w:val="24"/>
        </w:rPr>
        <w:t>:</w:t>
      </w:r>
    </w:p>
    <w:p w14:paraId="4113D06D" w14:textId="729B7B87" w:rsidR="00523F21" w:rsidRPr="00700CE7" w:rsidRDefault="00065913" w:rsidP="00CE4171">
      <w:pPr>
        <w:spacing w:line="360" w:lineRule="auto"/>
        <w:ind w:left="1134"/>
        <w:jc w:val="both"/>
        <w:rPr>
          <w:rFonts w:ascii="Century Gothic" w:eastAsia="Calibri" w:hAnsi="Century Gothic" w:cs="Times New Roman"/>
          <w:sz w:val="24"/>
          <w:szCs w:val="24"/>
        </w:rPr>
      </w:pPr>
      <w:r w:rsidRPr="00700CE7">
        <w:rPr>
          <w:rFonts w:ascii="Century Gothic" w:eastAsia="Calibri" w:hAnsi="Century Gothic" w:cs="Times New Roman"/>
          <w:sz w:val="24"/>
          <w:szCs w:val="24"/>
        </w:rPr>
        <w:t>“… la salud de la mujer está expuesta a riesgos particulares debidos a la inadecuación y a la falta de servicios para atender las necesidades relativas a la salud sexual y reproductiva. En muchas partes del mundo en desarrollo, las complicaciones relacionadas con el embarazo y el parto se cuentan entre las principales causas de mortalidad y morbilidad de las mujeres en edad reproductiva</w:t>
      </w:r>
      <w:r w:rsidR="004B5732" w:rsidRPr="00700CE7">
        <w:rPr>
          <w:rFonts w:ascii="Century Gothic" w:eastAsia="Calibri" w:hAnsi="Century Gothic" w:cs="Times New Roman"/>
          <w:sz w:val="24"/>
          <w:szCs w:val="24"/>
        </w:rPr>
        <w:t>”</w:t>
      </w:r>
      <w:r w:rsidRPr="00700CE7">
        <w:rPr>
          <w:rFonts w:ascii="Century Gothic" w:eastAsia="Calibri" w:hAnsi="Century Gothic" w:cs="Times New Roman"/>
          <w:sz w:val="24"/>
          <w:szCs w:val="24"/>
        </w:rPr>
        <w:t>.</w:t>
      </w:r>
    </w:p>
    <w:p w14:paraId="5FBE083F" w14:textId="30FDDF62" w:rsidR="001D5417" w:rsidRPr="00700CE7" w:rsidRDefault="00523F21" w:rsidP="00CE4171">
      <w:pPr>
        <w:spacing w:line="360" w:lineRule="auto"/>
        <w:ind w:left="1134"/>
        <w:jc w:val="both"/>
        <w:rPr>
          <w:rFonts w:ascii="Century Gothic" w:eastAsia="Calibri" w:hAnsi="Century Gothic" w:cs="Times New Roman"/>
          <w:sz w:val="24"/>
          <w:szCs w:val="24"/>
        </w:rPr>
      </w:pPr>
      <w:r w:rsidRPr="00700CE7">
        <w:rPr>
          <w:rFonts w:ascii="Century Gothic" w:eastAsia="Calibri" w:hAnsi="Century Gothic" w:cs="Times New Roman"/>
          <w:sz w:val="24"/>
          <w:szCs w:val="24"/>
        </w:rPr>
        <w:lastRenderedPageBreak/>
        <w:t>“</w:t>
      </w:r>
      <w:r w:rsidR="00065913" w:rsidRPr="00700CE7">
        <w:rPr>
          <w:rFonts w:ascii="Century Gothic" w:eastAsia="Calibri" w:hAnsi="Century Gothic" w:cs="Times New Roman"/>
          <w:sz w:val="24"/>
          <w:szCs w:val="24"/>
        </w:rPr>
        <w:t>La mayoría de</w:t>
      </w:r>
      <w:r w:rsidRPr="00700CE7">
        <w:rPr>
          <w:rFonts w:ascii="Century Gothic" w:eastAsia="Calibri" w:hAnsi="Century Gothic" w:cs="Times New Roman"/>
          <w:sz w:val="24"/>
          <w:szCs w:val="24"/>
        </w:rPr>
        <w:t xml:space="preserve"> </w:t>
      </w:r>
      <w:r w:rsidR="00065913" w:rsidRPr="00700CE7">
        <w:rPr>
          <w:rFonts w:ascii="Century Gothic" w:eastAsia="Calibri" w:hAnsi="Century Gothic" w:cs="Times New Roman"/>
          <w:sz w:val="24"/>
          <w:szCs w:val="24"/>
        </w:rPr>
        <w:t>las muertes, problemas de salud</w:t>
      </w:r>
      <w:r w:rsidRPr="00700CE7">
        <w:rPr>
          <w:rFonts w:ascii="Century Gothic" w:eastAsia="Calibri" w:hAnsi="Century Gothic" w:cs="Times New Roman"/>
          <w:sz w:val="24"/>
          <w:szCs w:val="24"/>
        </w:rPr>
        <w:t xml:space="preserve"> </w:t>
      </w:r>
      <w:r w:rsidR="00065913" w:rsidRPr="00700CE7">
        <w:rPr>
          <w:rFonts w:ascii="Century Gothic" w:eastAsia="Calibri" w:hAnsi="Century Gothic" w:cs="Times New Roman"/>
          <w:sz w:val="24"/>
          <w:szCs w:val="24"/>
        </w:rPr>
        <w:t>y lesiones se pueden evitar, mejorando</w:t>
      </w:r>
      <w:r w:rsidRPr="00700CE7">
        <w:rPr>
          <w:rFonts w:ascii="Century Gothic" w:eastAsia="Calibri" w:hAnsi="Century Gothic" w:cs="Times New Roman"/>
          <w:sz w:val="24"/>
          <w:szCs w:val="24"/>
        </w:rPr>
        <w:t xml:space="preserve"> </w:t>
      </w:r>
      <w:r w:rsidR="00065913" w:rsidRPr="00700CE7">
        <w:rPr>
          <w:rFonts w:ascii="Century Gothic" w:eastAsia="Calibri" w:hAnsi="Century Gothic" w:cs="Times New Roman"/>
          <w:sz w:val="24"/>
          <w:szCs w:val="24"/>
        </w:rPr>
        <w:t xml:space="preserve">el </w:t>
      </w:r>
      <w:r w:rsidR="00065913" w:rsidRPr="00700CE7">
        <w:rPr>
          <w:rFonts w:ascii="Century Gothic" w:eastAsia="Calibri" w:hAnsi="Century Gothic" w:cs="Times New Roman"/>
          <w:bCs/>
          <w:sz w:val="24"/>
          <w:szCs w:val="24"/>
        </w:rPr>
        <w:t>acceso a servicios adecuados</w:t>
      </w:r>
      <w:r w:rsidRPr="00700CE7">
        <w:rPr>
          <w:rFonts w:ascii="Century Gothic" w:eastAsia="Calibri" w:hAnsi="Century Gothic" w:cs="Times New Roman"/>
          <w:bCs/>
          <w:sz w:val="24"/>
          <w:szCs w:val="24"/>
        </w:rPr>
        <w:t xml:space="preserve"> </w:t>
      </w:r>
      <w:r w:rsidR="00065913" w:rsidRPr="00700CE7">
        <w:rPr>
          <w:rFonts w:ascii="Century Gothic" w:eastAsia="Calibri" w:hAnsi="Century Gothic" w:cs="Times New Roman"/>
          <w:bCs/>
          <w:sz w:val="24"/>
          <w:szCs w:val="24"/>
        </w:rPr>
        <w:t>de atención de la salud</w:t>
      </w:r>
      <w:r w:rsidR="00065913" w:rsidRPr="00700CE7">
        <w:rPr>
          <w:rFonts w:ascii="Century Gothic" w:eastAsia="Calibri" w:hAnsi="Century Gothic" w:cs="Times New Roman"/>
          <w:sz w:val="24"/>
          <w:szCs w:val="24"/>
        </w:rPr>
        <w:t>,</w:t>
      </w:r>
      <w:r w:rsidRPr="00700CE7">
        <w:rPr>
          <w:rFonts w:ascii="Century Gothic" w:eastAsia="Calibri" w:hAnsi="Century Gothic" w:cs="Times New Roman"/>
          <w:sz w:val="24"/>
          <w:szCs w:val="24"/>
        </w:rPr>
        <w:t xml:space="preserve"> </w:t>
      </w:r>
      <w:r w:rsidR="00065913" w:rsidRPr="00700CE7">
        <w:rPr>
          <w:rFonts w:ascii="Century Gothic" w:eastAsia="Calibri" w:hAnsi="Century Gothic" w:cs="Times New Roman"/>
          <w:sz w:val="24"/>
          <w:szCs w:val="24"/>
        </w:rPr>
        <w:t>incluidos los métodos de planificación</w:t>
      </w:r>
      <w:r w:rsidRPr="00700CE7">
        <w:rPr>
          <w:rFonts w:ascii="Century Gothic" w:eastAsia="Calibri" w:hAnsi="Century Gothic" w:cs="Times New Roman"/>
          <w:sz w:val="24"/>
          <w:szCs w:val="24"/>
        </w:rPr>
        <w:t xml:space="preserve"> </w:t>
      </w:r>
      <w:r w:rsidR="00065913" w:rsidRPr="00700CE7">
        <w:rPr>
          <w:rFonts w:ascii="Century Gothic" w:eastAsia="Calibri" w:hAnsi="Century Gothic" w:cs="Times New Roman"/>
          <w:sz w:val="24"/>
          <w:szCs w:val="24"/>
        </w:rPr>
        <w:t>de la familia eficaces y sin</w:t>
      </w:r>
      <w:r w:rsidRPr="00700CE7">
        <w:rPr>
          <w:rFonts w:ascii="Century Gothic" w:eastAsia="Calibri" w:hAnsi="Century Gothic" w:cs="Times New Roman"/>
          <w:sz w:val="24"/>
          <w:szCs w:val="24"/>
        </w:rPr>
        <w:t xml:space="preserve"> </w:t>
      </w:r>
      <w:r w:rsidR="00065913" w:rsidRPr="00700CE7">
        <w:rPr>
          <w:rFonts w:ascii="Century Gothic" w:eastAsia="Calibri" w:hAnsi="Century Gothic" w:cs="Times New Roman"/>
          <w:sz w:val="24"/>
          <w:szCs w:val="24"/>
        </w:rPr>
        <w:t>riesgos y la atención obstétrica de</w:t>
      </w:r>
      <w:r w:rsidRPr="00700CE7">
        <w:rPr>
          <w:rFonts w:ascii="Century Gothic" w:eastAsia="Calibri" w:hAnsi="Century Gothic" w:cs="Times New Roman"/>
          <w:sz w:val="24"/>
          <w:szCs w:val="24"/>
        </w:rPr>
        <w:t xml:space="preserve"> </w:t>
      </w:r>
      <w:r w:rsidR="00065913" w:rsidRPr="00700CE7">
        <w:rPr>
          <w:rFonts w:ascii="Century Gothic" w:eastAsia="Calibri" w:hAnsi="Century Gothic" w:cs="Times New Roman"/>
          <w:sz w:val="24"/>
          <w:szCs w:val="24"/>
        </w:rPr>
        <w:t>emergencia,</w:t>
      </w:r>
      <w:r w:rsidR="001D5417" w:rsidRPr="00700CE7">
        <w:rPr>
          <w:rFonts w:ascii="Century Gothic" w:eastAsia="Calibri" w:hAnsi="Century Gothic" w:cs="Times New Roman"/>
          <w:sz w:val="24"/>
          <w:szCs w:val="24"/>
        </w:rPr>
        <w:t>…</w:t>
      </w:r>
      <w:r w:rsidR="00065913" w:rsidRPr="00700CE7">
        <w:rPr>
          <w:rFonts w:ascii="Century Gothic" w:eastAsia="Calibri" w:hAnsi="Century Gothic" w:cs="Times New Roman"/>
          <w:sz w:val="24"/>
          <w:szCs w:val="24"/>
        </w:rPr>
        <w:t xml:space="preserve"> reconociendo el derecho</w:t>
      </w:r>
      <w:r w:rsidRPr="00700CE7">
        <w:rPr>
          <w:rFonts w:ascii="Century Gothic" w:eastAsia="Calibri" w:hAnsi="Century Gothic" w:cs="Times New Roman"/>
          <w:sz w:val="24"/>
          <w:szCs w:val="24"/>
        </w:rPr>
        <w:t xml:space="preserve"> </w:t>
      </w:r>
      <w:r w:rsidR="00065913" w:rsidRPr="00700CE7">
        <w:rPr>
          <w:rFonts w:ascii="Century Gothic" w:eastAsia="Calibri" w:hAnsi="Century Gothic" w:cs="Times New Roman"/>
          <w:sz w:val="24"/>
          <w:szCs w:val="24"/>
        </w:rPr>
        <w:t>a</w:t>
      </w:r>
      <w:r w:rsidRPr="00700CE7">
        <w:rPr>
          <w:rFonts w:ascii="Century Gothic" w:hAnsi="Century Gothic"/>
          <w:sz w:val="24"/>
          <w:szCs w:val="24"/>
        </w:rPr>
        <w:t xml:space="preserve"> </w:t>
      </w:r>
      <w:r w:rsidRPr="00700CE7">
        <w:rPr>
          <w:rFonts w:ascii="Century Gothic" w:eastAsia="Calibri" w:hAnsi="Century Gothic" w:cs="Times New Roman"/>
          <w:sz w:val="24"/>
          <w:szCs w:val="24"/>
        </w:rPr>
        <w:t>la información y al acceso a servicios adecuados de atención de la salud que permitan que el embarazo y el parto transcurran en condiciones de seguridad</w:t>
      </w:r>
      <w:r w:rsidR="001D5417" w:rsidRPr="00700CE7">
        <w:rPr>
          <w:rFonts w:ascii="Century Gothic" w:eastAsia="Calibri" w:hAnsi="Century Gothic" w:cs="Times New Roman"/>
          <w:sz w:val="24"/>
          <w:szCs w:val="24"/>
        </w:rPr>
        <w:t>”</w:t>
      </w:r>
      <w:r w:rsidRPr="00700CE7">
        <w:rPr>
          <w:rFonts w:ascii="Century Gothic" w:eastAsia="Calibri" w:hAnsi="Century Gothic" w:cs="Times New Roman"/>
          <w:sz w:val="24"/>
          <w:szCs w:val="24"/>
        </w:rPr>
        <w:t>.</w:t>
      </w:r>
      <w:r w:rsidR="001D5417" w:rsidRPr="00700CE7">
        <w:rPr>
          <w:rFonts w:ascii="Century Gothic" w:eastAsia="Calibri" w:hAnsi="Century Gothic" w:cs="Times New Roman"/>
          <w:sz w:val="24"/>
          <w:szCs w:val="24"/>
        </w:rPr>
        <w:t xml:space="preserve">  Párrafo 97 de la P</w:t>
      </w:r>
      <w:r w:rsidR="00065913" w:rsidRPr="00700CE7">
        <w:rPr>
          <w:rFonts w:ascii="Century Gothic" w:eastAsia="Calibri" w:hAnsi="Century Gothic" w:cs="Times New Roman"/>
          <w:sz w:val="24"/>
          <w:szCs w:val="24"/>
        </w:rPr>
        <w:t>lataforma</w:t>
      </w:r>
      <w:r w:rsidR="001D5417" w:rsidRPr="00700CE7">
        <w:rPr>
          <w:rFonts w:ascii="Century Gothic" w:eastAsia="Calibri" w:hAnsi="Century Gothic" w:cs="Times New Roman"/>
          <w:sz w:val="24"/>
          <w:szCs w:val="24"/>
        </w:rPr>
        <w:t xml:space="preserve"> de Acción de Beijing.</w:t>
      </w:r>
    </w:p>
    <w:p w14:paraId="3F91ADAE" w14:textId="66B70A88" w:rsidR="00B367D7" w:rsidRPr="00700CE7" w:rsidRDefault="001D5417" w:rsidP="00CE4171">
      <w:pPr>
        <w:spacing w:line="360" w:lineRule="auto"/>
        <w:ind w:left="1134"/>
        <w:jc w:val="both"/>
        <w:rPr>
          <w:rFonts w:ascii="Century Gothic" w:eastAsia="Calibri" w:hAnsi="Century Gothic" w:cs="Times New Roman"/>
          <w:sz w:val="24"/>
          <w:szCs w:val="24"/>
        </w:rPr>
      </w:pPr>
      <w:r w:rsidRPr="00700CE7">
        <w:rPr>
          <w:rFonts w:ascii="Century Gothic" w:eastAsia="Calibri" w:hAnsi="Century Gothic" w:cs="Times New Roman"/>
          <w:sz w:val="24"/>
          <w:szCs w:val="24"/>
        </w:rPr>
        <w:t xml:space="preserve">A </w:t>
      </w:r>
      <w:r w:rsidR="004B5732" w:rsidRPr="00700CE7">
        <w:rPr>
          <w:rFonts w:ascii="Century Gothic" w:eastAsia="Calibri" w:hAnsi="Century Gothic" w:cs="Times New Roman"/>
          <w:sz w:val="24"/>
          <w:szCs w:val="24"/>
        </w:rPr>
        <w:t>más</w:t>
      </w:r>
      <w:r w:rsidRPr="00700CE7">
        <w:rPr>
          <w:rFonts w:ascii="Century Gothic" w:eastAsia="Calibri" w:hAnsi="Century Gothic" w:cs="Times New Roman"/>
          <w:sz w:val="24"/>
          <w:szCs w:val="24"/>
        </w:rPr>
        <w:t xml:space="preserve"> de 25 años de este acuerdo, se debe</w:t>
      </w:r>
      <w:r w:rsidR="004B5732" w:rsidRPr="00700CE7">
        <w:rPr>
          <w:rFonts w:ascii="Century Gothic" w:eastAsia="Calibri" w:hAnsi="Century Gothic" w:cs="Times New Roman"/>
          <w:sz w:val="24"/>
          <w:szCs w:val="24"/>
        </w:rPr>
        <w:t>n</w:t>
      </w:r>
      <w:r w:rsidRPr="00700CE7">
        <w:rPr>
          <w:rFonts w:ascii="Century Gothic" w:eastAsia="Calibri" w:hAnsi="Century Gothic" w:cs="Times New Roman"/>
          <w:sz w:val="24"/>
          <w:szCs w:val="24"/>
        </w:rPr>
        <w:t xml:space="preserve"> redoblar esfuerzos en todos los Estados</w:t>
      </w:r>
      <w:bookmarkStart w:id="1" w:name="_Hlk103068705"/>
      <w:r w:rsidR="00EE14C1" w:rsidRPr="00700CE7">
        <w:rPr>
          <w:rFonts w:ascii="Century Gothic" w:eastAsia="Calibri" w:hAnsi="Century Gothic" w:cs="Times New Roman"/>
          <w:sz w:val="24"/>
          <w:szCs w:val="24"/>
        </w:rPr>
        <w:t>, en particular</w:t>
      </w:r>
      <w:r w:rsidR="001016B6" w:rsidRPr="00700CE7">
        <w:rPr>
          <w:rFonts w:ascii="Century Gothic" w:eastAsia="Calibri" w:hAnsi="Century Gothic" w:cs="Times New Roman"/>
          <w:sz w:val="24"/>
          <w:szCs w:val="24"/>
        </w:rPr>
        <w:t xml:space="preserve"> en</w:t>
      </w:r>
      <w:r w:rsidR="00EE14C1" w:rsidRPr="00700CE7">
        <w:rPr>
          <w:rFonts w:ascii="Century Gothic" w:eastAsia="Calibri" w:hAnsi="Century Gothic" w:cs="Times New Roman"/>
          <w:sz w:val="24"/>
          <w:szCs w:val="24"/>
        </w:rPr>
        <w:t xml:space="preserve"> la</w:t>
      </w:r>
      <w:r w:rsidRPr="00700CE7">
        <w:rPr>
          <w:rFonts w:ascii="Century Gothic" w:eastAsia="Calibri" w:hAnsi="Century Gothic" w:cs="Times New Roman"/>
          <w:sz w:val="24"/>
          <w:szCs w:val="24"/>
        </w:rPr>
        <w:t xml:space="preserve"> </w:t>
      </w:r>
      <w:r w:rsidR="00EE14C1" w:rsidRPr="00700CE7">
        <w:rPr>
          <w:rFonts w:ascii="Century Gothic" w:eastAsia="Calibri" w:hAnsi="Century Gothic" w:cs="Times New Roman"/>
          <w:sz w:val="24"/>
          <w:szCs w:val="24"/>
        </w:rPr>
        <w:t>atención primaria de salud, con el fin de dar acceso universal a</w:t>
      </w:r>
      <w:r w:rsidR="001016B6" w:rsidRPr="00700CE7">
        <w:rPr>
          <w:rFonts w:ascii="Century Gothic" w:eastAsia="Calibri" w:hAnsi="Century Gothic" w:cs="Times New Roman"/>
          <w:sz w:val="24"/>
          <w:szCs w:val="24"/>
        </w:rPr>
        <w:t xml:space="preserve"> </w:t>
      </w:r>
      <w:r w:rsidR="00EE14C1" w:rsidRPr="00700CE7">
        <w:rPr>
          <w:rFonts w:ascii="Century Gothic" w:eastAsia="Calibri" w:hAnsi="Century Gothic" w:cs="Times New Roman"/>
          <w:sz w:val="24"/>
          <w:szCs w:val="24"/>
        </w:rPr>
        <w:t>servicios de calidad par</w:t>
      </w:r>
      <w:r w:rsidRPr="00700CE7">
        <w:rPr>
          <w:rFonts w:ascii="Century Gothic" w:eastAsia="Calibri" w:hAnsi="Century Gothic" w:cs="Times New Roman"/>
          <w:sz w:val="24"/>
          <w:szCs w:val="24"/>
        </w:rPr>
        <w:t xml:space="preserve">a las </w:t>
      </w:r>
      <w:r w:rsidR="00EE14C1" w:rsidRPr="00700CE7">
        <w:rPr>
          <w:rFonts w:ascii="Century Gothic" w:eastAsia="Calibri" w:hAnsi="Century Gothic" w:cs="Times New Roman"/>
          <w:sz w:val="24"/>
          <w:szCs w:val="24"/>
        </w:rPr>
        <w:t xml:space="preserve">mujeres </w:t>
      </w:r>
      <w:r w:rsidRPr="00700CE7">
        <w:rPr>
          <w:rFonts w:ascii="Century Gothic" w:eastAsia="Calibri" w:hAnsi="Century Gothic" w:cs="Times New Roman"/>
          <w:sz w:val="24"/>
          <w:szCs w:val="24"/>
        </w:rPr>
        <w:t>embarazadas y</w:t>
      </w:r>
      <w:r w:rsidR="00EE14C1" w:rsidRPr="00700CE7">
        <w:rPr>
          <w:rFonts w:ascii="Century Gothic" w:eastAsia="Calibri" w:hAnsi="Century Gothic" w:cs="Times New Roman"/>
          <w:sz w:val="24"/>
          <w:szCs w:val="24"/>
        </w:rPr>
        <w:t xml:space="preserve"> reducir las</w:t>
      </w:r>
      <w:r w:rsidRPr="00700CE7">
        <w:rPr>
          <w:rFonts w:ascii="Century Gothic" w:eastAsia="Calibri" w:hAnsi="Century Gothic" w:cs="Times New Roman"/>
          <w:sz w:val="24"/>
          <w:szCs w:val="24"/>
        </w:rPr>
        <w:t xml:space="preserve"> </w:t>
      </w:r>
      <w:r w:rsidR="00EE14C1" w:rsidRPr="00700CE7">
        <w:rPr>
          <w:rFonts w:ascii="Century Gothic" w:eastAsia="Calibri" w:hAnsi="Century Gothic" w:cs="Times New Roman"/>
          <w:sz w:val="24"/>
          <w:szCs w:val="24"/>
        </w:rPr>
        <w:t xml:space="preserve">enfermedades y la morbilidad derivada de la maternidad </w:t>
      </w:r>
      <w:r w:rsidR="001016B6" w:rsidRPr="00700CE7">
        <w:rPr>
          <w:rFonts w:ascii="Century Gothic" w:eastAsia="Calibri" w:hAnsi="Century Gothic" w:cs="Times New Roman"/>
          <w:sz w:val="24"/>
          <w:szCs w:val="24"/>
        </w:rPr>
        <w:t xml:space="preserve">con la finalidad de </w:t>
      </w:r>
      <w:r w:rsidR="00EE14C1" w:rsidRPr="00700CE7">
        <w:rPr>
          <w:rFonts w:ascii="Century Gothic" w:eastAsia="Calibri" w:hAnsi="Century Gothic" w:cs="Times New Roman"/>
          <w:sz w:val="24"/>
          <w:szCs w:val="24"/>
        </w:rPr>
        <w:t>reducir la mortalidad derivada</w:t>
      </w:r>
      <w:r w:rsidRPr="00700CE7">
        <w:rPr>
          <w:rFonts w:ascii="Century Gothic" w:eastAsia="Calibri" w:hAnsi="Century Gothic" w:cs="Times New Roman"/>
          <w:sz w:val="24"/>
          <w:szCs w:val="24"/>
        </w:rPr>
        <w:t xml:space="preserve"> </w:t>
      </w:r>
      <w:r w:rsidR="00EE14C1" w:rsidRPr="00700CE7">
        <w:rPr>
          <w:rFonts w:ascii="Century Gothic" w:eastAsia="Calibri" w:hAnsi="Century Gothic" w:cs="Times New Roman"/>
          <w:sz w:val="24"/>
          <w:szCs w:val="24"/>
        </w:rPr>
        <w:t>de la maternidad</w:t>
      </w:r>
      <w:r w:rsidRPr="00700CE7">
        <w:rPr>
          <w:rFonts w:ascii="Century Gothic" w:eastAsia="Calibri" w:hAnsi="Century Gothic" w:cs="Times New Roman"/>
          <w:sz w:val="24"/>
          <w:szCs w:val="24"/>
        </w:rPr>
        <w:t xml:space="preserve">. </w:t>
      </w:r>
    </w:p>
    <w:p w14:paraId="31A99C20" w14:textId="10A7A141" w:rsidR="00B06FBD" w:rsidRPr="00700CE7" w:rsidRDefault="001D5417" w:rsidP="00CE4171">
      <w:pPr>
        <w:spacing w:line="360" w:lineRule="auto"/>
        <w:ind w:left="1134"/>
        <w:jc w:val="both"/>
        <w:rPr>
          <w:rFonts w:ascii="Century Gothic" w:eastAsia="Calibri" w:hAnsi="Century Gothic" w:cs="Times New Roman"/>
          <w:sz w:val="24"/>
          <w:szCs w:val="24"/>
        </w:rPr>
      </w:pPr>
      <w:r w:rsidRPr="00700CE7">
        <w:rPr>
          <w:rFonts w:ascii="Century Gothic" w:eastAsia="Calibri" w:hAnsi="Century Gothic" w:cs="Times New Roman"/>
          <w:sz w:val="24"/>
          <w:szCs w:val="24"/>
        </w:rPr>
        <w:t>Por parte de la Agenda 2030</w:t>
      </w:r>
      <w:r w:rsidR="009E418E" w:rsidRPr="00700CE7">
        <w:rPr>
          <w:rFonts w:ascii="Century Gothic" w:eastAsia="Calibri" w:hAnsi="Century Gothic" w:cs="Times New Roman"/>
          <w:sz w:val="24"/>
          <w:szCs w:val="24"/>
        </w:rPr>
        <w:t xml:space="preserve">, </w:t>
      </w:r>
      <w:r w:rsidR="001016B6" w:rsidRPr="00700CE7">
        <w:rPr>
          <w:rFonts w:ascii="Century Gothic" w:eastAsia="Calibri" w:hAnsi="Century Gothic" w:cs="Times New Roman"/>
          <w:sz w:val="24"/>
          <w:szCs w:val="24"/>
        </w:rPr>
        <w:t>el tercero de l</w:t>
      </w:r>
      <w:r w:rsidR="004B5732" w:rsidRPr="00700CE7">
        <w:rPr>
          <w:rFonts w:ascii="Century Gothic" w:eastAsia="Calibri" w:hAnsi="Century Gothic" w:cs="Times New Roman"/>
          <w:sz w:val="24"/>
          <w:szCs w:val="24"/>
        </w:rPr>
        <w:t xml:space="preserve">os </w:t>
      </w:r>
      <w:r w:rsidR="006B54A9" w:rsidRPr="00700CE7">
        <w:rPr>
          <w:rFonts w:ascii="Century Gothic" w:eastAsia="Calibri" w:hAnsi="Century Gothic" w:cs="Times New Roman"/>
          <w:sz w:val="24"/>
          <w:szCs w:val="24"/>
        </w:rPr>
        <w:t>Objetivo</w:t>
      </w:r>
      <w:r w:rsidR="004B5732" w:rsidRPr="00700CE7">
        <w:rPr>
          <w:rFonts w:ascii="Century Gothic" w:eastAsia="Calibri" w:hAnsi="Century Gothic" w:cs="Times New Roman"/>
          <w:sz w:val="24"/>
          <w:szCs w:val="24"/>
        </w:rPr>
        <w:t>s de Desarrollo Sostenible</w:t>
      </w:r>
      <w:r w:rsidR="001016B6" w:rsidRPr="00700CE7">
        <w:rPr>
          <w:rFonts w:ascii="Century Gothic" w:eastAsia="Calibri" w:hAnsi="Century Gothic" w:cs="Times New Roman"/>
          <w:sz w:val="24"/>
          <w:szCs w:val="24"/>
        </w:rPr>
        <w:t xml:space="preserve"> </w:t>
      </w:r>
      <w:r w:rsidR="004B5732" w:rsidRPr="00700CE7">
        <w:rPr>
          <w:rFonts w:ascii="Century Gothic" w:eastAsia="Calibri" w:hAnsi="Century Gothic" w:cs="Times New Roman"/>
          <w:sz w:val="24"/>
          <w:szCs w:val="24"/>
        </w:rPr>
        <w:t>refiere a la</w:t>
      </w:r>
      <w:r w:rsidR="006B54A9" w:rsidRPr="00700CE7">
        <w:rPr>
          <w:rFonts w:ascii="Century Gothic" w:eastAsia="Calibri" w:hAnsi="Century Gothic" w:cs="Times New Roman"/>
          <w:sz w:val="24"/>
          <w:szCs w:val="24"/>
        </w:rPr>
        <w:t xml:space="preserve"> salud,</w:t>
      </w:r>
      <w:r w:rsidR="001016B6" w:rsidRPr="00700CE7">
        <w:rPr>
          <w:rFonts w:ascii="Century Gothic" w:eastAsia="Calibri" w:hAnsi="Century Gothic" w:cs="Times New Roman"/>
          <w:sz w:val="24"/>
          <w:szCs w:val="24"/>
        </w:rPr>
        <w:t xml:space="preserve"> y</w:t>
      </w:r>
      <w:r w:rsidR="006B54A9" w:rsidRPr="00700CE7">
        <w:rPr>
          <w:rFonts w:ascii="Century Gothic" w:eastAsia="Calibri" w:hAnsi="Century Gothic" w:cs="Times New Roman"/>
          <w:sz w:val="24"/>
          <w:szCs w:val="24"/>
        </w:rPr>
        <w:t xml:space="preserve"> declara la necesidad de garantizar una vida sana y promover </w:t>
      </w:r>
      <w:r w:rsidR="00B06FBD" w:rsidRPr="00700CE7">
        <w:rPr>
          <w:rFonts w:ascii="Century Gothic" w:eastAsia="Calibri" w:hAnsi="Century Gothic" w:cs="Times New Roman"/>
          <w:sz w:val="24"/>
          <w:szCs w:val="24"/>
        </w:rPr>
        <w:t xml:space="preserve">el bienestar de todas las personas a todas las edades.  </w:t>
      </w:r>
      <w:r w:rsidR="001016B6" w:rsidRPr="00700CE7">
        <w:rPr>
          <w:rFonts w:ascii="Century Gothic" w:eastAsia="Calibri" w:hAnsi="Century Gothic" w:cs="Times New Roman"/>
          <w:sz w:val="24"/>
          <w:szCs w:val="24"/>
        </w:rPr>
        <w:t>Determinando como primer meta</w:t>
      </w:r>
      <w:r w:rsidR="00B06FBD" w:rsidRPr="00700CE7">
        <w:rPr>
          <w:rFonts w:ascii="Century Gothic" w:eastAsia="Calibri" w:hAnsi="Century Gothic" w:cs="Times New Roman"/>
          <w:sz w:val="24"/>
          <w:szCs w:val="24"/>
        </w:rPr>
        <w:t>:</w:t>
      </w:r>
      <w:r w:rsidR="001016B6" w:rsidRPr="00700CE7">
        <w:rPr>
          <w:rFonts w:ascii="Century Gothic" w:eastAsia="Calibri" w:hAnsi="Century Gothic" w:cs="Times New Roman"/>
          <w:sz w:val="24"/>
          <w:szCs w:val="24"/>
        </w:rPr>
        <w:t xml:space="preserve"> r</w:t>
      </w:r>
      <w:r w:rsidR="00B06FBD" w:rsidRPr="00700CE7">
        <w:rPr>
          <w:rFonts w:ascii="Century Gothic" w:eastAsia="Calibri" w:hAnsi="Century Gothic" w:cs="Times New Roman"/>
          <w:sz w:val="24"/>
          <w:szCs w:val="24"/>
        </w:rPr>
        <w:t>educir la tasa mundial de mortalidad materna a menos de 70 por cada 100,000 nacidos vivos.</w:t>
      </w:r>
    </w:p>
    <w:p w14:paraId="4BAFCAF5" w14:textId="09E1E39A" w:rsidR="00B06FBD" w:rsidRPr="00700CE7" w:rsidRDefault="00B06FBD" w:rsidP="00CE4171">
      <w:pPr>
        <w:spacing w:line="360" w:lineRule="auto"/>
        <w:ind w:left="1134"/>
        <w:jc w:val="both"/>
        <w:rPr>
          <w:rFonts w:ascii="Century Gothic" w:eastAsia="Calibri" w:hAnsi="Century Gothic" w:cs="Times New Roman"/>
          <w:sz w:val="24"/>
          <w:szCs w:val="24"/>
        </w:rPr>
      </w:pPr>
      <w:r w:rsidRPr="00700CE7">
        <w:rPr>
          <w:rFonts w:ascii="Century Gothic" w:eastAsia="Calibri" w:hAnsi="Century Gothic" w:cs="Times New Roman"/>
          <w:sz w:val="24"/>
          <w:szCs w:val="24"/>
        </w:rPr>
        <w:t xml:space="preserve">Si bien, los datos de reducción de la mortalidad materna </w:t>
      </w:r>
      <w:r w:rsidR="00215C53" w:rsidRPr="00700CE7">
        <w:rPr>
          <w:rFonts w:ascii="Century Gothic" w:eastAsia="Calibri" w:hAnsi="Century Gothic" w:cs="Times New Roman"/>
          <w:sz w:val="24"/>
          <w:szCs w:val="24"/>
        </w:rPr>
        <w:t xml:space="preserve">cada año </w:t>
      </w:r>
      <w:r w:rsidRPr="00700CE7">
        <w:rPr>
          <w:rFonts w:ascii="Century Gothic" w:eastAsia="Calibri" w:hAnsi="Century Gothic" w:cs="Times New Roman"/>
          <w:sz w:val="24"/>
          <w:szCs w:val="24"/>
        </w:rPr>
        <w:t>son a la baja</w:t>
      </w:r>
      <w:r w:rsidR="00215C53" w:rsidRPr="00700CE7">
        <w:rPr>
          <w:rFonts w:ascii="Century Gothic" w:eastAsia="Calibri" w:hAnsi="Century Gothic" w:cs="Times New Roman"/>
          <w:sz w:val="24"/>
          <w:szCs w:val="24"/>
        </w:rPr>
        <w:t xml:space="preserve">, la proporción de la reducción no alcanzará el 70% para cubrir la meta </w:t>
      </w:r>
      <w:r w:rsidR="001016B6" w:rsidRPr="00700CE7">
        <w:rPr>
          <w:rFonts w:ascii="Century Gothic" w:eastAsia="Calibri" w:hAnsi="Century Gothic" w:cs="Times New Roman"/>
          <w:sz w:val="24"/>
          <w:szCs w:val="24"/>
        </w:rPr>
        <w:t>d</w:t>
      </w:r>
      <w:r w:rsidR="00215C53" w:rsidRPr="00700CE7">
        <w:rPr>
          <w:rFonts w:ascii="Century Gothic" w:eastAsia="Calibri" w:hAnsi="Century Gothic" w:cs="Times New Roman"/>
          <w:sz w:val="24"/>
          <w:szCs w:val="24"/>
        </w:rPr>
        <w:t xml:space="preserve">el año 2030, si se sigue en el ritmo de atención de la problemática como en las condiciones actuales. </w:t>
      </w:r>
    </w:p>
    <w:bookmarkEnd w:id="1"/>
    <w:p w14:paraId="3471FF27" w14:textId="2405E883" w:rsidR="00277FEC" w:rsidRPr="00700CE7" w:rsidRDefault="004B5732" w:rsidP="00CE4171">
      <w:pPr>
        <w:spacing w:line="360" w:lineRule="auto"/>
        <w:ind w:left="1134"/>
        <w:jc w:val="both"/>
        <w:rPr>
          <w:rFonts w:ascii="Century Gothic" w:hAnsi="Century Gothic"/>
          <w:sz w:val="24"/>
          <w:szCs w:val="24"/>
        </w:rPr>
      </w:pPr>
      <w:r w:rsidRPr="00700CE7">
        <w:rPr>
          <w:rFonts w:ascii="Century Gothic" w:hAnsi="Century Gothic"/>
          <w:sz w:val="24"/>
          <w:szCs w:val="24"/>
        </w:rPr>
        <w:t>Es responsabilidad</w:t>
      </w:r>
      <w:r w:rsidR="0086508C" w:rsidRPr="00700CE7">
        <w:rPr>
          <w:rFonts w:ascii="Century Gothic" w:hAnsi="Century Gothic"/>
          <w:sz w:val="24"/>
          <w:szCs w:val="24"/>
        </w:rPr>
        <w:t xml:space="preserve"> de legisladores</w:t>
      </w:r>
      <w:r w:rsidRPr="00700CE7">
        <w:rPr>
          <w:rFonts w:ascii="Century Gothic" w:hAnsi="Century Gothic"/>
          <w:sz w:val="24"/>
          <w:szCs w:val="24"/>
        </w:rPr>
        <w:t xml:space="preserve"> y </w:t>
      </w:r>
      <w:r w:rsidR="0086508C" w:rsidRPr="00700CE7">
        <w:rPr>
          <w:rFonts w:ascii="Century Gothic" w:hAnsi="Century Gothic"/>
          <w:sz w:val="24"/>
          <w:szCs w:val="24"/>
        </w:rPr>
        <w:t xml:space="preserve">legisladoras, así como de Servidores Públicos </w:t>
      </w:r>
      <w:r w:rsidRPr="00700CE7">
        <w:rPr>
          <w:rFonts w:ascii="Century Gothic" w:hAnsi="Century Gothic"/>
          <w:sz w:val="24"/>
          <w:szCs w:val="24"/>
        </w:rPr>
        <w:t xml:space="preserve">proteger la vida de las mujeres en </w:t>
      </w:r>
      <w:r w:rsidR="00700CE7" w:rsidRPr="00700CE7">
        <w:rPr>
          <w:rFonts w:ascii="Century Gothic" w:hAnsi="Century Gothic"/>
          <w:sz w:val="24"/>
          <w:szCs w:val="24"/>
        </w:rPr>
        <w:t xml:space="preserve">todas sus </w:t>
      </w:r>
      <w:r w:rsidR="00700CE7" w:rsidRPr="00700CE7">
        <w:rPr>
          <w:rFonts w:ascii="Century Gothic" w:hAnsi="Century Gothic"/>
          <w:sz w:val="24"/>
          <w:szCs w:val="24"/>
        </w:rPr>
        <w:lastRenderedPageBreak/>
        <w:t>facetas</w:t>
      </w:r>
      <w:r w:rsidRPr="00700CE7">
        <w:rPr>
          <w:rFonts w:ascii="Century Gothic" w:hAnsi="Century Gothic"/>
          <w:sz w:val="24"/>
          <w:szCs w:val="24"/>
        </w:rPr>
        <w:t xml:space="preserve"> y actividades que realicen</w:t>
      </w:r>
      <w:r w:rsidR="0086508C" w:rsidRPr="00700CE7">
        <w:rPr>
          <w:rFonts w:ascii="Century Gothic" w:hAnsi="Century Gothic"/>
          <w:sz w:val="24"/>
          <w:szCs w:val="24"/>
        </w:rPr>
        <w:t xml:space="preserve">, </w:t>
      </w:r>
      <w:r w:rsidR="00277FEC" w:rsidRPr="00700CE7">
        <w:rPr>
          <w:rFonts w:ascii="Century Gothic" w:hAnsi="Century Gothic"/>
          <w:sz w:val="24"/>
          <w:szCs w:val="24"/>
        </w:rPr>
        <w:t>para que gocen de sus derechos a la vida digna, del goce de todos sus derechos como ser huma</w:t>
      </w:r>
      <w:r w:rsidRPr="00700CE7">
        <w:rPr>
          <w:rFonts w:ascii="Century Gothic" w:hAnsi="Century Gothic"/>
          <w:sz w:val="24"/>
          <w:szCs w:val="24"/>
        </w:rPr>
        <w:t xml:space="preserve">no, protegidos por la Constitución. </w:t>
      </w:r>
    </w:p>
    <w:p w14:paraId="7274154A" w14:textId="35051011" w:rsidR="00C10017" w:rsidRPr="00700CE7" w:rsidRDefault="004B5732" w:rsidP="00CE4171">
      <w:pPr>
        <w:spacing w:line="360" w:lineRule="auto"/>
        <w:ind w:left="1134"/>
        <w:jc w:val="both"/>
        <w:rPr>
          <w:rFonts w:ascii="Century Gothic" w:hAnsi="Century Gothic"/>
          <w:sz w:val="24"/>
          <w:szCs w:val="24"/>
        </w:rPr>
      </w:pPr>
      <w:r w:rsidRPr="00700CE7">
        <w:rPr>
          <w:rFonts w:ascii="Century Gothic" w:hAnsi="Century Gothic"/>
          <w:sz w:val="24"/>
          <w:szCs w:val="24"/>
        </w:rPr>
        <w:t xml:space="preserve">El servicio de salud, debe brindarse en el marco de los derechos humanos, tal como lo recomienda la Organización Panamericana de la Salud, </w:t>
      </w:r>
      <w:r w:rsidR="009A4E8A" w:rsidRPr="00700CE7">
        <w:rPr>
          <w:rFonts w:ascii="Century Gothic" w:hAnsi="Century Gothic"/>
          <w:sz w:val="24"/>
          <w:szCs w:val="24"/>
        </w:rPr>
        <w:t>para garantizar la disponibilidad, la accesibilidad y la</w:t>
      </w:r>
      <w:r w:rsidR="00C12324" w:rsidRPr="00700CE7">
        <w:rPr>
          <w:rFonts w:ascii="Century Gothic" w:hAnsi="Century Gothic"/>
          <w:sz w:val="24"/>
          <w:szCs w:val="24"/>
        </w:rPr>
        <w:t xml:space="preserve"> </w:t>
      </w:r>
      <w:r w:rsidR="009A4E8A" w:rsidRPr="00700CE7">
        <w:rPr>
          <w:rFonts w:ascii="Century Gothic" w:hAnsi="Century Gothic"/>
          <w:sz w:val="24"/>
          <w:szCs w:val="24"/>
        </w:rPr>
        <w:t>aceptabilidad de una atención a la salud reproductiva, materna y neonatal de gran calidad para</w:t>
      </w:r>
      <w:r w:rsidR="00C12324" w:rsidRPr="00700CE7">
        <w:rPr>
          <w:rFonts w:ascii="Century Gothic" w:hAnsi="Century Gothic"/>
          <w:sz w:val="24"/>
          <w:szCs w:val="24"/>
        </w:rPr>
        <w:t xml:space="preserve"> </w:t>
      </w:r>
      <w:r w:rsidR="009A4E8A" w:rsidRPr="00700CE7">
        <w:rPr>
          <w:rFonts w:ascii="Century Gothic" w:hAnsi="Century Gothic"/>
          <w:sz w:val="24"/>
          <w:szCs w:val="24"/>
        </w:rPr>
        <w:t xml:space="preserve">todas las </w:t>
      </w:r>
      <w:r w:rsidR="00C12324" w:rsidRPr="00700CE7">
        <w:rPr>
          <w:rFonts w:ascii="Century Gothic" w:hAnsi="Century Gothic"/>
          <w:sz w:val="24"/>
          <w:szCs w:val="24"/>
        </w:rPr>
        <w:t>mujeres que lo necesiten, en la localidad en que se encuentren</w:t>
      </w:r>
      <w:r w:rsidR="009A4E8A" w:rsidRPr="00700CE7">
        <w:rPr>
          <w:rFonts w:ascii="Century Gothic" w:hAnsi="Century Gothic"/>
          <w:sz w:val="24"/>
          <w:szCs w:val="24"/>
        </w:rPr>
        <w:t>.</w:t>
      </w:r>
    </w:p>
    <w:p w14:paraId="2C704684" w14:textId="05B08B63" w:rsidR="00C10017" w:rsidRPr="00700CE7" w:rsidRDefault="00C10017" w:rsidP="00CE4171">
      <w:pPr>
        <w:spacing w:line="360" w:lineRule="auto"/>
        <w:ind w:left="1134"/>
        <w:jc w:val="both"/>
        <w:rPr>
          <w:rFonts w:ascii="Century Gothic" w:hAnsi="Century Gothic"/>
          <w:sz w:val="24"/>
          <w:szCs w:val="24"/>
        </w:rPr>
      </w:pPr>
      <w:r w:rsidRPr="00700CE7">
        <w:rPr>
          <w:rFonts w:ascii="Century Gothic" w:hAnsi="Century Gothic"/>
          <w:sz w:val="24"/>
          <w:szCs w:val="24"/>
        </w:rPr>
        <w:t xml:space="preserve">Dicho servicio debe cumplir con lo siguiente: </w:t>
      </w:r>
    </w:p>
    <w:p w14:paraId="60E01B2C" w14:textId="77777777" w:rsidR="00C10017" w:rsidRPr="00700CE7" w:rsidRDefault="00C10017" w:rsidP="00CE4171">
      <w:pPr>
        <w:pStyle w:val="Prrafodelista"/>
        <w:numPr>
          <w:ilvl w:val="0"/>
          <w:numId w:val="8"/>
        </w:numPr>
        <w:spacing w:line="360" w:lineRule="auto"/>
        <w:ind w:left="1134"/>
        <w:jc w:val="both"/>
        <w:rPr>
          <w:rFonts w:ascii="Century Gothic" w:hAnsi="Century Gothic"/>
          <w:sz w:val="24"/>
          <w:szCs w:val="24"/>
        </w:rPr>
      </w:pPr>
      <w:r w:rsidRPr="00700CE7">
        <w:rPr>
          <w:rFonts w:ascii="Century Gothic" w:hAnsi="Century Gothic"/>
          <w:sz w:val="24"/>
          <w:szCs w:val="24"/>
        </w:rPr>
        <w:t>Atención universal de salud</w:t>
      </w:r>
    </w:p>
    <w:p w14:paraId="107F4865" w14:textId="77777777" w:rsidR="00C10017" w:rsidRPr="00700CE7" w:rsidRDefault="00C10017" w:rsidP="00CE4171">
      <w:pPr>
        <w:pStyle w:val="Prrafodelista"/>
        <w:numPr>
          <w:ilvl w:val="0"/>
          <w:numId w:val="8"/>
        </w:numPr>
        <w:spacing w:line="360" w:lineRule="auto"/>
        <w:ind w:left="1134"/>
        <w:jc w:val="both"/>
        <w:rPr>
          <w:rFonts w:ascii="Century Gothic" w:hAnsi="Century Gothic"/>
          <w:sz w:val="24"/>
          <w:szCs w:val="24"/>
        </w:rPr>
      </w:pPr>
      <w:r w:rsidRPr="00700CE7">
        <w:rPr>
          <w:rFonts w:ascii="Century Gothic" w:hAnsi="Century Gothic"/>
          <w:sz w:val="24"/>
          <w:szCs w:val="24"/>
        </w:rPr>
        <w:t>Asistencia sanitaria materna y neonatal gratuita y de alta calidad en todas las zonas geográficas del Estado.</w:t>
      </w:r>
    </w:p>
    <w:p w14:paraId="7E090342" w14:textId="77777777" w:rsidR="00C10017" w:rsidRPr="00700CE7" w:rsidRDefault="00C10017" w:rsidP="00CE4171">
      <w:pPr>
        <w:pStyle w:val="Prrafodelista"/>
        <w:numPr>
          <w:ilvl w:val="0"/>
          <w:numId w:val="8"/>
        </w:numPr>
        <w:spacing w:line="360" w:lineRule="auto"/>
        <w:ind w:left="1134"/>
        <w:jc w:val="both"/>
        <w:rPr>
          <w:rFonts w:ascii="Century Gothic" w:hAnsi="Century Gothic"/>
          <w:sz w:val="24"/>
          <w:szCs w:val="24"/>
        </w:rPr>
      </w:pPr>
      <w:r w:rsidRPr="00700CE7">
        <w:rPr>
          <w:rFonts w:ascii="Century Gothic" w:hAnsi="Century Gothic"/>
          <w:sz w:val="24"/>
          <w:szCs w:val="24"/>
        </w:rPr>
        <w:t>Designar el mayor presupuesto posible, superior de manera progresiva y  asumir compromisos políticos concretos de atención e inversión con los gobiernos locales-municipales.</w:t>
      </w:r>
    </w:p>
    <w:p w14:paraId="3ACF0080" w14:textId="4B06A1EC" w:rsidR="00C10017" w:rsidRPr="00700CE7" w:rsidRDefault="00C10017" w:rsidP="00CE4171">
      <w:pPr>
        <w:pStyle w:val="Prrafodelista"/>
        <w:numPr>
          <w:ilvl w:val="0"/>
          <w:numId w:val="8"/>
        </w:numPr>
        <w:spacing w:line="360" w:lineRule="auto"/>
        <w:ind w:left="1134"/>
        <w:jc w:val="both"/>
        <w:rPr>
          <w:rFonts w:ascii="Century Gothic" w:hAnsi="Century Gothic"/>
          <w:sz w:val="24"/>
          <w:szCs w:val="24"/>
        </w:rPr>
      </w:pPr>
      <w:r w:rsidRPr="00700CE7">
        <w:rPr>
          <w:rFonts w:ascii="Century Gothic" w:hAnsi="Century Gothic"/>
          <w:sz w:val="24"/>
          <w:szCs w:val="24"/>
        </w:rPr>
        <w:t>Eliminar las considerables inequidades que dan lugar a disparidades entre las comunidades de zonas marginadas, con el acceso a la atención y en la calidad de los servicios de salud.</w:t>
      </w:r>
    </w:p>
    <w:p w14:paraId="34A7D7F8" w14:textId="77777777" w:rsidR="00C10017" w:rsidRPr="00700CE7" w:rsidRDefault="00C10017" w:rsidP="00CE4171">
      <w:pPr>
        <w:pStyle w:val="Prrafodelista"/>
        <w:numPr>
          <w:ilvl w:val="0"/>
          <w:numId w:val="8"/>
        </w:numPr>
        <w:spacing w:line="360" w:lineRule="auto"/>
        <w:ind w:left="1134"/>
        <w:jc w:val="both"/>
        <w:rPr>
          <w:rFonts w:ascii="Century Gothic" w:hAnsi="Century Gothic"/>
          <w:sz w:val="24"/>
          <w:szCs w:val="24"/>
        </w:rPr>
      </w:pPr>
      <w:r w:rsidRPr="00700CE7">
        <w:rPr>
          <w:rFonts w:ascii="Century Gothic" w:hAnsi="Century Gothic"/>
          <w:sz w:val="24"/>
          <w:szCs w:val="24"/>
        </w:rPr>
        <w:t>Atención de la embarazada en todo el periodo de gestación a fin de evitar las muertes prevenibles al identificar factores de riesgo directamente.   Esto significa, que toda mujer embarazada cuente con su historia Gineco-Obstétrica, un diagnóstico de las posibles características del parto, una institución de atención a la salud ginecológica en su comunidad y/o en casos específicos culturales,  la atención médica o de partera capacitada institucionalmente para la atención de parto.</w:t>
      </w:r>
    </w:p>
    <w:p w14:paraId="261525AE" w14:textId="77777777" w:rsidR="00C10017" w:rsidRPr="00700CE7" w:rsidRDefault="00C10017" w:rsidP="00CE4171">
      <w:pPr>
        <w:pStyle w:val="Prrafodelista"/>
        <w:numPr>
          <w:ilvl w:val="0"/>
          <w:numId w:val="8"/>
        </w:numPr>
        <w:spacing w:line="360" w:lineRule="auto"/>
        <w:ind w:left="1134"/>
        <w:jc w:val="both"/>
        <w:rPr>
          <w:rFonts w:ascii="Century Gothic" w:hAnsi="Century Gothic"/>
          <w:sz w:val="24"/>
          <w:szCs w:val="24"/>
        </w:rPr>
      </w:pPr>
      <w:r w:rsidRPr="00700CE7">
        <w:rPr>
          <w:rFonts w:ascii="Century Gothic" w:hAnsi="Century Gothic"/>
          <w:sz w:val="24"/>
          <w:szCs w:val="24"/>
        </w:rPr>
        <w:lastRenderedPageBreak/>
        <w:t>Atención médica y protección al binomio madre-bebé, posparto y el tiempo que requiera.</w:t>
      </w:r>
    </w:p>
    <w:p w14:paraId="368CF424" w14:textId="77777777" w:rsidR="00C10017" w:rsidRDefault="00C10017" w:rsidP="00CE4171">
      <w:pPr>
        <w:spacing w:before="240" w:line="360" w:lineRule="auto"/>
        <w:ind w:left="1134"/>
        <w:jc w:val="both"/>
        <w:rPr>
          <w:rFonts w:ascii="Century Gothic" w:eastAsia="Times New Roman" w:hAnsi="Century Gothic" w:cs="Arial"/>
          <w:sz w:val="24"/>
          <w:szCs w:val="24"/>
          <w:lang w:val="es-ES"/>
        </w:rPr>
      </w:pPr>
      <w:r w:rsidRPr="00700CE7">
        <w:rPr>
          <w:rFonts w:ascii="Century Gothic" w:eastAsia="Times New Roman" w:hAnsi="Century Gothic" w:cs="Arial"/>
          <w:sz w:val="24"/>
          <w:szCs w:val="24"/>
          <w:lang w:val="es-ES"/>
        </w:rPr>
        <w:t>Por lo anteriormente expuesto, nos permitimos someter a la consideración de esta Representación Popular con el carácter de urgente resolución el siguiente proyecto de:</w:t>
      </w:r>
    </w:p>
    <w:p w14:paraId="172D3F09" w14:textId="77777777" w:rsidR="00C10017" w:rsidRPr="00700CE7" w:rsidRDefault="00C10017" w:rsidP="00CE4171">
      <w:pPr>
        <w:spacing w:after="120" w:line="360" w:lineRule="auto"/>
        <w:ind w:left="1134"/>
        <w:jc w:val="center"/>
        <w:rPr>
          <w:rFonts w:ascii="Century Gothic" w:eastAsia="Arial" w:hAnsi="Century Gothic" w:cs="Arial"/>
          <w:b/>
          <w:sz w:val="24"/>
          <w:szCs w:val="24"/>
        </w:rPr>
      </w:pPr>
      <w:r w:rsidRPr="00700CE7">
        <w:rPr>
          <w:rFonts w:ascii="Century Gothic" w:eastAsia="Arial" w:hAnsi="Century Gothic" w:cs="Arial"/>
          <w:b/>
          <w:sz w:val="24"/>
          <w:szCs w:val="24"/>
        </w:rPr>
        <w:t>PUNTO DE ACUERDO</w:t>
      </w:r>
    </w:p>
    <w:p w14:paraId="23DDF87A" w14:textId="6DB49D0D" w:rsidR="00C10017" w:rsidRPr="00700CE7" w:rsidRDefault="00C10017" w:rsidP="00CE4171">
      <w:pPr>
        <w:spacing w:after="120" w:line="360" w:lineRule="auto"/>
        <w:ind w:left="1134"/>
        <w:jc w:val="both"/>
        <w:rPr>
          <w:rFonts w:ascii="Century Gothic" w:hAnsi="Century Gothic" w:cs="Calibri"/>
          <w:b/>
          <w:bCs/>
          <w:sz w:val="24"/>
          <w:szCs w:val="24"/>
        </w:rPr>
      </w:pPr>
      <w:r w:rsidRPr="00700CE7">
        <w:rPr>
          <w:rFonts w:ascii="Century Gothic" w:eastAsia="Arial" w:hAnsi="Century Gothic" w:cs="Arial"/>
          <w:b/>
          <w:sz w:val="24"/>
          <w:szCs w:val="24"/>
        </w:rPr>
        <w:t xml:space="preserve">ÚNICO. - </w:t>
      </w:r>
      <w:r w:rsidRPr="00700CE7">
        <w:rPr>
          <w:rFonts w:ascii="Century Gothic" w:eastAsia="Arial" w:hAnsi="Century Gothic" w:cs="Arial"/>
          <w:sz w:val="24"/>
          <w:szCs w:val="24"/>
        </w:rPr>
        <w:t>La Sexagésima Sé</w:t>
      </w:r>
      <w:bookmarkStart w:id="2" w:name="_GoBack"/>
      <w:bookmarkEnd w:id="2"/>
      <w:r w:rsidRPr="00700CE7">
        <w:rPr>
          <w:rFonts w:ascii="Century Gothic" w:eastAsia="Arial" w:hAnsi="Century Gothic" w:cs="Arial"/>
          <w:sz w:val="24"/>
          <w:szCs w:val="24"/>
        </w:rPr>
        <w:t xml:space="preserve">ptima Legislatura </w:t>
      </w:r>
      <w:r w:rsidRPr="00700CE7">
        <w:rPr>
          <w:rFonts w:ascii="Century Gothic" w:eastAsia="Arial" w:hAnsi="Century Gothic" w:cs="Arial"/>
          <w:b/>
          <w:bCs/>
          <w:sz w:val="24"/>
          <w:szCs w:val="24"/>
        </w:rPr>
        <w:t xml:space="preserve">exhorta </w:t>
      </w:r>
      <w:r w:rsidRPr="00700CE7">
        <w:rPr>
          <w:rFonts w:ascii="Century Gothic" w:hAnsi="Century Gothic" w:cs="Calibri"/>
          <w:b/>
          <w:bCs/>
          <w:sz w:val="24"/>
          <w:szCs w:val="24"/>
        </w:rPr>
        <w:t>a la Secretaría de Salud</w:t>
      </w:r>
      <w:r w:rsidR="007461DA" w:rsidRPr="00700CE7">
        <w:rPr>
          <w:rFonts w:ascii="Century Gothic" w:hAnsi="Century Gothic" w:cs="Calibri"/>
          <w:b/>
          <w:bCs/>
          <w:sz w:val="24"/>
          <w:szCs w:val="24"/>
        </w:rPr>
        <w:t xml:space="preserve"> Federal, a la Delegación en Chihuahua de la Secretaría de Bienestar, a la Secretaría de Salud</w:t>
      </w:r>
      <w:r w:rsidR="00700CE7" w:rsidRPr="00700CE7">
        <w:rPr>
          <w:rFonts w:ascii="Century Gothic" w:hAnsi="Century Gothic" w:cs="Calibri"/>
          <w:b/>
          <w:bCs/>
          <w:sz w:val="24"/>
          <w:szCs w:val="24"/>
        </w:rPr>
        <w:t xml:space="preserve"> Estatal</w:t>
      </w:r>
      <w:r w:rsidR="007461DA" w:rsidRPr="00700CE7">
        <w:rPr>
          <w:rFonts w:ascii="Century Gothic" w:hAnsi="Century Gothic" w:cs="Calibri"/>
          <w:b/>
          <w:bCs/>
          <w:sz w:val="24"/>
          <w:szCs w:val="24"/>
        </w:rPr>
        <w:t xml:space="preserve">, a la Secretaria de Desarrollo Humano y Bien Común, y al DIF Estatal </w:t>
      </w:r>
      <w:r w:rsidRPr="00700CE7">
        <w:rPr>
          <w:rFonts w:ascii="Century Gothic" w:hAnsi="Century Gothic" w:cs="Calibri"/>
          <w:b/>
          <w:bCs/>
          <w:sz w:val="24"/>
          <w:szCs w:val="24"/>
        </w:rPr>
        <w:t xml:space="preserve"> para que brinde de manera urgente atención médica necesaria a mujeres embarazadas en los municipios del Estado, sobre todo en aquellos que se encuentran en la Sierra, </w:t>
      </w:r>
      <w:r w:rsidR="00700CE7" w:rsidRPr="00700CE7">
        <w:rPr>
          <w:rFonts w:ascii="Century Gothic" w:hAnsi="Century Gothic" w:cs="Calibri"/>
          <w:b/>
          <w:bCs/>
          <w:sz w:val="24"/>
          <w:szCs w:val="24"/>
        </w:rPr>
        <w:t>para</w:t>
      </w:r>
      <w:r w:rsidRPr="00700CE7">
        <w:rPr>
          <w:rFonts w:ascii="Century Gothic" w:hAnsi="Century Gothic" w:cs="Calibri"/>
          <w:b/>
          <w:bCs/>
          <w:sz w:val="24"/>
          <w:szCs w:val="24"/>
        </w:rPr>
        <w:t xml:space="preserve"> </w:t>
      </w:r>
      <w:r w:rsidRPr="00700CE7">
        <w:rPr>
          <w:rFonts w:ascii="Century Gothic" w:hAnsi="Century Gothic"/>
          <w:b/>
          <w:sz w:val="24"/>
          <w:szCs w:val="24"/>
        </w:rPr>
        <w:t>garantizar la disponibilidad y la accesibilidad a una atención a la salud reproductiva, materna y neonatal</w:t>
      </w:r>
      <w:r w:rsidRPr="00700CE7">
        <w:rPr>
          <w:rFonts w:ascii="Century Gothic" w:hAnsi="Century Gothic"/>
          <w:sz w:val="24"/>
          <w:szCs w:val="24"/>
        </w:rPr>
        <w:t xml:space="preserve"> </w:t>
      </w:r>
      <w:r w:rsidRPr="00700CE7">
        <w:rPr>
          <w:rFonts w:ascii="Century Gothic" w:hAnsi="Century Gothic" w:cs="Calibri"/>
          <w:b/>
          <w:bCs/>
          <w:sz w:val="24"/>
          <w:szCs w:val="24"/>
        </w:rPr>
        <w:t xml:space="preserve">a fin de erradicar la mortalidad materna. </w:t>
      </w:r>
    </w:p>
    <w:p w14:paraId="2494B6AA" w14:textId="77777777" w:rsidR="00C10017" w:rsidRPr="00700CE7" w:rsidRDefault="00C10017" w:rsidP="00CE4171">
      <w:pPr>
        <w:spacing w:after="120" w:line="360" w:lineRule="auto"/>
        <w:ind w:left="1134"/>
        <w:jc w:val="both"/>
        <w:rPr>
          <w:rFonts w:ascii="Century Gothic" w:eastAsia="Arial" w:hAnsi="Century Gothic" w:cs="Arial"/>
          <w:sz w:val="24"/>
          <w:szCs w:val="24"/>
        </w:rPr>
      </w:pPr>
      <w:r w:rsidRPr="00700CE7">
        <w:rPr>
          <w:rFonts w:ascii="Century Gothic" w:eastAsia="Arial" w:hAnsi="Century Gothic" w:cs="Arial"/>
          <w:b/>
          <w:sz w:val="24"/>
          <w:szCs w:val="24"/>
        </w:rPr>
        <w:t xml:space="preserve">ECONÓMICO. - </w:t>
      </w:r>
      <w:r w:rsidRPr="00700CE7">
        <w:rPr>
          <w:rFonts w:ascii="Century Gothic" w:eastAsia="Arial" w:hAnsi="Century Gothic" w:cs="Arial"/>
          <w:sz w:val="24"/>
          <w:szCs w:val="24"/>
        </w:rPr>
        <w:t>Aprobado que sea túrnese a la secretaria para que elabore la Minuta de Acuerdo correspondiente.</w:t>
      </w:r>
    </w:p>
    <w:p w14:paraId="73C5404C" w14:textId="12B3695C" w:rsidR="00C10017" w:rsidRDefault="00C10017" w:rsidP="00CE4171">
      <w:pPr>
        <w:spacing w:after="120" w:line="360" w:lineRule="auto"/>
        <w:ind w:left="1134"/>
        <w:jc w:val="both"/>
        <w:rPr>
          <w:rFonts w:ascii="Century Gothic" w:hAnsi="Century Gothic" w:cs="Arial"/>
          <w:bCs/>
          <w:sz w:val="24"/>
          <w:szCs w:val="24"/>
        </w:rPr>
      </w:pPr>
      <w:r w:rsidRPr="00700CE7">
        <w:rPr>
          <w:rFonts w:ascii="Century Gothic" w:eastAsia="Arial" w:hAnsi="Century Gothic" w:cs="Arial"/>
          <w:b/>
          <w:sz w:val="24"/>
          <w:szCs w:val="24"/>
        </w:rPr>
        <w:t xml:space="preserve">D A D O </w:t>
      </w:r>
      <w:r w:rsidRPr="00700CE7">
        <w:rPr>
          <w:rFonts w:ascii="Century Gothic" w:eastAsia="Arial" w:hAnsi="Century Gothic" w:cs="Arial"/>
          <w:bCs/>
          <w:sz w:val="24"/>
          <w:szCs w:val="24"/>
        </w:rPr>
        <w:t xml:space="preserve">en el Recinto oficial del Congreso del Estado de Chihuahua, </w:t>
      </w:r>
      <w:r w:rsidRPr="00700CE7">
        <w:rPr>
          <w:rFonts w:ascii="Century Gothic" w:hAnsi="Century Gothic" w:cs="Arial"/>
          <w:bCs/>
          <w:sz w:val="24"/>
          <w:szCs w:val="24"/>
        </w:rPr>
        <w:t xml:space="preserve">a los 12 días del mes de </w:t>
      </w:r>
      <w:r w:rsidR="00700CE7" w:rsidRPr="00700CE7">
        <w:rPr>
          <w:rFonts w:ascii="Century Gothic" w:hAnsi="Century Gothic" w:cs="Arial"/>
          <w:bCs/>
          <w:sz w:val="24"/>
          <w:szCs w:val="24"/>
        </w:rPr>
        <w:t xml:space="preserve">mayo </w:t>
      </w:r>
      <w:r w:rsidRPr="00700CE7">
        <w:rPr>
          <w:rFonts w:ascii="Century Gothic" w:hAnsi="Century Gothic" w:cs="Arial"/>
          <w:bCs/>
          <w:sz w:val="24"/>
          <w:szCs w:val="24"/>
        </w:rPr>
        <w:t>de 2022.</w:t>
      </w:r>
    </w:p>
    <w:p w14:paraId="0979CD6A" w14:textId="77777777" w:rsidR="00CE4171" w:rsidRPr="00700CE7" w:rsidRDefault="00CE4171" w:rsidP="00CE4171">
      <w:pPr>
        <w:spacing w:after="120" w:line="360" w:lineRule="auto"/>
        <w:ind w:left="1134"/>
        <w:jc w:val="both"/>
        <w:rPr>
          <w:rFonts w:ascii="Century Gothic" w:hAnsi="Century Gothic" w:cs="Arial"/>
          <w:bCs/>
          <w:sz w:val="24"/>
          <w:szCs w:val="24"/>
        </w:rPr>
      </w:pPr>
    </w:p>
    <w:p w14:paraId="47357F4D" w14:textId="77777777" w:rsidR="00907D63" w:rsidRPr="00700CE7" w:rsidRDefault="00907D63" w:rsidP="00CE4171">
      <w:pPr>
        <w:ind w:left="1134"/>
        <w:jc w:val="center"/>
        <w:rPr>
          <w:rFonts w:ascii="Century Gothic" w:hAnsi="Century Gothic"/>
          <w:b/>
          <w:sz w:val="24"/>
          <w:szCs w:val="24"/>
        </w:rPr>
      </w:pPr>
      <w:r w:rsidRPr="00700CE7">
        <w:rPr>
          <w:rFonts w:ascii="Century Gothic" w:hAnsi="Century Gothic"/>
          <w:b/>
          <w:sz w:val="24"/>
          <w:szCs w:val="24"/>
        </w:rPr>
        <w:t>A</w:t>
      </w:r>
      <w:r w:rsidRPr="00700CE7">
        <w:rPr>
          <w:rFonts w:ascii="Century Gothic" w:hAnsi="Century Gothic"/>
          <w:sz w:val="24"/>
          <w:szCs w:val="24"/>
        </w:rPr>
        <w:t xml:space="preserve"> </w:t>
      </w:r>
      <w:r w:rsidRPr="00700CE7">
        <w:rPr>
          <w:rFonts w:ascii="Century Gothic" w:hAnsi="Century Gothic"/>
          <w:b/>
          <w:sz w:val="24"/>
          <w:szCs w:val="24"/>
        </w:rPr>
        <w:t>T E N T A M E N T E</w:t>
      </w:r>
    </w:p>
    <w:p w14:paraId="7BCEB875" w14:textId="77777777" w:rsidR="00907D63" w:rsidRPr="00700CE7" w:rsidRDefault="00907D63" w:rsidP="00CE4171">
      <w:pPr>
        <w:ind w:left="1134"/>
        <w:jc w:val="center"/>
        <w:rPr>
          <w:rFonts w:ascii="Century Gothic" w:hAnsi="Century Gothic"/>
          <w:b/>
          <w:sz w:val="24"/>
          <w:szCs w:val="24"/>
        </w:rPr>
      </w:pPr>
    </w:p>
    <w:p w14:paraId="07DDA666" w14:textId="77777777" w:rsidR="00700CE7" w:rsidRPr="00700CE7" w:rsidRDefault="00700CE7" w:rsidP="00CE4171">
      <w:pPr>
        <w:ind w:left="1134"/>
        <w:jc w:val="center"/>
        <w:rPr>
          <w:rFonts w:ascii="Century Gothic" w:hAnsi="Century Gothic"/>
          <w:b/>
          <w:sz w:val="24"/>
          <w:szCs w:val="24"/>
        </w:rPr>
      </w:pPr>
    </w:p>
    <w:p w14:paraId="45119D30" w14:textId="448759AA" w:rsidR="006E77CC" w:rsidRPr="00700CE7" w:rsidRDefault="00907D63" w:rsidP="00CE4171">
      <w:pPr>
        <w:ind w:left="1134"/>
        <w:jc w:val="center"/>
        <w:rPr>
          <w:rFonts w:ascii="Century Gothic" w:hAnsi="Century Gothic"/>
          <w:b/>
          <w:sz w:val="24"/>
          <w:szCs w:val="24"/>
        </w:rPr>
      </w:pPr>
      <w:r w:rsidRPr="00700CE7">
        <w:rPr>
          <w:rFonts w:ascii="Century Gothic" w:hAnsi="Century Gothic"/>
          <w:b/>
          <w:sz w:val="24"/>
          <w:szCs w:val="24"/>
        </w:rPr>
        <w:t>DIP. LETICIA ORTEGA MÁYNEZ</w:t>
      </w:r>
    </w:p>
    <w:p w14:paraId="08C551D1" w14:textId="4C1F0F23" w:rsidR="006E77CC" w:rsidRPr="00700CE7" w:rsidRDefault="006E77CC" w:rsidP="00CE4171">
      <w:pPr>
        <w:ind w:left="1134"/>
        <w:jc w:val="both"/>
        <w:rPr>
          <w:rFonts w:ascii="Century Gothic" w:hAnsi="Century Gothic"/>
          <w:b/>
          <w:sz w:val="24"/>
          <w:szCs w:val="24"/>
        </w:rPr>
      </w:pPr>
    </w:p>
    <w:tbl>
      <w:tblPr>
        <w:tblW w:w="0" w:type="auto"/>
        <w:jc w:val="center"/>
        <w:tblLook w:val="04A0" w:firstRow="1" w:lastRow="0" w:firstColumn="1" w:lastColumn="0" w:noHBand="0" w:noVBand="1"/>
      </w:tblPr>
      <w:tblGrid>
        <w:gridCol w:w="4414"/>
        <w:gridCol w:w="4414"/>
      </w:tblGrid>
      <w:tr w:rsidR="00357149" w:rsidRPr="00700CE7" w14:paraId="43DAF7C2" w14:textId="77777777" w:rsidTr="00700CE7">
        <w:trPr>
          <w:trHeight w:val="1984"/>
          <w:jc w:val="center"/>
        </w:trPr>
        <w:tc>
          <w:tcPr>
            <w:tcW w:w="4414" w:type="dxa"/>
            <w:vAlign w:val="bottom"/>
          </w:tcPr>
          <w:p w14:paraId="5E94A135" w14:textId="77777777" w:rsidR="00C10017" w:rsidRPr="00700CE7" w:rsidRDefault="00C10017" w:rsidP="00CE4171">
            <w:pPr>
              <w:ind w:left="1134"/>
              <w:jc w:val="both"/>
              <w:rPr>
                <w:rFonts w:ascii="Century Gothic" w:hAnsi="Century Gothic"/>
                <w:b/>
                <w:sz w:val="24"/>
                <w:szCs w:val="24"/>
              </w:rPr>
            </w:pPr>
          </w:p>
          <w:p w14:paraId="03CAD17D" w14:textId="06F952E3" w:rsidR="006E77CC" w:rsidRPr="00700CE7" w:rsidRDefault="00C10017" w:rsidP="00CE4171">
            <w:pPr>
              <w:ind w:left="1134"/>
              <w:jc w:val="center"/>
              <w:rPr>
                <w:rFonts w:ascii="Century Gothic" w:hAnsi="Century Gothic"/>
                <w:b/>
                <w:bCs/>
                <w:sz w:val="24"/>
                <w:szCs w:val="24"/>
              </w:rPr>
            </w:pPr>
            <w:r w:rsidRPr="00700CE7">
              <w:rPr>
                <w:rFonts w:ascii="Century Gothic" w:hAnsi="Century Gothic"/>
                <w:b/>
                <w:sz w:val="24"/>
                <w:szCs w:val="24"/>
              </w:rPr>
              <w:t>DIP. EDIN CUAUHTÉMOC ESTRADA SOTELO</w:t>
            </w:r>
          </w:p>
        </w:tc>
        <w:tc>
          <w:tcPr>
            <w:tcW w:w="4414" w:type="dxa"/>
            <w:vAlign w:val="bottom"/>
          </w:tcPr>
          <w:p w14:paraId="16D35119" w14:textId="77777777" w:rsidR="006E77CC" w:rsidRPr="00700CE7" w:rsidRDefault="006E77CC" w:rsidP="00CE4171">
            <w:pPr>
              <w:ind w:left="1134"/>
              <w:jc w:val="center"/>
              <w:rPr>
                <w:rFonts w:ascii="Century Gothic" w:hAnsi="Century Gothic"/>
                <w:b/>
                <w:bCs/>
                <w:sz w:val="24"/>
                <w:szCs w:val="24"/>
              </w:rPr>
            </w:pPr>
            <w:r w:rsidRPr="00700CE7">
              <w:rPr>
                <w:rFonts w:ascii="Century Gothic" w:hAnsi="Century Gothic"/>
                <w:b/>
                <w:bCs/>
                <w:sz w:val="24"/>
                <w:szCs w:val="24"/>
              </w:rPr>
              <w:t>DIP. ÓSCAR DANIEL AVITIA ARELLANES</w:t>
            </w:r>
          </w:p>
        </w:tc>
      </w:tr>
      <w:tr w:rsidR="00357149" w:rsidRPr="00700CE7" w14:paraId="144717B5" w14:textId="77777777" w:rsidTr="00700CE7">
        <w:trPr>
          <w:trHeight w:val="1984"/>
          <w:jc w:val="center"/>
        </w:trPr>
        <w:tc>
          <w:tcPr>
            <w:tcW w:w="4414" w:type="dxa"/>
            <w:vAlign w:val="center"/>
          </w:tcPr>
          <w:p w14:paraId="77882740" w14:textId="77777777" w:rsidR="00700CE7" w:rsidRDefault="00700CE7" w:rsidP="00CE4171">
            <w:pPr>
              <w:ind w:left="1134"/>
              <w:jc w:val="center"/>
              <w:rPr>
                <w:rFonts w:ascii="Century Gothic" w:hAnsi="Century Gothic"/>
                <w:b/>
                <w:bCs/>
                <w:sz w:val="24"/>
                <w:szCs w:val="24"/>
              </w:rPr>
            </w:pPr>
          </w:p>
          <w:p w14:paraId="3D56A754" w14:textId="77777777" w:rsidR="00700CE7" w:rsidRDefault="00700CE7" w:rsidP="00CE4171">
            <w:pPr>
              <w:ind w:left="1134"/>
              <w:jc w:val="center"/>
              <w:rPr>
                <w:rFonts w:ascii="Century Gothic" w:hAnsi="Century Gothic"/>
                <w:b/>
                <w:bCs/>
                <w:sz w:val="24"/>
                <w:szCs w:val="24"/>
              </w:rPr>
            </w:pPr>
          </w:p>
          <w:p w14:paraId="6D4341D5" w14:textId="78628B55" w:rsidR="006E77CC" w:rsidRPr="00700CE7" w:rsidRDefault="00700CE7" w:rsidP="00CE4171">
            <w:pPr>
              <w:ind w:left="1134"/>
              <w:jc w:val="center"/>
              <w:rPr>
                <w:rFonts w:ascii="Century Gothic" w:hAnsi="Century Gothic"/>
                <w:b/>
                <w:bCs/>
                <w:sz w:val="24"/>
                <w:szCs w:val="24"/>
              </w:rPr>
            </w:pPr>
            <w:r>
              <w:rPr>
                <w:rFonts w:ascii="Century Gothic" w:hAnsi="Century Gothic"/>
                <w:b/>
                <w:bCs/>
                <w:sz w:val="24"/>
                <w:szCs w:val="24"/>
              </w:rPr>
              <w:t>D</w:t>
            </w:r>
            <w:r w:rsidR="00AC2CDF" w:rsidRPr="00700CE7">
              <w:rPr>
                <w:rFonts w:ascii="Century Gothic" w:hAnsi="Century Gothic"/>
                <w:b/>
                <w:bCs/>
                <w:sz w:val="24"/>
                <w:szCs w:val="24"/>
              </w:rPr>
              <w:t>IP. ROSANA DÍAZ REYES</w:t>
            </w:r>
          </w:p>
        </w:tc>
        <w:tc>
          <w:tcPr>
            <w:tcW w:w="4414" w:type="dxa"/>
            <w:vAlign w:val="bottom"/>
          </w:tcPr>
          <w:p w14:paraId="484182E3" w14:textId="77777777" w:rsidR="006E77CC" w:rsidRPr="00700CE7" w:rsidRDefault="006E77CC" w:rsidP="00CE4171">
            <w:pPr>
              <w:ind w:left="1134"/>
              <w:jc w:val="center"/>
              <w:rPr>
                <w:rFonts w:ascii="Century Gothic" w:hAnsi="Century Gothic"/>
                <w:b/>
                <w:bCs/>
                <w:sz w:val="24"/>
                <w:szCs w:val="24"/>
              </w:rPr>
            </w:pPr>
            <w:r w:rsidRPr="00700CE7">
              <w:rPr>
                <w:rFonts w:ascii="Century Gothic" w:hAnsi="Century Gothic"/>
                <w:b/>
                <w:bCs/>
                <w:sz w:val="24"/>
                <w:szCs w:val="24"/>
              </w:rPr>
              <w:t>DIP. GUSTAVO DE LA ROSA HICKERSON</w:t>
            </w:r>
          </w:p>
        </w:tc>
      </w:tr>
      <w:tr w:rsidR="00357149" w:rsidRPr="00700CE7" w14:paraId="5C752380" w14:textId="77777777" w:rsidTr="00700CE7">
        <w:trPr>
          <w:trHeight w:val="1984"/>
          <w:jc w:val="center"/>
        </w:trPr>
        <w:tc>
          <w:tcPr>
            <w:tcW w:w="4414" w:type="dxa"/>
            <w:vAlign w:val="bottom"/>
          </w:tcPr>
          <w:p w14:paraId="06653B0C" w14:textId="77777777" w:rsidR="006E77CC" w:rsidRPr="00700CE7" w:rsidRDefault="006E77CC" w:rsidP="00CE4171">
            <w:pPr>
              <w:ind w:left="1134"/>
              <w:jc w:val="center"/>
              <w:rPr>
                <w:rFonts w:ascii="Century Gothic" w:hAnsi="Century Gothic"/>
                <w:b/>
                <w:bCs/>
                <w:sz w:val="24"/>
                <w:szCs w:val="24"/>
              </w:rPr>
            </w:pPr>
            <w:r w:rsidRPr="00700CE7">
              <w:rPr>
                <w:rFonts w:ascii="Century Gothic" w:hAnsi="Century Gothic"/>
                <w:b/>
                <w:sz w:val="24"/>
                <w:szCs w:val="24"/>
              </w:rPr>
              <w:t>DIP. MAGDALENA RENTERÍA PÉREZ</w:t>
            </w:r>
          </w:p>
        </w:tc>
        <w:tc>
          <w:tcPr>
            <w:tcW w:w="4414" w:type="dxa"/>
            <w:vAlign w:val="bottom"/>
          </w:tcPr>
          <w:p w14:paraId="7496E8FD" w14:textId="77777777" w:rsidR="006E77CC" w:rsidRPr="00700CE7" w:rsidRDefault="006E77CC" w:rsidP="00CE4171">
            <w:pPr>
              <w:ind w:left="1134"/>
              <w:jc w:val="center"/>
              <w:rPr>
                <w:rFonts w:ascii="Century Gothic" w:hAnsi="Century Gothic"/>
                <w:b/>
                <w:bCs/>
                <w:sz w:val="24"/>
                <w:szCs w:val="24"/>
              </w:rPr>
            </w:pPr>
            <w:r w:rsidRPr="00700CE7">
              <w:rPr>
                <w:rFonts w:ascii="Century Gothic" w:hAnsi="Century Gothic"/>
                <w:b/>
                <w:bCs/>
                <w:sz w:val="24"/>
                <w:szCs w:val="24"/>
              </w:rPr>
              <w:t>DIP. MARÍA ANTONIETA PÉREZ REYES</w:t>
            </w:r>
          </w:p>
        </w:tc>
      </w:tr>
      <w:tr w:rsidR="00357149" w:rsidRPr="00700CE7" w14:paraId="5A63C6A0" w14:textId="77777777" w:rsidTr="00700CE7">
        <w:trPr>
          <w:trHeight w:val="1984"/>
          <w:jc w:val="center"/>
        </w:trPr>
        <w:tc>
          <w:tcPr>
            <w:tcW w:w="4414" w:type="dxa"/>
            <w:vAlign w:val="bottom"/>
          </w:tcPr>
          <w:p w14:paraId="14DFCD6E" w14:textId="77777777" w:rsidR="006E77CC" w:rsidRPr="00700CE7" w:rsidRDefault="006E77CC" w:rsidP="00CE4171">
            <w:pPr>
              <w:ind w:left="1134"/>
              <w:jc w:val="center"/>
              <w:rPr>
                <w:rFonts w:ascii="Century Gothic" w:hAnsi="Century Gothic"/>
                <w:b/>
                <w:bCs/>
                <w:sz w:val="24"/>
                <w:szCs w:val="24"/>
              </w:rPr>
            </w:pPr>
            <w:r w:rsidRPr="00700CE7">
              <w:rPr>
                <w:rFonts w:ascii="Century Gothic" w:hAnsi="Century Gothic"/>
                <w:b/>
                <w:bCs/>
                <w:sz w:val="24"/>
                <w:szCs w:val="24"/>
              </w:rPr>
              <w:t>DIP. ADRIANA TERRAZAS PORRAS</w:t>
            </w:r>
          </w:p>
        </w:tc>
        <w:tc>
          <w:tcPr>
            <w:tcW w:w="4414" w:type="dxa"/>
            <w:vAlign w:val="bottom"/>
          </w:tcPr>
          <w:p w14:paraId="68D8A5F6" w14:textId="77777777" w:rsidR="006E77CC" w:rsidRPr="00700CE7" w:rsidRDefault="006E77CC" w:rsidP="00CE4171">
            <w:pPr>
              <w:ind w:left="1134"/>
              <w:jc w:val="center"/>
              <w:rPr>
                <w:rFonts w:ascii="Century Gothic" w:hAnsi="Century Gothic"/>
                <w:b/>
                <w:bCs/>
                <w:sz w:val="24"/>
                <w:szCs w:val="24"/>
              </w:rPr>
            </w:pPr>
            <w:r w:rsidRPr="00700CE7">
              <w:rPr>
                <w:rFonts w:ascii="Century Gothic" w:hAnsi="Century Gothic"/>
                <w:b/>
                <w:bCs/>
                <w:sz w:val="24"/>
                <w:szCs w:val="24"/>
              </w:rPr>
              <w:t>DIP. BENJAMÍN CARRERA CHÁVEZ</w:t>
            </w:r>
          </w:p>
        </w:tc>
      </w:tr>
      <w:tr w:rsidR="006E77CC" w:rsidRPr="00700CE7" w14:paraId="503F1EF5" w14:textId="77777777" w:rsidTr="00700CE7">
        <w:trPr>
          <w:trHeight w:val="1984"/>
          <w:jc w:val="center"/>
        </w:trPr>
        <w:tc>
          <w:tcPr>
            <w:tcW w:w="4414" w:type="dxa"/>
            <w:vAlign w:val="bottom"/>
          </w:tcPr>
          <w:p w14:paraId="40C7D66B" w14:textId="77777777" w:rsidR="006E77CC" w:rsidRPr="00700CE7" w:rsidRDefault="006E77CC" w:rsidP="00CE4171">
            <w:pPr>
              <w:ind w:left="1134"/>
              <w:jc w:val="center"/>
              <w:rPr>
                <w:rFonts w:ascii="Century Gothic" w:hAnsi="Century Gothic"/>
                <w:b/>
                <w:bCs/>
                <w:sz w:val="24"/>
                <w:szCs w:val="24"/>
              </w:rPr>
            </w:pPr>
            <w:r w:rsidRPr="00700CE7">
              <w:rPr>
                <w:rFonts w:ascii="Century Gothic" w:hAnsi="Century Gothic"/>
                <w:b/>
                <w:bCs/>
                <w:sz w:val="24"/>
                <w:szCs w:val="24"/>
              </w:rPr>
              <w:t>DIP. DAVID ÓSCAR CASTREJÓN RIVAS</w:t>
            </w:r>
          </w:p>
        </w:tc>
        <w:tc>
          <w:tcPr>
            <w:tcW w:w="4414" w:type="dxa"/>
          </w:tcPr>
          <w:p w14:paraId="4D79AF19" w14:textId="77777777" w:rsidR="006E77CC" w:rsidRPr="00700CE7" w:rsidRDefault="006E77CC" w:rsidP="00CE4171">
            <w:pPr>
              <w:ind w:left="1134"/>
              <w:jc w:val="both"/>
              <w:rPr>
                <w:rFonts w:ascii="Century Gothic" w:hAnsi="Century Gothic"/>
                <w:b/>
                <w:sz w:val="24"/>
                <w:szCs w:val="24"/>
              </w:rPr>
            </w:pPr>
          </w:p>
        </w:tc>
      </w:tr>
    </w:tbl>
    <w:p w14:paraId="6E26BD36" w14:textId="77777777" w:rsidR="00ED0A16" w:rsidRPr="00700CE7" w:rsidRDefault="00ED0A16" w:rsidP="00CE4171">
      <w:pPr>
        <w:ind w:left="1134"/>
        <w:jc w:val="both"/>
        <w:rPr>
          <w:rFonts w:ascii="Century Gothic" w:hAnsi="Century Gothic"/>
          <w:b/>
          <w:sz w:val="24"/>
          <w:szCs w:val="24"/>
        </w:rPr>
      </w:pPr>
    </w:p>
    <w:sectPr w:rsidR="00ED0A16" w:rsidRPr="00700CE7" w:rsidSect="00CE4171">
      <w:headerReference w:type="default" r:id="rId8"/>
      <w:footerReference w:type="default" r:id="rId9"/>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3432F" w14:textId="77777777" w:rsidR="00791CDB" w:rsidRDefault="00791CDB" w:rsidP="00DB3697">
      <w:pPr>
        <w:spacing w:after="0" w:line="240" w:lineRule="auto"/>
      </w:pPr>
      <w:r>
        <w:separator/>
      </w:r>
    </w:p>
  </w:endnote>
  <w:endnote w:type="continuationSeparator" w:id="0">
    <w:p w14:paraId="6FBCC1A4" w14:textId="77777777" w:rsidR="00791CDB" w:rsidRDefault="00791CDB" w:rsidP="00DB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202958"/>
      <w:docPartObj>
        <w:docPartGallery w:val="Page Numbers (Bottom of Page)"/>
        <w:docPartUnique/>
      </w:docPartObj>
    </w:sdtPr>
    <w:sdtEndPr/>
    <w:sdtContent>
      <w:p w14:paraId="46BB4089" w14:textId="7273E964" w:rsidR="00700CE7" w:rsidRDefault="00700CE7">
        <w:pPr>
          <w:pStyle w:val="Piedepgina"/>
          <w:jc w:val="center"/>
        </w:pPr>
        <w:r>
          <w:fldChar w:fldCharType="begin"/>
        </w:r>
        <w:r>
          <w:instrText>PAGE   \* MERGEFORMAT</w:instrText>
        </w:r>
        <w:r>
          <w:fldChar w:fldCharType="separate"/>
        </w:r>
        <w:r w:rsidR="00C05898" w:rsidRPr="00C05898">
          <w:rPr>
            <w:noProof/>
            <w:lang w:val="es-ES"/>
          </w:rPr>
          <w:t>10</w:t>
        </w:r>
        <w:r>
          <w:fldChar w:fldCharType="end"/>
        </w:r>
      </w:p>
    </w:sdtContent>
  </w:sdt>
  <w:p w14:paraId="02E0C835" w14:textId="77777777" w:rsidR="004B5732" w:rsidRDefault="004B57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784EB" w14:textId="77777777" w:rsidR="00791CDB" w:rsidRDefault="00791CDB" w:rsidP="00DB3697">
      <w:pPr>
        <w:spacing w:after="0" w:line="240" w:lineRule="auto"/>
      </w:pPr>
      <w:r>
        <w:separator/>
      </w:r>
    </w:p>
  </w:footnote>
  <w:footnote w:type="continuationSeparator" w:id="0">
    <w:p w14:paraId="34F31047" w14:textId="77777777" w:rsidR="00791CDB" w:rsidRDefault="00791CDB" w:rsidP="00DB3697">
      <w:pPr>
        <w:spacing w:after="0" w:line="240" w:lineRule="auto"/>
      </w:pPr>
      <w:r>
        <w:continuationSeparator/>
      </w:r>
    </w:p>
  </w:footnote>
  <w:footnote w:id="1">
    <w:p w14:paraId="1DE19023" w14:textId="0B111F65" w:rsidR="00766107" w:rsidRPr="00766107" w:rsidRDefault="00766107" w:rsidP="00766107">
      <w:pPr>
        <w:jc w:val="both"/>
        <w:rPr>
          <w:rFonts w:ascii="Century Gothic" w:eastAsia="Calibri" w:hAnsi="Century Gothic" w:cs="Times New Roman"/>
          <w:sz w:val="18"/>
          <w:szCs w:val="24"/>
        </w:rPr>
      </w:pPr>
      <w:r>
        <w:rPr>
          <w:rStyle w:val="Refdenotaalpie"/>
        </w:rPr>
        <w:footnoteRef/>
      </w:r>
      <w:r>
        <w:t xml:space="preserve"> </w:t>
      </w:r>
      <w:r w:rsidRPr="00766107">
        <w:rPr>
          <w:rFonts w:ascii="Century Gothic" w:eastAsia="Calibri" w:hAnsi="Century Gothic" w:cs="Times New Roman"/>
          <w:bCs/>
          <w:sz w:val="18"/>
          <w:szCs w:val="24"/>
        </w:rPr>
        <w:t xml:space="preserve">Cuadro: RMM (Razón de la Mortalidad Materna), Chihuahua en comparación con el total de los estados que presentan casos RMM.   </w:t>
      </w:r>
      <w:hyperlink r:id="rId1" w:history="1">
        <w:r w:rsidRPr="00766107">
          <w:rPr>
            <w:rStyle w:val="Hipervnculo"/>
            <w:rFonts w:ascii="Century Gothic" w:eastAsia="Calibri" w:hAnsi="Century Gothic" w:cs="Times New Roman"/>
            <w:color w:val="auto"/>
            <w:sz w:val="18"/>
            <w:szCs w:val="24"/>
          </w:rPr>
          <w:t>https://www.gob.mx/salud/documentos/informes-semanales-para-la-vigilancia-epidemiologica-de-muertes-maternas-2022</w:t>
        </w:r>
      </w:hyperlink>
    </w:p>
    <w:p w14:paraId="0E05A32C" w14:textId="15F5A6D4" w:rsidR="00766107" w:rsidRPr="00766107" w:rsidRDefault="00766107">
      <w:pPr>
        <w:pStyle w:val="Textonotapie"/>
        <w:rPr>
          <w:sz w:val="14"/>
        </w:rPr>
      </w:pPr>
    </w:p>
  </w:footnote>
  <w:footnote w:id="2">
    <w:p w14:paraId="507D72E1" w14:textId="4059442A" w:rsidR="00766107" w:rsidRPr="00766107" w:rsidRDefault="00766107" w:rsidP="00766107">
      <w:pPr>
        <w:jc w:val="both"/>
        <w:rPr>
          <w:rFonts w:ascii="Century Gothic" w:eastAsia="Calibri" w:hAnsi="Century Gothic" w:cs="Times New Roman"/>
          <w:bCs/>
          <w:sz w:val="18"/>
          <w:szCs w:val="24"/>
        </w:rPr>
      </w:pPr>
      <w:r>
        <w:rPr>
          <w:rStyle w:val="Refdenotaalpie"/>
        </w:rPr>
        <w:footnoteRef/>
      </w:r>
      <w:r>
        <w:t xml:space="preserve"> </w:t>
      </w:r>
      <w:r w:rsidRPr="00766107">
        <w:rPr>
          <w:rFonts w:ascii="Century Gothic" w:eastAsia="Calibri" w:hAnsi="Century Gothic" w:cs="Times New Roman"/>
          <w:bCs/>
          <w:sz w:val="18"/>
          <w:szCs w:val="24"/>
        </w:rPr>
        <w:t>BIRMM: Búsqueda Intencionada y Reclasificación de las Muertes Maternas</w:t>
      </w:r>
      <w:r>
        <w:rPr>
          <w:rFonts w:ascii="Century Gothic" w:eastAsia="Calibri" w:hAnsi="Century Gothic" w:cs="Times New Roman"/>
          <w:bCs/>
          <w:sz w:val="18"/>
          <w:szCs w:val="24"/>
        </w:rPr>
        <w:t>.</w:t>
      </w:r>
    </w:p>
    <w:p w14:paraId="0B651701" w14:textId="13E97378" w:rsidR="00766107" w:rsidRPr="00766107" w:rsidRDefault="00766107">
      <w:pPr>
        <w:pStyle w:val="Textonotapie"/>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60C0B" w14:textId="77777777" w:rsidR="00DB3697" w:rsidRPr="00DB3697" w:rsidRDefault="00DB3697" w:rsidP="00DB3697">
    <w:pPr>
      <w:pStyle w:val="Encabezado"/>
      <w:jc w:val="right"/>
      <w:rPr>
        <w:b/>
        <w:bCs/>
        <w:i/>
        <w:iCs/>
      </w:rPr>
    </w:pPr>
    <w:r w:rsidRPr="00DB3697">
      <w:rPr>
        <w:b/>
        <w:bCs/>
        <w:i/>
        <w:iCs/>
      </w:rPr>
      <w:t>“2022, año de Ricardo Flores Magón, precursor de la Revolución Mexicana”</w:t>
    </w:r>
  </w:p>
  <w:p w14:paraId="55F8B279" w14:textId="77777777" w:rsidR="00DB3697" w:rsidRPr="00DB3697" w:rsidRDefault="00DB3697" w:rsidP="00DB3697">
    <w:pPr>
      <w:pStyle w:val="Encabezado"/>
      <w:jc w:val="right"/>
    </w:pPr>
    <w:r w:rsidRPr="00DB3697">
      <w:rPr>
        <w:b/>
        <w:bCs/>
        <w:i/>
        <w:iCs/>
      </w:rPr>
      <w:t>“2022, año del Centenario de la Llegada de la Comunidad Menonita a Chihuahua”</w:t>
    </w:r>
  </w:p>
  <w:p w14:paraId="40E3B9CD" w14:textId="77777777" w:rsidR="00DB3697" w:rsidRPr="00DB3697" w:rsidRDefault="00DB3697" w:rsidP="00DB3697">
    <w:pPr>
      <w:pStyle w:val="Encabezado"/>
      <w:jc w:val="right"/>
    </w:pPr>
  </w:p>
  <w:p w14:paraId="7B5BD23F" w14:textId="77777777" w:rsidR="00DB3697" w:rsidRPr="00DB3697" w:rsidRDefault="00DB3697" w:rsidP="00DB3697">
    <w:pPr>
      <w:pStyle w:val="Encabezado"/>
      <w:jc w:val="right"/>
      <w:rPr>
        <w:b/>
        <w:bCs/>
      </w:rPr>
    </w:pPr>
    <w:r w:rsidRPr="00DB3697">
      <w:rPr>
        <w:b/>
        <w:bCs/>
      </w:rPr>
      <w:t>Grupo Parlamentario de MORENA</w:t>
    </w:r>
  </w:p>
  <w:p w14:paraId="0C9DC6DB" w14:textId="77777777" w:rsidR="00DB3697" w:rsidRDefault="00DB36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099"/>
    <w:multiLevelType w:val="hybridMultilevel"/>
    <w:tmpl w:val="FC90BA5C"/>
    <w:lvl w:ilvl="0" w:tplc="7784A0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85BFA"/>
    <w:multiLevelType w:val="hybridMultilevel"/>
    <w:tmpl w:val="2098E6DC"/>
    <w:lvl w:ilvl="0" w:tplc="FFFFFFFF">
      <w:start w:val="1"/>
      <w:numFmt w:val="decimal"/>
      <w:lvlText w:val="%1."/>
      <w:lvlJc w:val="left"/>
      <w:pPr>
        <w:ind w:left="786"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21BB9"/>
    <w:multiLevelType w:val="hybridMultilevel"/>
    <w:tmpl w:val="99C8230A"/>
    <w:lvl w:ilvl="0" w:tplc="080A0001">
      <w:start w:val="1"/>
      <w:numFmt w:val="bullet"/>
      <w:lvlText w:val=""/>
      <w:lvlJc w:val="left"/>
      <w:pPr>
        <w:ind w:left="720" w:hanging="360"/>
      </w:pPr>
      <w:rPr>
        <w:rFonts w:ascii="Symbol" w:hAnsi="Symbol" w:hint="default"/>
      </w:rPr>
    </w:lvl>
    <w:lvl w:ilvl="1" w:tplc="B1A47C3C">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840B9A"/>
    <w:multiLevelType w:val="hybridMultilevel"/>
    <w:tmpl w:val="5262C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EF3F76"/>
    <w:multiLevelType w:val="hybridMultilevel"/>
    <w:tmpl w:val="2098E6DC"/>
    <w:lvl w:ilvl="0" w:tplc="FFFFFFFF">
      <w:start w:val="1"/>
      <w:numFmt w:val="decimal"/>
      <w:lvlText w:val="%1."/>
      <w:lvlJc w:val="left"/>
      <w:pPr>
        <w:ind w:left="786"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E27950"/>
    <w:multiLevelType w:val="hybridMultilevel"/>
    <w:tmpl w:val="64D01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F74C15"/>
    <w:multiLevelType w:val="hybridMultilevel"/>
    <w:tmpl w:val="2098E6DC"/>
    <w:lvl w:ilvl="0" w:tplc="35426BB4">
      <w:start w:val="1"/>
      <w:numFmt w:val="decimal"/>
      <w:lvlText w:val="%1."/>
      <w:lvlJc w:val="left"/>
      <w:pPr>
        <w:ind w:left="786"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249E5"/>
    <w:multiLevelType w:val="hybridMultilevel"/>
    <w:tmpl w:val="4EDA8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B1"/>
    <w:rsid w:val="0000091C"/>
    <w:rsid w:val="000023EA"/>
    <w:rsid w:val="00007066"/>
    <w:rsid w:val="00010C12"/>
    <w:rsid w:val="00030FCC"/>
    <w:rsid w:val="00054B8C"/>
    <w:rsid w:val="00062AAB"/>
    <w:rsid w:val="00065913"/>
    <w:rsid w:val="00081B0E"/>
    <w:rsid w:val="00086846"/>
    <w:rsid w:val="000969C9"/>
    <w:rsid w:val="000B33DA"/>
    <w:rsid w:val="000D3EAB"/>
    <w:rsid w:val="000D4FD1"/>
    <w:rsid w:val="000E793F"/>
    <w:rsid w:val="000E7C74"/>
    <w:rsid w:val="001016B6"/>
    <w:rsid w:val="00115223"/>
    <w:rsid w:val="0012022A"/>
    <w:rsid w:val="00134A31"/>
    <w:rsid w:val="001701DF"/>
    <w:rsid w:val="00173E91"/>
    <w:rsid w:val="0018410E"/>
    <w:rsid w:val="001D0AD3"/>
    <w:rsid w:val="001D5417"/>
    <w:rsid w:val="001F6C2C"/>
    <w:rsid w:val="00215C53"/>
    <w:rsid w:val="00223DCD"/>
    <w:rsid w:val="0023257C"/>
    <w:rsid w:val="00237E83"/>
    <w:rsid w:val="002437BC"/>
    <w:rsid w:val="00251BB8"/>
    <w:rsid w:val="002661BF"/>
    <w:rsid w:val="002671BB"/>
    <w:rsid w:val="0027620F"/>
    <w:rsid w:val="00277FEC"/>
    <w:rsid w:val="002807BC"/>
    <w:rsid w:val="00297983"/>
    <w:rsid w:val="002A13F2"/>
    <w:rsid w:val="002B5C6E"/>
    <w:rsid w:val="002E0FA0"/>
    <w:rsid w:val="002E395B"/>
    <w:rsid w:val="002F4911"/>
    <w:rsid w:val="003026D8"/>
    <w:rsid w:val="00326ECC"/>
    <w:rsid w:val="00345B31"/>
    <w:rsid w:val="0035324D"/>
    <w:rsid w:val="0035652A"/>
    <w:rsid w:val="00357149"/>
    <w:rsid w:val="003A2DA9"/>
    <w:rsid w:val="003A7104"/>
    <w:rsid w:val="003A7C1E"/>
    <w:rsid w:val="003D06F1"/>
    <w:rsid w:val="003D0E77"/>
    <w:rsid w:val="003F38AF"/>
    <w:rsid w:val="003F5459"/>
    <w:rsid w:val="004060A4"/>
    <w:rsid w:val="004303E9"/>
    <w:rsid w:val="004543CE"/>
    <w:rsid w:val="00487490"/>
    <w:rsid w:val="004B4A22"/>
    <w:rsid w:val="004B5732"/>
    <w:rsid w:val="004B6BC1"/>
    <w:rsid w:val="004C1DA7"/>
    <w:rsid w:val="004D4869"/>
    <w:rsid w:val="004F48BE"/>
    <w:rsid w:val="0050032F"/>
    <w:rsid w:val="00500AAA"/>
    <w:rsid w:val="00503841"/>
    <w:rsid w:val="00523F21"/>
    <w:rsid w:val="00551FD2"/>
    <w:rsid w:val="005629D3"/>
    <w:rsid w:val="00573192"/>
    <w:rsid w:val="005742A4"/>
    <w:rsid w:val="005855AB"/>
    <w:rsid w:val="0059299E"/>
    <w:rsid w:val="005A0FF6"/>
    <w:rsid w:val="005C00BD"/>
    <w:rsid w:val="005D534D"/>
    <w:rsid w:val="005F618B"/>
    <w:rsid w:val="00605E9B"/>
    <w:rsid w:val="00627EB3"/>
    <w:rsid w:val="00671EDD"/>
    <w:rsid w:val="006B54A9"/>
    <w:rsid w:val="006B7623"/>
    <w:rsid w:val="006C34A3"/>
    <w:rsid w:val="006E108E"/>
    <w:rsid w:val="006E2DFB"/>
    <w:rsid w:val="006E77CC"/>
    <w:rsid w:val="006F33E6"/>
    <w:rsid w:val="00700CE7"/>
    <w:rsid w:val="00703081"/>
    <w:rsid w:val="00706343"/>
    <w:rsid w:val="00712CA6"/>
    <w:rsid w:val="00713C03"/>
    <w:rsid w:val="0071498E"/>
    <w:rsid w:val="0073751D"/>
    <w:rsid w:val="00745B34"/>
    <w:rsid w:val="007461DA"/>
    <w:rsid w:val="00764E7F"/>
    <w:rsid w:val="00766107"/>
    <w:rsid w:val="00776439"/>
    <w:rsid w:val="00791CDB"/>
    <w:rsid w:val="0079357C"/>
    <w:rsid w:val="007A5070"/>
    <w:rsid w:val="007A5DA8"/>
    <w:rsid w:val="007D3A3E"/>
    <w:rsid w:val="00803E74"/>
    <w:rsid w:val="00804AC6"/>
    <w:rsid w:val="00816717"/>
    <w:rsid w:val="00823413"/>
    <w:rsid w:val="0082629A"/>
    <w:rsid w:val="00832A5E"/>
    <w:rsid w:val="008376D6"/>
    <w:rsid w:val="00840938"/>
    <w:rsid w:val="0086508C"/>
    <w:rsid w:val="00866466"/>
    <w:rsid w:val="00883A33"/>
    <w:rsid w:val="008851A9"/>
    <w:rsid w:val="00893C9D"/>
    <w:rsid w:val="0089480F"/>
    <w:rsid w:val="008A2B93"/>
    <w:rsid w:val="008C027E"/>
    <w:rsid w:val="008C1591"/>
    <w:rsid w:val="008E0931"/>
    <w:rsid w:val="00901831"/>
    <w:rsid w:val="00907D63"/>
    <w:rsid w:val="009168B2"/>
    <w:rsid w:val="00937CB8"/>
    <w:rsid w:val="0097023F"/>
    <w:rsid w:val="00993E08"/>
    <w:rsid w:val="009A4E8A"/>
    <w:rsid w:val="009B06F3"/>
    <w:rsid w:val="009C623A"/>
    <w:rsid w:val="009D3022"/>
    <w:rsid w:val="009E095A"/>
    <w:rsid w:val="009E418E"/>
    <w:rsid w:val="00A20FB1"/>
    <w:rsid w:val="00A2628E"/>
    <w:rsid w:val="00A654FE"/>
    <w:rsid w:val="00A724AD"/>
    <w:rsid w:val="00A851C7"/>
    <w:rsid w:val="00A96C8F"/>
    <w:rsid w:val="00A97AAF"/>
    <w:rsid w:val="00AA776E"/>
    <w:rsid w:val="00AB2FDE"/>
    <w:rsid w:val="00AB67B7"/>
    <w:rsid w:val="00AC2CDF"/>
    <w:rsid w:val="00AD5307"/>
    <w:rsid w:val="00AD7040"/>
    <w:rsid w:val="00B06FBD"/>
    <w:rsid w:val="00B11BBB"/>
    <w:rsid w:val="00B367D7"/>
    <w:rsid w:val="00B528AC"/>
    <w:rsid w:val="00B52BDC"/>
    <w:rsid w:val="00B80E01"/>
    <w:rsid w:val="00B910E8"/>
    <w:rsid w:val="00BA6A67"/>
    <w:rsid w:val="00BB00CD"/>
    <w:rsid w:val="00BB5219"/>
    <w:rsid w:val="00BC0220"/>
    <w:rsid w:val="00BC0BD2"/>
    <w:rsid w:val="00BD4889"/>
    <w:rsid w:val="00BD5F83"/>
    <w:rsid w:val="00BE2795"/>
    <w:rsid w:val="00BF607E"/>
    <w:rsid w:val="00BF7FCD"/>
    <w:rsid w:val="00C0067B"/>
    <w:rsid w:val="00C0353C"/>
    <w:rsid w:val="00C05898"/>
    <w:rsid w:val="00C10017"/>
    <w:rsid w:val="00C12324"/>
    <w:rsid w:val="00C30907"/>
    <w:rsid w:val="00C5059C"/>
    <w:rsid w:val="00C538EB"/>
    <w:rsid w:val="00C87F25"/>
    <w:rsid w:val="00C93C96"/>
    <w:rsid w:val="00CA0949"/>
    <w:rsid w:val="00CA0AC6"/>
    <w:rsid w:val="00CA50A8"/>
    <w:rsid w:val="00CB1E1D"/>
    <w:rsid w:val="00CB26EE"/>
    <w:rsid w:val="00CB7F61"/>
    <w:rsid w:val="00CE0903"/>
    <w:rsid w:val="00CE4171"/>
    <w:rsid w:val="00D2491D"/>
    <w:rsid w:val="00D27687"/>
    <w:rsid w:val="00D50382"/>
    <w:rsid w:val="00D64166"/>
    <w:rsid w:val="00D651B6"/>
    <w:rsid w:val="00D779A1"/>
    <w:rsid w:val="00D82151"/>
    <w:rsid w:val="00D85C97"/>
    <w:rsid w:val="00D91F86"/>
    <w:rsid w:val="00DB3697"/>
    <w:rsid w:val="00DE509F"/>
    <w:rsid w:val="00E12809"/>
    <w:rsid w:val="00E13C0A"/>
    <w:rsid w:val="00E147DF"/>
    <w:rsid w:val="00E33203"/>
    <w:rsid w:val="00E3517D"/>
    <w:rsid w:val="00E648DF"/>
    <w:rsid w:val="00E7118D"/>
    <w:rsid w:val="00E83627"/>
    <w:rsid w:val="00EA15F8"/>
    <w:rsid w:val="00EA34E2"/>
    <w:rsid w:val="00EC5388"/>
    <w:rsid w:val="00ED0A16"/>
    <w:rsid w:val="00ED6C94"/>
    <w:rsid w:val="00EE14C1"/>
    <w:rsid w:val="00EE7FB5"/>
    <w:rsid w:val="00EF2BBB"/>
    <w:rsid w:val="00F04222"/>
    <w:rsid w:val="00F0624D"/>
    <w:rsid w:val="00F1495C"/>
    <w:rsid w:val="00F22E6F"/>
    <w:rsid w:val="00F3714A"/>
    <w:rsid w:val="00F41238"/>
    <w:rsid w:val="00F64F7F"/>
    <w:rsid w:val="00F83D28"/>
    <w:rsid w:val="00F90CBB"/>
    <w:rsid w:val="00FA060A"/>
    <w:rsid w:val="00FC1989"/>
    <w:rsid w:val="00FC2163"/>
    <w:rsid w:val="00FC7099"/>
    <w:rsid w:val="00FD324D"/>
    <w:rsid w:val="00FE2245"/>
    <w:rsid w:val="00FF03A7"/>
    <w:rsid w:val="00FF28AF"/>
    <w:rsid w:val="00FF6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6269"/>
  <w15:chartTrackingRefBased/>
  <w15:docId w15:val="{8A869A3D-19F1-43B4-95D7-6709C7C3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2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6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697"/>
  </w:style>
  <w:style w:type="paragraph" w:styleId="Piedepgina">
    <w:name w:val="footer"/>
    <w:basedOn w:val="Normal"/>
    <w:link w:val="PiedepginaCar"/>
    <w:uiPriority w:val="99"/>
    <w:unhideWhenUsed/>
    <w:rsid w:val="00DB36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697"/>
  </w:style>
  <w:style w:type="paragraph" w:styleId="Prrafodelista">
    <w:name w:val="List Paragraph"/>
    <w:basedOn w:val="Normal"/>
    <w:uiPriority w:val="34"/>
    <w:qFormat/>
    <w:rsid w:val="00DB3697"/>
    <w:pPr>
      <w:ind w:left="720"/>
      <w:contextualSpacing/>
    </w:pPr>
  </w:style>
  <w:style w:type="character" w:styleId="Hipervnculo">
    <w:name w:val="Hyperlink"/>
    <w:basedOn w:val="Fuentedeprrafopredeter"/>
    <w:uiPriority w:val="99"/>
    <w:unhideWhenUsed/>
    <w:rsid w:val="006F33E6"/>
    <w:rPr>
      <w:color w:val="0563C1" w:themeColor="hyperlink"/>
      <w:u w:val="single"/>
    </w:rPr>
  </w:style>
  <w:style w:type="character" w:customStyle="1" w:styleId="UnresolvedMention">
    <w:name w:val="Unresolved Mention"/>
    <w:basedOn w:val="Fuentedeprrafopredeter"/>
    <w:uiPriority w:val="99"/>
    <w:semiHidden/>
    <w:unhideWhenUsed/>
    <w:rsid w:val="006F33E6"/>
    <w:rPr>
      <w:color w:val="605E5C"/>
      <w:shd w:val="clear" w:color="auto" w:fill="E1DFDD"/>
    </w:rPr>
  </w:style>
  <w:style w:type="table" w:customStyle="1" w:styleId="Tablaconcuadrcula1">
    <w:name w:val="Tabla con cuadrícula1"/>
    <w:basedOn w:val="Tablanormal"/>
    <w:next w:val="Tablaconcuadrcula"/>
    <w:uiPriority w:val="39"/>
    <w:rsid w:val="00F1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1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661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6107"/>
    <w:rPr>
      <w:sz w:val="20"/>
      <w:szCs w:val="20"/>
    </w:rPr>
  </w:style>
  <w:style w:type="character" w:styleId="Refdenotaalpie">
    <w:name w:val="footnote reference"/>
    <w:basedOn w:val="Fuentedeprrafopredeter"/>
    <w:uiPriority w:val="99"/>
    <w:semiHidden/>
    <w:unhideWhenUsed/>
    <w:rsid w:val="00766107"/>
    <w:rPr>
      <w:vertAlign w:val="superscript"/>
    </w:rPr>
  </w:style>
  <w:style w:type="paragraph" w:styleId="Sinespaciado">
    <w:name w:val="No Spacing"/>
    <w:uiPriority w:val="1"/>
    <w:qFormat/>
    <w:rsid w:val="00CE4171"/>
    <w:pPr>
      <w:spacing w:after="0" w:line="240" w:lineRule="auto"/>
    </w:pPr>
  </w:style>
  <w:style w:type="paragraph" w:styleId="Textodeglobo">
    <w:name w:val="Balloon Text"/>
    <w:basedOn w:val="Normal"/>
    <w:link w:val="TextodegloboCar"/>
    <w:uiPriority w:val="99"/>
    <w:semiHidden/>
    <w:unhideWhenUsed/>
    <w:rsid w:val="00CE41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4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salud/documentos/informes-semanales-para-la-vigilancia-epidemiologica-de-muertes-maternas-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99A44-C7D0-4DF0-9386-417F62B0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2167</Words>
  <Characters>11923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Segovia</dc:creator>
  <cp:keywords/>
  <dc:description/>
  <cp:lastModifiedBy>Sonia Pérez Chacón</cp:lastModifiedBy>
  <cp:revision>2</cp:revision>
  <cp:lastPrinted>2022-05-12T16:59:00Z</cp:lastPrinted>
  <dcterms:created xsi:type="dcterms:W3CDTF">2022-05-12T17:00:00Z</dcterms:created>
  <dcterms:modified xsi:type="dcterms:W3CDTF">2022-05-12T17:00:00Z</dcterms:modified>
</cp:coreProperties>
</file>