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E94A7" w14:textId="77777777" w:rsidR="00137934" w:rsidRPr="005C724D" w:rsidRDefault="00137934" w:rsidP="005C724D">
      <w:pPr>
        <w:pStyle w:val="Default"/>
        <w:spacing w:line="276" w:lineRule="auto"/>
        <w:jc w:val="both"/>
        <w:rPr>
          <w:rFonts w:ascii="Century Gothic" w:hAnsi="Century Gothic" w:cs="Arial"/>
          <w:b/>
          <w:color w:val="auto"/>
          <w:lang w:val="es-ES_tradnl"/>
        </w:rPr>
      </w:pPr>
    </w:p>
    <w:p w14:paraId="393E1CED" w14:textId="7C115A75" w:rsidR="00911781" w:rsidRPr="005C724D" w:rsidRDefault="00911781" w:rsidP="005C724D">
      <w:pPr>
        <w:pStyle w:val="Default"/>
        <w:spacing w:line="276" w:lineRule="auto"/>
        <w:jc w:val="both"/>
        <w:rPr>
          <w:rFonts w:ascii="Century Gothic" w:hAnsi="Century Gothic" w:cs="Arial"/>
          <w:b/>
          <w:color w:val="auto"/>
          <w:lang w:val="es-ES_tradnl"/>
        </w:rPr>
      </w:pPr>
      <w:r w:rsidRPr="005C724D">
        <w:rPr>
          <w:rFonts w:ascii="Century Gothic" w:hAnsi="Century Gothic" w:cs="Arial"/>
          <w:b/>
          <w:color w:val="auto"/>
          <w:lang w:val="es-ES_tradnl"/>
        </w:rPr>
        <w:t>H</w:t>
      </w:r>
      <w:r w:rsidR="009B4D2C" w:rsidRPr="005C724D">
        <w:rPr>
          <w:rFonts w:ascii="Century Gothic" w:hAnsi="Century Gothic" w:cs="Arial"/>
          <w:b/>
          <w:color w:val="auto"/>
          <w:lang w:val="es-ES_tradnl"/>
        </w:rPr>
        <w:t>. CONGRESO DEL ESTADO DE CHIHUAHUA</w:t>
      </w:r>
    </w:p>
    <w:p w14:paraId="1EE87B41" w14:textId="790F9D04" w:rsidR="00911781" w:rsidRPr="005C724D" w:rsidRDefault="00911781" w:rsidP="005C724D">
      <w:pPr>
        <w:pStyle w:val="Default"/>
        <w:spacing w:line="276" w:lineRule="auto"/>
        <w:jc w:val="both"/>
        <w:rPr>
          <w:rFonts w:ascii="Century Gothic" w:hAnsi="Century Gothic" w:cs="Arial"/>
          <w:b/>
          <w:color w:val="auto"/>
          <w:lang w:val="es-ES_tradnl"/>
        </w:rPr>
      </w:pPr>
      <w:r w:rsidRPr="005C724D">
        <w:rPr>
          <w:rFonts w:ascii="Century Gothic" w:hAnsi="Century Gothic" w:cs="Arial"/>
          <w:b/>
          <w:color w:val="auto"/>
          <w:lang w:val="es-ES_tradnl"/>
        </w:rPr>
        <w:t>P R E S E N T E.-</w:t>
      </w:r>
    </w:p>
    <w:p w14:paraId="57CD2735" w14:textId="77777777" w:rsidR="00911781" w:rsidRPr="005C724D" w:rsidRDefault="00911781" w:rsidP="005C724D">
      <w:pPr>
        <w:pStyle w:val="Default"/>
        <w:spacing w:line="276" w:lineRule="auto"/>
        <w:ind w:firstLine="708"/>
        <w:jc w:val="both"/>
        <w:rPr>
          <w:rFonts w:ascii="Century Gothic" w:hAnsi="Century Gothic" w:cs="Arial"/>
          <w:color w:val="auto"/>
          <w:lang w:val="es-ES_tradnl"/>
        </w:rPr>
      </w:pPr>
    </w:p>
    <w:p w14:paraId="7465F7BD" w14:textId="6E7CC886" w:rsidR="00911781" w:rsidRPr="005C724D" w:rsidRDefault="00DB0BAB" w:rsidP="005C724D">
      <w:pPr>
        <w:pStyle w:val="Default"/>
        <w:spacing w:line="276" w:lineRule="auto"/>
        <w:ind w:firstLine="708"/>
        <w:jc w:val="both"/>
        <w:rPr>
          <w:rFonts w:ascii="Century Gothic" w:hAnsi="Century Gothic" w:cs="Arial"/>
          <w:color w:val="auto"/>
          <w:lang w:val="es-ES_tradnl"/>
        </w:rPr>
      </w:pPr>
      <w:r w:rsidRPr="005C724D">
        <w:rPr>
          <w:rFonts w:ascii="Century Gothic" w:hAnsi="Century Gothic" w:cs="Arial"/>
          <w:bCs/>
          <w:color w:val="auto"/>
          <w:lang w:val="es-ES_tradnl"/>
        </w:rPr>
        <w:t xml:space="preserve">Quien suscribe, </w:t>
      </w:r>
      <w:r w:rsidR="00694639" w:rsidRPr="005C724D">
        <w:rPr>
          <w:rFonts w:ascii="Century Gothic" w:hAnsi="Century Gothic" w:cs="Arial"/>
          <w:b/>
          <w:bCs/>
          <w:color w:val="auto"/>
          <w:lang w:val="es-ES_tradnl"/>
        </w:rPr>
        <w:t xml:space="preserve">Isela Martínez Díaz </w:t>
      </w:r>
      <w:r w:rsidR="00911781" w:rsidRPr="005C724D">
        <w:rPr>
          <w:rFonts w:ascii="Century Gothic" w:hAnsi="Century Gothic" w:cs="Arial"/>
          <w:color w:val="auto"/>
          <w:lang w:val="es-ES_tradnl"/>
        </w:rPr>
        <w:t xml:space="preserve">Diputada en la Sexagésima </w:t>
      </w:r>
      <w:r w:rsidR="00694639" w:rsidRPr="005C724D">
        <w:rPr>
          <w:rFonts w:ascii="Century Gothic" w:hAnsi="Century Gothic" w:cs="Arial"/>
          <w:color w:val="auto"/>
          <w:lang w:val="es-ES_tradnl"/>
        </w:rPr>
        <w:t>Séptima</w:t>
      </w:r>
      <w:r w:rsidR="00911781" w:rsidRPr="005C724D">
        <w:rPr>
          <w:rFonts w:ascii="Century Gothic" w:hAnsi="Century Gothic" w:cs="Arial"/>
          <w:color w:val="auto"/>
          <w:lang w:val="es-ES_tradnl"/>
        </w:rPr>
        <w:t xml:space="preserve"> Legislatura e integrante del Grupo Parlamentario del Partido Acción Nacional, con fundamento en los artículos 68 fracción I</w:t>
      </w:r>
      <w:r w:rsidR="00512F5D" w:rsidRPr="005C724D">
        <w:rPr>
          <w:rFonts w:ascii="Century Gothic" w:hAnsi="Century Gothic" w:cs="Arial"/>
          <w:color w:val="auto"/>
          <w:lang w:val="es-ES_tradnl"/>
        </w:rPr>
        <w:t xml:space="preserve"> </w:t>
      </w:r>
      <w:r w:rsidR="00911781" w:rsidRPr="005C724D">
        <w:rPr>
          <w:rFonts w:ascii="Century Gothic" w:hAnsi="Century Gothic" w:cs="Arial"/>
          <w:color w:val="auto"/>
          <w:lang w:val="es-ES_tradnl"/>
        </w:rPr>
        <w:t>y 82 fracción X, de la Constitución Política del estado de Chihuahua, correlacionados con el artículo 167, fracción I de la Ley Orgánica del Poder Legislativo del Estado y los correlativos 7</w:t>
      </w:r>
      <w:r w:rsidR="00512F5D" w:rsidRPr="005C724D">
        <w:rPr>
          <w:rFonts w:ascii="Century Gothic" w:hAnsi="Century Gothic" w:cs="Arial"/>
          <w:color w:val="auto"/>
          <w:lang w:val="es-ES_tradnl"/>
        </w:rPr>
        <w:t>5, 7</w:t>
      </w:r>
      <w:r w:rsidR="00911781" w:rsidRPr="005C724D">
        <w:rPr>
          <w:rFonts w:ascii="Century Gothic" w:hAnsi="Century Gothic" w:cs="Arial"/>
          <w:color w:val="auto"/>
          <w:lang w:val="es-ES_tradnl"/>
        </w:rPr>
        <w:t>6 y 77 del Reglamento Interior y de Práctica</w:t>
      </w:r>
      <w:r w:rsidRPr="005C724D">
        <w:rPr>
          <w:rFonts w:ascii="Century Gothic" w:hAnsi="Century Gothic" w:cs="Arial"/>
          <w:color w:val="auto"/>
          <w:lang w:val="es-ES_tradnl"/>
        </w:rPr>
        <w:t>s Parlamentarias, es q</w:t>
      </w:r>
      <w:r w:rsidR="003C36BE" w:rsidRPr="005C724D">
        <w:rPr>
          <w:rFonts w:ascii="Century Gothic" w:hAnsi="Century Gothic" w:cs="Arial"/>
          <w:color w:val="auto"/>
          <w:lang w:val="es-ES_tradnl"/>
        </w:rPr>
        <w:t>ué, someto</w:t>
      </w:r>
      <w:r w:rsidR="00911781" w:rsidRPr="005C724D">
        <w:rPr>
          <w:rFonts w:ascii="Century Gothic" w:hAnsi="Century Gothic" w:cs="Arial"/>
          <w:color w:val="auto"/>
          <w:lang w:val="es-ES_tradnl"/>
        </w:rPr>
        <w:t xml:space="preserve"> a consideración </w:t>
      </w:r>
      <w:r w:rsidR="00512F5D" w:rsidRPr="005C724D">
        <w:rPr>
          <w:rFonts w:ascii="Century Gothic" w:hAnsi="Century Gothic" w:cs="Arial"/>
          <w:color w:val="auto"/>
          <w:lang w:val="es-ES_tradnl"/>
        </w:rPr>
        <w:t xml:space="preserve">de </w:t>
      </w:r>
      <w:r w:rsidR="00911781" w:rsidRPr="005C724D">
        <w:rPr>
          <w:rFonts w:ascii="Century Gothic" w:hAnsi="Century Gothic" w:cs="Arial"/>
          <w:color w:val="auto"/>
          <w:lang w:val="es-ES_tradnl"/>
        </w:rPr>
        <w:t xml:space="preserve">esta Honorable Asamblea, iniciativa con carácter de Decreto </w:t>
      </w:r>
      <w:r w:rsidR="00512F5D" w:rsidRPr="005C724D">
        <w:rPr>
          <w:rFonts w:ascii="Century Gothic" w:hAnsi="Century Gothic" w:cs="Arial"/>
          <w:color w:val="auto"/>
          <w:lang w:val="es-ES_tradnl"/>
        </w:rPr>
        <w:t>a efecto de</w:t>
      </w:r>
      <w:r w:rsidR="003A44BE" w:rsidRPr="005C724D">
        <w:rPr>
          <w:rFonts w:ascii="Century Gothic" w:hAnsi="Century Gothic" w:cs="Arial"/>
          <w:color w:val="auto"/>
          <w:lang w:val="es-ES_tradnl"/>
        </w:rPr>
        <w:t xml:space="preserve"> reformar el artículo 67 del Código Penal del estado de Chihuahua</w:t>
      </w:r>
      <w:r w:rsidR="00512F5D" w:rsidRPr="005C724D">
        <w:rPr>
          <w:rFonts w:ascii="Century Gothic" w:hAnsi="Century Gothic" w:cs="Arial"/>
          <w:color w:val="auto"/>
          <w:lang w:val="es-ES_tradnl"/>
        </w:rPr>
        <w:t xml:space="preserve"> </w:t>
      </w:r>
      <w:r w:rsidR="008D3E4F" w:rsidRPr="005C724D">
        <w:rPr>
          <w:rFonts w:ascii="Century Gothic" w:hAnsi="Century Gothic" w:cs="Arial"/>
          <w:color w:val="auto"/>
          <w:lang w:val="es-ES_tradnl"/>
        </w:rPr>
        <w:t xml:space="preserve">con el fin de </w:t>
      </w:r>
      <w:r w:rsidR="005C724D" w:rsidRPr="005C724D">
        <w:rPr>
          <w:rFonts w:ascii="Century Gothic" w:hAnsi="Century Gothic" w:cs="Arial"/>
          <w:color w:val="auto"/>
          <w:lang w:val="es-ES_tradnl"/>
        </w:rPr>
        <w:t xml:space="preserve">armonizarlo </w:t>
      </w:r>
      <w:r w:rsidR="003A44BE" w:rsidRPr="005C724D">
        <w:rPr>
          <w:rFonts w:ascii="Century Gothic" w:hAnsi="Century Gothic" w:cs="Arial"/>
          <w:color w:val="auto"/>
          <w:lang w:val="es-ES_tradnl"/>
        </w:rPr>
        <w:t xml:space="preserve">con el </w:t>
      </w:r>
      <w:r w:rsidR="00B357C0" w:rsidRPr="005C724D">
        <w:rPr>
          <w:rFonts w:ascii="Century Gothic" w:hAnsi="Century Gothic" w:cs="Arial"/>
          <w:color w:val="auto"/>
          <w:lang w:val="es-ES_tradnl"/>
        </w:rPr>
        <w:t xml:space="preserve">artículo 410 del </w:t>
      </w:r>
      <w:r w:rsidR="003A44BE" w:rsidRPr="005C724D">
        <w:rPr>
          <w:rFonts w:ascii="Century Gothic" w:hAnsi="Century Gothic" w:cs="Arial"/>
          <w:color w:val="auto"/>
          <w:lang w:val="es-ES_tradnl"/>
        </w:rPr>
        <w:t>Código Nacional de Procedimientos Penales</w:t>
      </w:r>
      <w:r w:rsidR="00B357C0" w:rsidRPr="005C724D">
        <w:rPr>
          <w:rFonts w:ascii="Century Gothic" w:hAnsi="Century Gothic" w:cs="Arial"/>
          <w:color w:val="auto"/>
          <w:lang w:val="es-ES_tradnl"/>
        </w:rPr>
        <w:t xml:space="preserve"> y así evitar </w:t>
      </w:r>
      <w:r w:rsidR="005D7D0F" w:rsidRPr="005C724D">
        <w:rPr>
          <w:rFonts w:ascii="Century Gothic" w:hAnsi="Century Gothic" w:cs="Arial"/>
          <w:color w:val="auto"/>
          <w:lang w:val="es-ES_tradnl"/>
        </w:rPr>
        <w:t xml:space="preserve">que </w:t>
      </w:r>
      <w:r w:rsidR="005D7D0F" w:rsidRPr="005C724D">
        <w:rPr>
          <w:rFonts w:ascii="Century Gothic" w:hAnsi="Century Gothic" w:cs="Arial"/>
          <w:bCs/>
          <w:iCs/>
        </w:rPr>
        <w:t xml:space="preserve">los operadores del sistema penal tengan confusión </w:t>
      </w:r>
      <w:r w:rsidR="005C724D" w:rsidRPr="005C724D">
        <w:rPr>
          <w:rFonts w:ascii="Century Gothic" w:hAnsi="Century Gothic" w:cs="Arial"/>
          <w:bCs/>
          <w:iCs/>
        </w:rPr>
        <w:t xml:space="preserve">en </w:t>
      </w:r>
      <w:r w:rsidR="005C724D" w:rsidRPr="005C724D">
        <w:rPr>
          <w:rFonts w:ascii="Century Gothic" w:hAnsi="Century Gothic" w:cs="Arial"/>
          <w:color w:val="auto"/>
          <w:lang w:val="es-ES_tradnl"/>
        </w:rPr>
        <w:t xml:space="preserve">los criterios de la individualización de la sanción penal </w:t>
      </w:r>
      <w:r w:rsidR="005C724D">
        <w:rPr>
          <w:rFonts w:ascii="Century Gothic" w:hAnsi="Century Gothic" w:cs="Arial"/>
          <w:color w:val="auto"/>
          <w:lang w:val="es-ES_tradnl"/>
        </w:rPr>
        <w:t>y lo</w:t>
      </w:r>
      <w:r w:rsidR="00512F5D" w:rsidRPr="005C724D">
        <w:rPr>
          <w:rFonts w:ascii="Century Gothic" w:hAnsi="Century Gothic" w:cs="Arial"/>
          <w:color w:val="auto"/>
          <w:lang w:val="es-ES_tradnl"/>
        </w:rPr>
        <w:t xml:space="preserve"> realizo al tenor de la siguiente:</w:t>
      </w:r>
    </w:p>
    <w:p w14:paraId="06DE058D" w14:textId="77777777" w:rsidR="00911781" w:rsidRPr="005C724D" w:rsidRDefault="00911781" w:rsidP="005C724D">
      <w:pPr>
        <w:spacing w:after="0"/>
        <w:jc w:val="both"/>
        <w:rPr>
          <w:rFonts w:ascii="Century Gothic" w:hAnsi="Century Gothic" w:cs="Arial"/>
          <w:b/>
          <w:sz w:val="24"/>
          <w:szCs w:val="24"/>
          <w:lang w:val="es-ES_tradnl"/>
        </w:rPr>
      </w:pPr>
    </w:p>
    <w:p w14:paraId="661ED277" w14:textId="17BB5896" w:rsidR="004A3C0B" w:rsidRPr="005C724D" w:rsidRDefault="00911781" w:rsidP="005C724D">
      <w:pPr>
        <w:jc w:val="center"/>
        <w:rPr>
          <w:rFonts w:ascii="Century Gothic" w:hAnsi="Century Gothic" w:cs="Arial"/>
          <w:b/>
          <w:sz w:val="24"/>
          <w:szCs w:val="24"/>
          <w:lang w:val="es-ES_tradnl"/>
        </w:rPr>
      </w:pPr>
      <w:r w:rsidRPr="005C724D">
        <w:rPr>
          <w:rFonts w:ascii="Century Gothic" w:hAnsi="Century Gothic" w:cs="Arial"/>
          <w:b/>
          <w:sz w:val="24"/>
          <w:szCs w:val="24"/>
          <w:lang w:val="es-ES_tradnl"/>
        </w:rPr>
        <w:t>EXPOSICIÓN DE MOTIVOS:</w:t>
      </w:r>
    </w:p>
    <w:p w14:paraId="69617AB9" w14:textId="1C10C22C" w:rsidR="003A44BE" w:rsidRPr="005C724D" w:rsidRDefault="00B357C0" w:rsidP="005C724D">
      <w:pPr>
        <w:ind w:firstLine="708"/>
        <w:jc w:val="both"/>
        <w:rPr>
          <w:rFonts w:ascii="Century Gothic" w:hAnsi="Century Gothic" w:cs="Arial"/>
          <w:sz w:val="24"/>
          <w:szCs w:val="24"/>
          <w:lang w:val="es-ES_tradnl"/>
        </w:rPr>
      </w:pPr>
      <w:r w:rsidRPr="005C724D">
        <w:rPr>
          <w:rFonts w:ascii="Century Gothic" w:hAnsi="Century Gothic" w:cs="Arial"/>
          <w:sz w:val="24"/>
          <w:szCs w:val="24"/>
          <w:lang w:val="es-ES_tradnl"/>
        </w:rPr>
        <w:t>La legislación mexicana en materia punitiva no establece un sistema de pena exacta y única para cada hecho, ni un sistema de penas i</w:t>
      </w:r>
      <w:r w:rsidR="00FF64C2" w:rsidRPr="005C724D">
        <w:rPr>
          <w:rFonts w:ascii="Century Gothic" w:hAnsi="Century Gothic" w:cs="Arial"/>
          <w:sz w:val="24"/>
          <w:szCs w:val="24"/>
          <w:lang w:val="es-ES_tradnl"/>
        </w:rPr>
        <w:t xml:space="preserve">ndeterminadas, debido a que, </w:t>
      </w:r>
      <w:r w:rsidRPr="005C724D">
        <w:rPr>
          <w:rFonts w:ascii="Century Gothic" w:hAnsi="Century Gothic" w:cs="Arial"/>
          <w:sz w:val="24"/>
          <w:szCs w:val="24"/>
          <w:lang w:val="es-ES_tradnl"/>
        </w:rPr>
        <w:t>el primero imposibilitaría adecuar la pena al caso concreto y el segundo produciría inseguridad jur</w:t>
      </w:r>
      <w:r w:rsidR="00FF64C2" w:rsidRPr="005C724D">
        <w:rPr>
          <w:rFonts w:ascii="Century Gothic" w:hAnsi="Century Gothic" w:cs="Arial"/>
          <w:sz w:val="24"/>
          <w:szCs w:val="24"/>
          <w:lang w:val="es-ES_tradnl"/>
        </w:rPr>
        <w:t xml:space="preserve">ídica, </w:t>
      </w:r>
      <w:r w:rsidRPr="005C724D">
        <w:rPr>
          <w:rFonts w:ascii="Century Gothic" w:hAnsi="Century Gothic" w:cs="Arial"/>
          <w:sz w:val="24"/>
          <w:szCs w:val="24"/>
          <w:lang w:val="es-ES_tradnl"/>
        </w:rPr>
        <w:t>ya que</w:t>
      </w:r>
      <w:r w:rsidR="00FF64C2" w:rsidRPr="005C724D">
        <w:rPr>
          <w:rFonts w:ascii="Century Gothic" w:hAnsi="Century Gothic" w:cs="Arial"/>
          <w:sz w:val="24"/>
          <w:szCs w:val="24"/>
          <w:lang w:val="es-ES_tradnl"/>
        </w:rPr>
        <w:t>,</w:t>
      </w:r>
      <w:r w:rsidRPr="005C724D">
        <w:rPr>
          <w:rFonts w:ascii="Century Gothic" w:hAnsi="Century Gothic" w:cs="Arial"/>
          <w:sz w:val="24"/>
          <w:szCs w:val="24"/>
          <w:lang w:val="es-ES_tradnl"/>
        </w:rPr>
        <w:t xml:space="preserve"> permitiría al juzgador elegir a su arbitrio</w:t>
      </w:r>
      <w:r w:rsidR="003076E7" w:rsidRPr="005C724D">
        <w:rPr>
          <w:rFonts w:ascii="Century Gothic" w:hAnsi="Century Gothic" w:cs="Arial"/>
          <w:sz w:val="24"/>
          <w:szCs w:val="24"/>
          <w:lang w:val="es-ES_tradnl"/>
        </w:rPr>
        <w:t xml:space="preserve"> las sanciones</w:t>
      </w:r>
      <w:r w:rsidRPr="005C724D">
        <w:rPr>
          <w:rFonts w:ascii="Century Gothic" w:hAnsi="Century Gothic" w:cs="Arial"/>
          <w:sz w:val="24"/>
          <w:szCs w:val="24"/>
          <w:lang w:val="es-ES_tradnl"/>
        </w:rPr>
        <w:t xml:space="preserve"> sin limitantes de mínimos y m</w:t>
      </w:r>
      <w:r w:rsidR="00FF64C2" w:rsidRPr="005C724D">
        <w:rPr>
          <w:rFonts w:ascii="Century Gothic" w:hAnsi="Century Gothic" w:cs="Arial"/>
          <w:sz w:val="24"/>
          <w:szCs w:val="24"/>
          <w:lang w:val="es-ES_tradnl"/>
        </w:rPr>
        <w:t>áximos</w:t>
      </w:r>
      <w:r w:rsidRPr="005C724D">
        <w:rPr>
          <w:rFonts w:ascii="Century Gothic" w:hAnsi="Century Gothic" w:cs="Arial"/>
          <w:sz w:val="24"/>
          <w:szCs w:val="24"/>
          <w:lang w:val="es-ES_tradnl"/>
        </w:rPr>
        <w:t xml:space="preserve">. </w:t>
      </w:r>
      <w:r w:rsidR="00FF64C2" w:rsidRPr="005C724D">
        <w:rPr>
          <w:rFonts w:ascii="Century Gothic" w:hAnsi="Century Gothic" w:cs="Arial"/>
          <w:sz w:val="24"/>
          <w:szCs w:val="24"/>
          <w:lang w:val="es-ES_tradnl"/>
        </w:rPr>
        <w:t>Así que, la mayoría de las legislaciones punitivas en México</w:t>
      </w:r>
      <w:r w:rsidR="003076E7" w:rsidRPr="005C724D">
        <w:rPr>
          <w:rFonts w:ascii="Century Gothic" w:hAnsi="Century Gothic" w:cs="Arial"/>
          <w:sz w:val="24"/>
          <w:szCs w:val="24"/>
          <w:lang w:val="es-ES_tradnl"/>
        </w:rPr>
        <w:t>,</w:t>
      </w:r>
      <w:r w:rsidR="00FF64C2" w:rsidRPr="005C724D">
        <w:rPr>
          <w:rFonts w:ascii="Century Gothic" w:hAnsi="Century Gothic" w:cs="Arial"/>
          <w:sz w:val="24"/>
          <w:szCs w:val="24"/>
          <w:lang w:val="es-ES_tradnl"/>
        </w:rPr>
        <w:t xml:space="preserve"> a nivel federal y local</w:t>
      </w:r>
      <w:r w:rsidR="003076E7" w:rsidRPr="005C724D">
        <w:rPr>
          <w:rFonts w:ascii="Century Gothic" w:hAnsi="Century Gothic" w:cs="Arial"/>
          <w:sz w:val="24"/>
          <w:szCs w:val="24"/>
          <w:lang w:val="es-ES_tradnl"/>
        </w:rPr>
        <w:t>,</w:t>
      </w:r>
      <w:r w:rsidR="00FF64C2" w:rsidRPr="005C724D">
        <w:rPr>
          <w:rFonts w:ascii="Century Gothic" w:hAnsi="Century Gothic" w:cs="Arial"/>
          <w:sz w:val="24"/>
          <w:szCs w:val="24"/>
          <w:lang w:val="es-ES_tradnl"/>
        </w:rPr>
        <w:t xml:space="preserve"> optan por sistemas de </w:t>
      </w:r>
      <w:r w:rsidR="00FF64C2" w:rsidRPr="005C724D">
        <w:rPr>
          <w:rFonts w:ascii="Century Gothic" w:hAnsi="Century Gothic" w:cs="Arial"/>
          <w:b/>
          <w:sz w:val="24"/>
          <w:szCs w:val="24"/>
          <w:lang w:val="es-ES_tradnl"/>
        </w:rPr>
        <w:t xml:space="preserve">marcos penales </w:t>
      </w:r>
      <w:r w:rsidR="00FF64C2" w:rsidRPr="005C724D">
        <w:rPr>
          <w:rFonts w:ascii="Century Gothic" w:hAnsi="Century Gothic" w:cs="Arial"/>
          <w:sz w:val="24"/>
          <w:szCs w:val="24"/>
          <w:lang w:val="es-ES_tradnl"/>
        </w:rPr>
        <w:t>donde existe un límite mínimo y máximo para determinar la pena</w:t>
      </w:r>
      <w:r w:rsidR="003076E7" w:rsidRPr="005C724D">
        <w:rPr>
          <w:rFonts w:ascii="Century Gothic" w:hAnsi="Century Gothic" w:cs="Arial"/>
          <w:sz w:val="24"/>
          <w:szCs w:val="24"/>
          <w:lang w:val="es-ES_tradnl"/>
        </w:rPr>
        <w:t>.</w:t>
      </w:r>
      <w:r w:rsidR="003936E3" w:rsidRPr="005C724D">
        <w:rPr>
          <w:rStyle w:val="Refdenotaalpie"/>
          <w:rFonts w:ascii="Century Gothic" w:hAnsi="Century Gothic" w:cs="Arial"/>
          <w:sz w:val="24"/>
          <w:szCs w:val="24"/>
          <w:lang w:val="es-ES_tradnl"/>
        </w:rPr>
        <w:footnoteReference w:id="1"/>
      </w:r>
      <w:r w:rsidR="005C724D" w:rsidRPr="005C724D">
        <w:rPr>
          <w:rFonts w:ascii="Century Gothic" w:hAnsi="Century Gothic" w:cs="Arial"/>
          <w:sz w:val="24"/>
          <w:szCs w:val="24"/>
          <w:lang w:val="es-ES_tradnl"/>
        </w:rPr>
        <w:t xml:space="preserve"> </w:t>
      </w:r>
    </w:p>
    <w:p w14:paraId="08AF7ADF" w14:textId="073CE607" w:rsidR="005C724D" w:rsidRPr="005C724D" w:rsidRDefault="005C724D" w:rsidP="005C724D">
      <w:pPr>
        <w:ind w:firstLine="708"/>
        <w:jc w:val="both"/>
        <w:rPr>
          <w:rFonts w:ascii="Century Gothic" w:hAnsi="Century Gothic" w:cs="Arial"/>
          <w:sz w:val="24"/>
          <w:szCs w:val="24"/>
          <w:lang w:val="es-ES_tradnl"/>
        </w:rPr>
      </w:pPr>
      <w:r w:rsidRPr="005C724D">
        <w:rPr>
          <w:rFonts w:ascii="Century Gothic" w:hAnsi="Century Gothic" w:cs="Arial"/>
          <w:sz w:val="24"/>
          <w:szCs w:val="24"/>
          <w:lang w:val="es-ES_tradnl"/>
        </w:rPr>
        <w:t>De conformidad con lo anterior, e</w:t>
      </w:r>
      <w:r w:rsidR="000B36E2" w:rsidRPr="005C724D">
        <w:rPr>
          <w:rFonts w:ascii="Century Gothic" w:hAnsi="Century Gothic" w:cs="Arial"/>
          <w:sz w:val="24"/>
          <w:szCs w:val="24"/>
          <w:lang w:val="es-ES_tradnl"/>
        </w:rPr>
        <w:t xml:space="preserve">n el Código Penal del Estado de Chihuahua se </w:t>
      </w:r>
      <w:r w:rsidR="00EC4AB7" w:rsidRPr="005C724D">
        <w:rPr>
          <w:rFonts w:ascii="Century Gothic" w:hAnsi="Century Gothic" w:cs="Arial"/>
          <w:sz w:val="24"/>
          <w:szCs w:val="24"/>
          <w:lang w:val="es-ES_tradnl"/>
        </w:rPr>
        <w:t xml:space="preserve">establecieron </w:t>
      </w:r>
      <w:r>
        <w:rPr>
          <w:rFonts w:ascii="Century Gothic" w:hAnsi="Century Gothic" w:cs="Arial"/>
          <w:sz w:val="24"/>
          <w:szCs w:val="24"/>
          <w:lang w:val="es-ES_tradnl"/>
        </w:rPr>
        <w:t>criterios para la individualización de la sanción penal</w:t>
      </w:r>
      <w:r w:rsidRPr="005C724D">
        <w:rPr>
          <w:rFonts w:ascii="Century Gothic" w:hAnsi="Century Gothic" w:cs="Arial"/>
          <w:sz w:val="24"/>
          <w:szCs w:val="24"/>
          <w:lang w:val="es-ES_tradnl"/>
        </w:rPr>
        <w:t xml:space="preserve"> en el artículo 67 y el cual ha sido reformado en diferentes </w:t>
      </w:r>
      <w:r w:rsidRPr="005C724D">
        <w:rPr>
          <w:rFonts w:ascii="Century Gothic" w:hAnsi="Century Gothic" w:cs="Arial"/>
          <w:sz w:val="24"/>
          <w:szCs w:val="24"/>
          <w:lang w:val="es-ES_tradnl"/>
        </w:rPr>
        <w:lastRenderedPageBreak/>
        <w:t xml:space="preserve">oportunidades, publicándose en </w:t>
      </w:r>
      <w:r w:rsidRPr="005C724D">
        <w:rPr>
          <w:rFonts w:ascii="Century Gothic" w:hAnsi="Century Gothic" w:cs="Arial"/>
          <w:bCs/>
          <w:iCs/>
          <w:sz w:val="24"/>
          <w:szCs w:val="24"/>
        </w:rPr>
        <w:t>el</w:t>
      </w:r>
      <w:r>
        <w:rPr>
          <w:rFonts w:ascii="Century Gothic" w:hAnsi="Century Gothic" w:cs="Arial"/>
          <w:bCs/>
          <w:iCs/>
          <w:sz w:val="24"/>
          <w:szCs w:val="24"/>
        </w:rPr>
        <w:t xml:space="preserve"> periódico oficial del estado el</w:t>
      </w:r>
      <w:r w:rsidRPr="005C724D">
        <w:rPr>
          <w:rFonts w:ascii="Century Gothic" w:hAnsi="Century Gothic" w:cs="Arial"/>
          <w:bCs/>
          <w:iCs/>
          <w:sz w:val="24"/>
          <w:szCs w:val="24"/>
        </w:rPr>
        <w:t xml:space="preserve"> 18 de febrero de 2009, el 29 de noviembre de 2014 y el 3 de febrero de 2016.</w:t>
      </w:r>
    </w:p>
    <w:p w14:paraId="0D1B562B" w14:textId="3C93B671" w:rsidR="005C724D" w:rsidRPr="005C724D" w:rsidRDefault="005C724D" w:rsidP="005C724D">
      <w:pPr>
        <w:ind w:firstLine="708"/>
        <w:jc w:val="both"/>
        <w:rPr>
          <w:rFonts w:ascii="Century Gothic" w:hAnsi="Century Gothic"/>
          <w:sz w:val="24"/>
          <w:szCs w:val="24"/>
        </w:rPr>
      </w:pPr>
      <w:r w:rsidRPr="005C724D">
        <w:rPr>
          <w:rFonts w:ascii="Century Gothic" w:hAnsi="Century Gothic" w:cs="Arial"/>
          <w:sz w:val="24"/>
          <w:szCs w:val="24"/>
          <w:lang w:val="es-ES_tradnl"/>
        </w:rPr>
        <w:t xml:space="preserve">En el año 2009 se reformó junto con el artículo quinto del código anteriormente mencionado, con la finalidad de </w:t>
      </w:r>
      <w:r w:rsidRPr="005C724D">
        <w:rPr>
          <w:rFonts w:ascii="Century Gothic" w:hAnsi="Century Gothic"/>
          <w:sz w:val="24"/>
          <w:szCs w:val="24"/>
        </w:rPr>
        <w:t>incorporar en el nuevo Sistema Procesal Penal acusatorio, las garantías individuales del debido proceso Mexicano, buscando que en todo el país, tanto como en los procedimientos de orden federal, como en los de fuero común, se garantice plenamente, tanto a víctimas como a imputados de delito, y en general a todos los just</w:t>
      </w:r>
      <w:r w:rsidR="00117AF8">
        <w:rPr>
          <w:rFonts w:ascii="Century Gothic" w:hAnsi="Century Gothic"/>
          <w:sz w:val="24"/>
          <w:szCs w:val="24"/>
        </w:rPr>
        <w:t>iciables</w:t>
      </w:r>
      <w:r w:rsidRPr="005C724D">
        <w:rPr>
          <w:rFonts w:ascii="Century Gothic" w:hAnsi="Century Gothic"/>
          <w:sz w:val="24"/>
          <w:szCs w:val="24"/>
        </w:rPr>
        <w:t>, prontitud, claridad y expedición al momento de procurar justicia ante las autoridades ministeriales, y de decir el derecho, por parte de la autoridad judicial, a través de una serie de principios de corte acusatorio como son la oralidad, publicidad, imparcialidad, inmediación, contradicción, continuidad y concentración, que garanticen la seguridad y sistemas de impartición de justicia a la población en general.</w:t>
      </w:r>
      <w:r w:rsidRPr="005C724D">
        <w:rPr>
          <w:rStyle w:val="Refdenotaalpie"/>
          <w:rFonts w:ascii="Century Gothic" w:hAnsi="Century Gothic"/>
          <w:sz w:val="24"/>
          <w:szCs w:val="24"/>
        </w:rPr>
        <w:footnoteReference w:id="2"/>
      </w:r>
      <w:r w:rsidRPr="005C724D">
        <w:rPr>
          <w:rFonts w:ascii="Century Gothic" w:hAnsi="Century Gothic"/>
          <w:sz w:val="24"/>
          <w:szCs w:val="24"/>
        </w:rPr>
        <w:t xml:space="preserve"> De este modo, quedó redactado el artículo </w:t>
      </w:r>
      <w:r>
        <w:rPr>
          <w:rFonts w:ascii="Century Gothic" w:hAnsi="Century Gothic"/>
          <w:sz w:val="24"/>
          <w:szCs w:val="24"/>
        </w:rPr>
        <w:t>así</w:t>
      </w:r>
      <w:r w:rsidRPr="005C724D">
        <w:rPr>
          <w:rFonts w:ascii="Century Gothic" w:hAnsi="Century Gothic"/>
          <w:sz w:val="24"/>
          <w:szCs w:val="24"/>
        </w:rPr>
        <w:t>:</w:t>
      </w:r>
      <w:r w:rsidRPr="005C724D">
        <w:rPr>
          <w:rFonts w:ascii="Century Gothic" w:hAnsi="Century Gothic" w:cs="Arial"/>
          <w:b/>
          <w:bCs/>
          <w:i/>
          <w:iCs/>
          <w:sz w:val="24"/>
          <w:szCs w:val="24"/>
        </w:rPr>
        <w:t xml:space="preserve"> </w:t>
      </w:r>
    </w:p>
    <w:p w14:paraId="6949E0D7" w14:textId="0B4D2E5E"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b/>
          <w:bCs/>
          <w:i/>
          <w:iCs/>
          <w:color w:val="161616"/>
          <w:sz w:val="20"/>
          <w:szCs w:val="24"/>
        </w:rPr>
      </w:pPr>
      <w:r w:rsidRPr="005C724D">
        <w:rPr>
          <w:rFonts w:ascii="Century Gothic" w:hAnsi="Century Gothic" w:cs="Arial"/>
          <w:b/>
          <w:bCs/>
          <w:i/>
          <w:iCs/>
          <w:sz w:val="20"/>
          <w:szCs w:val="24"/>
        </w:rPr>
        <w:t>“</w:t>
      </w:r>
      <w:r w:rsidRPr="005C724D">
        <w:rPr>
          <w:rFonts w:ascii="Century Gothic" w:hAnsi="Century Gothic" w:cs="Arial"/>
          <w:b/>
          <w:bCs/>
          <w:i/>
          <w:iCs/>
          <w:color w:val="161616"/>
          <w:sz w:val="20"/>
          <w:szCs w:val="24"/>
        </w:rPr>
        <w:t xml:space="preserve">Artículo 67. Criterios de individualización. </w:t>
      </w:r>
      <w:r w:rsidRPr="005C724D">
        <w:rPr>
          <w:rFonts w:ascii="Century Gothic" w:hAnsi="Century Gothic" w:cs="Arial"/>
          <w:i/>
          <w:iCs/>
          <w:color w:val="161616"/>
          <w:sz w:val="20"/>
          <w:szCs w:val="24"/>
        </w:rPr>
        <w:t>La autoridad judicial, al dictar sentencia condenatoria, determinará la pena y medida de seguridad establecida para cada delito y las individualizará dentro de los límites señalados, en proporción a la gravedad del ilícito, al grado de culpabilidad del agente, y al bien jurídico afectado, tomando en cuenta:</w:t>
      </w:r>
    </w:p>
    <w:p w14:paraId="524391B7"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I. La naturaleza de la acción u omisión y los medios empleados para ejecutarla;</w:t>
      </w:r>
    </w:p>
    <w:p w14:paraId="0539EBC1"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II. La magnitud del daño causado al bien jurídico o del peligro en que éste fue colocado;</w:t>
      </w:r>
    </w:p>
    <w:p w14:paraId="1A160F87"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III. Las circunstancias de tiempo, lugar, modo y ocasión del hecho realizado;</w:t>
      </w:r>
    </w:p>
    <w:p w14:paraId="5B5E5B4C"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IV. La forma y grado de intervención del agente en la comisión del delito; los vínculos de parentesco, amistad o relación entre el activo y el pasivo, así como su calidad y la de la víctima u ofendido;</w:t>
      </w:r>
    </w:p>
    <w:p w14:paraId="4DE167B9"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V. Los usos y costumbres, cuando el procesado sea miembro de un pueblo o comunidad indígena, se tomarán en cuenta, sus usos y costumbres;</w:t>
      </w:r>
    </w:p>
    <w:p w14:paraId="5B54FA60"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 xml:space="preserve">VI. Los motivos que lo impulsaron o determinaron a delinquir; </w:t>
      </w:r>
    </w:p>
    <w:p w14:paraId="66160A5E"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VII. Las condiciones fisiológicas y psíquicas específicas en que se encontraba el activo en el momento de la comisión del delito;</w:t>
      </w:r>
    </w:p>
    <w:p w14:paraId="76989BA6"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VIII. Las condiciones particulares del género;</w:t>
      </w:r>
    </w:p>
    <w:p w14:paraId="579837E6"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lastRenderedPageBreak/>
        <w:t>IX. Las circunstancias del activo y pasivo antes y durante la comisión del delito, que sean relevantes para individualizar la sanción, así como el comportamiento posterior del acusado con relación al delito cometido; y</w:t>
      </w:r>
    </w:p>
    <w:p w14:paraId="423CC284" w14:textId="461E11D1" w:rsid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r w:rsidRPr="005C724D">
        <w:rPr>
          <w:rFonts w:ascii="Century Gothic" w:hAnsi="Century Gothic" w:cs="Arial"/>
          <w:i/>
          <w:iCs/>
          <w:sz w:val="20"/>
          <w:szCs w:val="24"/>
        </w:rPr>
        <w:t>X. Las demás circunstancias especiales del agente, que sean relevantes para determinar la posibilidad que tuvo de haber ajustado su conducta a las exigencias de la norma.”</w:t>
      </w:r>
      <w:r>
        <w:rPr>
          <w:rStyle w:val="Refdenotaalpie"/>
          <w:rFonts w:ascii="Century Gothic" w:hAnsi="Century Gothic" w:cs="Arial"/>
          <w:i/>
          <w:iCs/>
          <w:sz w:val="20"/>
          <w:szCs w:val="24"/>
        </w:rPr>
        <w:footnoteReference w:id="3"/>
      </w:r>
    </w:p>
    <w:p w14:paraId="0A9E51F3"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4"/>
        </w:rPr>
      </w:pPr>
    </w:p>
    <w:p w14:paraId="2D85D1DE" w14:textId="48D69046" w:rsidR="005C724D" w:rsidRDefault="005C724D" w:rsidP="005C724D">
      <w:pPr>
        <w:ind w:firstLine="708"/>
        <w:jc w:val="both"/>
        <w:rPr>
          <w:rFonts w:ascii="Century Gothic" w:hAnsi="Century Gothic"/>
          <w:sz w:val="24"/>
          <w:szCs w:val="24"/>
        </w:rPr>
      </w:pPr>
      <w:r w:rsidRPr="005C724D">
        <w:rPr>
          <w:rFonts w:ascii="Century Gothic" w:hAnsi="Century Gothic"/>
          <w:sz w:val="24"/>
          <w:szCs w:val="24"/>
        </w:rPr>
        <w:t xml:space="preserve">Así mismo, en el 2014, por la entrada en vigor del Código Nacional de Procedimientos Penales se llevaron a cabo reformas a varios ordenamientos legales, entre ellos el artículo </w:t>
      </w:r>
      <w:r>
        <w:rPr>
          <w:rFonts w:ascii="Century Gothic" w:hAnsi="Century Gothic"/>
          <w:sz w:val="24"/>
          <w:szCs w:val="24"/>
        </w:rPr>
        <w:t xml:space="preserve">67 de nuestro código sustantivo estatal, con la finalidad que quedara de la siguiente manera: </w:t>
      </w:r>
    </w:p>
    <w:p w14:paraId="121DAD28" w14:textId="6E7003B6"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b/>
          <w:bCs/>
          <w:i/>
          <w:iCs/>
          <w:sz w:val="20"/>
          <w:szCs w:val="20"/>
        </w:rPr>
      </w:pPr>
      <w:r w:rsidRPr="005C724D">
        <w:rPr>
          <w:rFonts w:ascii="Century Gothic" w:hAnsi="Century Gothic" w:cs="Arial"/>
          <w:b/>
          <w:bCs/>
          <w:i/>
          <w:iCs/>
          <w:sz w:val="20"/>
          <w:szCs w:val="20"/>
        </w:rPr>
        <w:t>“Artículo 67.- Criterios de individualización</w:t>
      </w:r>
    </w:p>
    <w:p w14:paraId="1788A1DD" w14:textId="74502252"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Dentro de los márgenes de punibilidad establecidos en la ley penal, el Tribunal de enjuiciamiento individualizará la sanción tomando como referencia la gravedad de la conducta típica y antijurídica, así como el grado de culpabilidad del sentenciado.</w:t>
      </w:r>
    </w:p>
    <w:p w14:paraId="4141A411"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p>
    <w:p w14:paraId="6FB66174"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I. La gravedad de la conducta típica y antijurídica estará determinada por:</w:t>
      </w:r>
    </w:p>
    <w:p w14:paraId="42C5903F"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a) El valor del bien jurídico;</w:t>
      </w:r>
    </w:p>
    <w:p w14:paraId="303B8EBD"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b) Su grado de afectación;</w:t>
      </w:r>
    </w:p>
    <w:p w14:paraId="77DFB7EE"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c) La naturaleza dolosa o culposa de la conducta;</w:t>
      </w:r>
    </w:p>
    <w:p w14:paraId="5CA02C68"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d) Los medios empleados;</w:t>
      </w:r>
    </w:p>
    <w:p w14:paraId="07D470DE"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e) Las circunstancias de tiempo, modo, lugar u ocasión del hecho;</w:t>
      </w:r>
    </w:p>
    <w:p w14:paraId="7BFABB61"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f) La forma de intervención del sentenciado.</w:t>
      </w:r>
    </w:p>
    <w:p w14:paraId="5CF3640F"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Las medidas de seguridad no accesorias a la pena y las consecuencias jurídicas aplicables a las personas morales, serán individualizadas tomando solamente en consideración la gravedad de la conducta típica y antijurídica.</w:t>
      </w:r>
    </w:p>
    <w:p w14:paraId="00527BFA"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II. El grado de culpabilidad estará determinado por el juicio de reproche, según el sentenciado haya tenido, bajo las circunstancias y características del hecho, la posibilidad concreta de comportarse de distinta manera y de respetar la norma jurídica quebrantada.</w:t>
      </w:r>
    </w:p>
    <w:p w14:paraId="776AE834"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Para determinar el grado de culpabilidad también se tomarán en cuenta:</w:t>
      </w:r>
    </w:p>
    <w:p w14:paraId="5B5B108C"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a) Los motivos que impulsaron la conducta del sentenciado;</w:t>
      </w:r>
    </w:p>
    <w:p w14:paraId="4F96A440"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b) Las condiciones fisiológicas y psicológicas específicas en que se encontraba en el momento de la comisión del hecho;</w:t>
      </w:r>
    </w:p>
    <w:p w14:paraId="6127F979"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c) La edad, el nivel educativo, las costumbres, las condiciones sociales y culturales;</w:t>
      </w:r>
    </w:p>
    <w:p w14:paraId="559A8912"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d) Los vínculos de parentesco, amistad o relación que guarde con la víctima u ofendido;</w:t>
      </w:r>
    </w:p>
    <w:p w14:paraId="248969E2"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lastRenderedPageBreak/>
        <w:t>e) Las demás circunstancias especiales del sentenciado, víctima u ofendido, siempre que resulten relevantes para la individualización de la sanción.</w:t>
      </w:r>
    </w:p>
    <w:p w14:paraId="46AFBD9F"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Si en un mismo hecho intervinieron varias personas, cada una de ellas será sancionada de acuerdo con el grado de su propia culpabilidad.</w:t>
      </w:r>
    </w:p>
    <w:p w14:paraId="5F0A5147" w14:textId="4FE7E4D2" w:rsid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r w:rsidRPr="005C724D">
        <w:rPr>
          <w:rFonts w:ascii="Century Gothic" w:hAnsi="Century Gothic" w:cs="Arial"/>
          <w:i/>
          <w:iCs/>
          <w:sz w:val="20"/>
          <w:szCs w:val="20"/>
        </w:rPr>
        <w:t>Cuando el sentenciado pertenezca a un grupo étnico o pueblo indígena se tomarán en cuenta, además de los aspectos anteriores, sus usos y costumbres.”</w:t>
      </w:r>
      <w:r>
        <w:rPr>
          <w:rStyle w:val="Refdenotaalpie"/>
          <w:rFonts w:ascii="Century Gothic" w:hAnsi="Century Gothic" w:cs="Arial"/>
          <w:i/>
          <w:iCs/>
          <w:sz w:val="20"/>
          <w:szCs w:val="20"/>
        </w:rPr>
        <w:footnoteReference w:id="4"/>
      </w:r>
    </w:p>
    <w:p w14:paraId="0E4234F8"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iCs/>
          <w:sz w:val="20"/>
          <w:szCs w:val="20"/>
        </w:rPr>
      </w:pPr>
    </w:p>
    <w:p w14:paraId="327AD2DC" w14:textId="3B6ED177" w:rsidR="005C724D" w:rsidRDefault="005C724D" w:rsidP="005C724D">
      <w:pPr>
        <w:ind w:firstLine="708"/>
        <w:jc w:val="both"/>
        <w:rPr>
          <w:rFonts w:ascii="Century Gothic" w:hAnsi="Century Gothic" w:cs="Arial"/>
          <w:sz w:val="24"/>
          <w:szCs w:val="20"/>
        </w:rPr>
      </w:pPr>
      <w:r w:rsidRPr="005C724D">
        <w:rPr>
          <w:rFonts w:ascii="Century Gothic" w:hAnsi="Century Gothic" w:cs="Arial"/>
          <w:sz w:val="24"/>
          <w:szCs w:val="20"/>
        </w:rPr>
        <w:t>De igual forma, en el año 2016 se reformó de nuevo el artículo en mención junto con otros articulados con el prop</w:t>
      </w:r>
      <w:r>
        <w:rPr>
          <w:rFonts w:ascii="Century Gothic" w:hAnsi="Century Gothic" w:cs="Arial"/>
          <w:sz w:val="24"/>
          <w:szCs w:val="20"/>
        </w:rPr>
        <w:t xml:space="preserve">ósito de </w:t>
      </w:r>
      <w:r w:rsidRPr="005C724D">
        <w:rPr>
          <w:rFonts w:ascii="Century Gothic" w:hAnsi="Century Gothic" w:cs="Arial"/>
          <w:sz w:val="24"/>
          <w:szCs w:val="20"/>
        </w:rPr>
        <w:t>que en los juicios y procedimientos se tomen en cuenta las costumbres y especificidades culturales</w:t>
      </w:r>
      <w:r>
        <w:rPr>
          <w:rFonts w:ascii="Century Gothic" w:hAnsi="Century Gothic" w:cs="Arial"/>
          <w:sz w:val="24"/>
          <w:szCs w:val="20"/>
        </w:rPr>
        <w:t>, quedando así:</w:t>
      </w:r>
    </w:p>
    <w:p w14:paraId="2566849E" w14:textId="54E73883"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b/>
          <w:bCs/>
          <w:i/>
          <w:color w:val="161616"/>
          <w:sz w:val="20"/>
          <w:szCs w:val="20"/>
        </w:rPr>
      </w:pPr>
      <w:r>
        <w:rPr>
          <w:rFonts w:ascii="Century Gothic" w:hAnsi="Century Gothic" w:cs="Arial"/>
          <w:b/>
          <w:bCs/>
          <w:i/>
          <w:color w:val="161616"/>
          <w:sz w:val="20"/>
          <w:szCs w:val="20"/>
        </w:rPr>
        <w:t>“</w:t>
      </w:r>
      <w:r w:rsidRPr="005C724D">
        <w:rPr>
          <w:rFonts w:ascii="Century Gothic" w:hAnsi="Century Gothic" w:cs="Arial"/>
          <w:b/>
          <w:bCs/>
          <w:i/>
          <w:color w:val="161616"/>
          <w:sz w:val="20"/>
          <w:szCs w:val="20"/>
        </w:rPr>
        <w:t>Artículo 67. Criterios de individualización</w:t>
      </w:r>
    </w:p>
    <w:p w14:paraId="0F475FFE" w14:textId="77777777"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color w:val="161616"/>
          <w:sz w:val="20"/>
          <w:szCs w:val="20"/>
        </w:rPr>
      </w:pPr>
      <w:r w:rsidRPr="005C724D">
        <w:rPr>
          <w:rFonts w:ascii="Century Gothic" w:hAnsi="Century Gothic" w:cs="Arial"/>
          <w:i/>
          <w:color w:val="161616"/>
          <w:sz w:val="20"/>
          <w:szCs w:val="20"/>
        </w:rPr>
        <w:t>La autoridad judicial, al dictar sentencia condenatoria, determinará la pena y medida de seguridad establecida para cada delito y las individualizará dentro de los límites señalados, en proporción a la gravedad del ilícito, al grado de culpabilidad del agente, y al bien jurídico afectado, tomando en cuenta:</w:t>
      </w:r>
    </w:p>
    <w:p w14:paraId="403A3A3D" w14:textId="77777777" w:rsidR="005C724D" w:rsidRPr="005C724D" w:rsidRDefault="005C724D" w:rsidP="005C724D">
      <w:pPr>
        <w:widowControl w:val="0"/>
        <w:autoSpaceDE w:val="0"/>
        <w:autoSpaceDN w:val="0"/>
        <w:adjustRightInd w:val="0"/>
        <w:spacing w:after="0"/>
        <w:ind w:left="708"/>
        <w:jc w:val="both"/>
        <w:rPr>
          <w:rFonts w:ascii="Century Gothic" w:hAnsi="Century Gothic" w:cs="Arial"/>
          <w:i/>
          <w:color w:val="161616"/>
          <w:sz w:val="20"/>
          <w:szCs w:val="20"/>
        </w:rPr>
      </w:pPr>
      <w:r w:rsidRPr="005C724D">
        <w:rPr>
          <w:rFonts w:ascii="Century Gothic" w:hAnsi="Century Gothic" w:cs="Arial"/>
          <w:i/>
          <w:color w:val="161616"/>
          <w:sz w:val="20"/>
          <w:szCs w:val="20"/>
        </w:rPr>
        <w:tab/>
      </w:r>
      <w:r w:rsidRPr="005C724D">
        <w:rPr>
          <w:rFonts w:ascii="Century Gothic" w:hAnsi="Century Gothic" w:cs="Arial"/>
          <w:i/>
          <w:color w:val="161616"/>
          <w:sz w:val="20"/>
          <w:szCs w:val="20"/>
        </w:rPr>
        <w:tab/>
      </w:r>
    </w:p>
    <w:p w14:paraId="6322C5E2" w14:textId="6369C856"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r w:rsidRPr="005C724D">
        <w:rPr>
          <w:rFonts w:ascii="Century Gothic" w:hAnsi="Century Gothic" w:cs="Arial"/>
          <w:i/>
          <w:sz w:val="20"/>
          <w:szCs w:val="20"/>
        </w:rPr>
        <w:t>I. La naturaleza de la acción u omisión y los me</w:t>
      </w:r>
      <w:r>
        <w:rPr>
          <w:rFonts w:ascii="Century Gothic" w:hAnsi="Century Gothic" w:cs="Arial"/>
          <w:i/>
          <w:sz w:val="20"/>
          <w:szCs w:val="20"/>
        </w:rPr>
        <w:t>dios empleados para ejecutarla;</w:t>
      </w:r>
    </w:p>
    <w:p w14:paraId="6772D2D3" w14:textId="6725DF02"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r w:rsidRPr="005C724D">
        <w:rPr>
          <w:rFonts w:ascii="Century Gothic" w:hAnsi="Century Gothic" w:cs="Arial"/>
          <w:i/>
          <w:sz w:val="20"/>
          <w:szCs w:val="20"/>
        </w:rPr>
        <w:t>II. La magnitud del daño causado al bien jurídico o del pe</w:t>
      </w:r>
      <w:r>
        <w:rPr>
          <w:rFonts w:ascii="Century Gothic" w:hAnsi="Century Gothic" w:cs="Arial"/>
          <w:i/>
          <w:sz w:val="20"/>
          <w:szCs w:val="20"/>
        </w:rPr>
        <w:t>ligro en que éste fue colocado;</w:t>
      </w:r>
    </w:p>
    <w:p w14:paraId="42369734" w14:textId="651C8B53"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r w:rsidRPr="005C724D">
        <w:rPr>
          <w:rFonts w:ascii="Century Gothic" w:hAnsi="Century Gothic" w:cs="Arial"/>
          <w:i/>
          <w:sz w:val="20"/>
          <w:szCs w:val="20"/>
        </w:rPr>
        <w:t>III. Las circunstancias de tiempo, lugar, modo</w:t>
      </w:r>
      <w:r>
        <w:rPr>
          <w:rFonts w:ascii="Century Gothic" w:hAnsi="Century Gothic" w:cs="Arial"/>
          <w:i/>
          <w:sz w:val="20"/>
          <w:szCs w:val="20"/>
        </w:rPr>
        <w:t xml:space="preserve"> y ocasión del hecho realizado;</w:t>
      </w:r>
    </w:p>
    <w:p w14:paraId="72895AEF" w14:textId="148C4F65"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r w:rsidRPr="005C724D">
        <w:rPr>
          <w:rFonts w:ascii="Century Gothic" w:hAnsi="Century Gothic" w:cs="Arial"/>
          <w:i/>
          <w:sz w:val="20"/>
          <w:szCs w:val="20"/>
        </w:rPr>
        <w:t>IV. La forma y grado de intervención del agente en la comisión del delito; los vínculos de parentesco, amistad o relación entre el activo y el pasivo, así como su calidad y la de la</w:t>
      </w:r>
      <w:r>
        <w:rPr>
          <w:rFonts w:ascii="Century Gothic" w:hAnsi="Century Gothic" w:cs="Arial"/>
          <w:i/>
          <w:sz w:val="20"/>
          <w:szCs w:val="20"/>
        </w:rPr>
        <w:t xml:space="preserve"> víctima u ofendido;</w:t>
      </w:r>
    </w:p>
    <w:p w14:paraId="35337FA3" w14:textId="33C764FA"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r w:rsidRPr="005C724D">
        <w:rPr>
          <w:rFonts w:ascii="Century Gothic" w:hAnsi="Century Gothic" w:cs="Arial"/>
          <w:i/>
          <w:sz w:val="20"/>
          <w:szCs w:val="20"/>
        </w:rPr>
        <w:t xml:space="preserve">V. Los usos, </w:t>
      </w:r>
      <w:r w:rsidRPr="005C724D">
        <w:rPr>
          <w:rFonts w:ascii="Century Gothic" w:hAnsi="Century Gothic" w:cs="Arial"/>
          <w:b/>
          <w:i/>
          <w:sz w:val="20"/>
          <w:szCs w:val="20"/>
        </w:rPr>
        <w:t>costumbres y sistema normativo interno</w:t>
      </w:r>
      <w:r w:rsidRPr="005C724D">
        <w:rPr>
          <w:rFonts w:ascii="Century Gothic" w:hAnsi="Century Gothic" w:cs="Arial"/>
          <w:i/>
          <w:sz w:val="20"/>
          <w:szCs w:val="20"/>
        </w:rPr>
        <w:t xml:space="preserve">, cuando el procesado sea miembro de </w:t>
      </w:r>
      <w:r>
        <w:rPr>
          <w:rFonts w:ascii="Century Gothic" w:hAnsi="Century Gothic" w:cs="Arial"/>
          <w:i/>
          <w:sz w:val="20"/>
          <w:szCs w:val="20"/>
        </w:rPr>
        <w:t>un pueblo o comunidad indígena;</w:t>
      </w:r>
    </w:p>
    <w:p w14:paraId="13B460FE" w14:textId="5E9EF38C" w:rsid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r w:rsidRPr="005C724D">
        <w:rPr>
          <w:rFonts w:ascii="Century Gothic" w:hAnsi="Century Gothic" w:cs="Arial"/>
          <w:i/>
          <w:sz w:val="20"/>
          <w:szCs w:val="20"/>
        </w:rPr>
        <w:t>VI. Los motivos que lo impulsa</w:t>
      </w:r>
      <w:r>
        <w:rPr>
          <w:rFonts w:ascii="Century Gothic" w:hAnsi="Century Gothic" w:cs="Arial"/>
          <w:i/>
          <w:sz w:val="20"/>
          <w:szCs w:val="20"/>
        </w:rPr>
        <w:t>ron o determinaron a delinquir;”</w:t>
      </w:r>
      <w:r>
        <w:rPr>
          <w:rStyle w:val="Refdenotaalpie"/>
          <w:rFonts w:ascii="Century Gothic" w:hAnsi="Century Gothic" w:cs="Arial"/>
          <w:i/>
          <w:sz w:val="20"/>
          <w:szCs w:val="20"/>
        </w:rPr>
        <w:footnoteReference w:id="5"/>
      </w:r>
    </w:p>
    <w:p w14:paraId="12F22CEF" w14:textId="50F0E001" w:rsid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r>
        <w:rPr>
          <w:rFonts w:ascii="Century Gothic" w:hAnsi="Century Gothic" w:cs="Arial"/>
          <w:i/>
          <w:sz w:val="20"/>
          <w:szCs w:val="20"/>
        </w:rPr>
        <w:t>VI a X…</w:t>
      </w:r>
    </w:p>
    <w:p w14:paraId="783C8BBC" w14:textId="56354F90" w:rsid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Century Gothic" w:hAnsi="Century Gothic" w:cs="Arial"/>
          <w:sz w:val="20"/>
          <w:szCs w:val="20"/>
        </w:rPr>
      </w:pPr>
    </w:p>
    <w:p w14:paraId="3070BD45" w14:textId="4D02119D" w:rsidR="005C724D" w:rsidRP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Century Gothic" w:hAnsi="Century Gothic" w:cs="Arial"/>
          <w:bCs/>
          <w:iCs/>
          <w:sz w:val="24"/>
          <w:szCs w:val="24"/>
        </w:rPr>
      </w:pPr>
      <w:r w:rsidRPr="005C724D">
        <w:rPr>
          <w:rFonts w:ascii="Century Gothic" w:hAnsi="Century Gothic" w:cs="Arial"/>
          <w:sz w:val="24"/>
          <w:szCs w:val="20"/>
        </w:rPr>
        <w:tab/>
        <w:t xml:space="preserve">Sin embargo, esta última reforma fue realizada basándose en el texto previo a la reforma del año 2014 sin considerar la misma, y produciendo una gran confusión en </w:t>
      </w:r>
      <w:r w:rsidRPr="005C724D">
        <w:rPr>
          <w:rFonts w:ascii="Century Gothic" w:hAnsi="Century Gothic" w:cs="Arial"/>
          <w:bCs/>
          <w:iCs/>
          <w:sz w:val="24"/>
          <w:szCs w:val="24"/>
        </w:rPr>
        <w:t>los operadores del sistema penal</w:t>
      </w:r>
      <w:r>
        <w:rPr>
          <w:rFonts w:ascii="Century Gothic" w:hAnsi="Century Gothic" w:cs="Arial"/>
          <w:bCs/>
          <w:iCs/>
          <w:sz w:val="24"/>
          <w:szCs w:val="24"/>
        </w:rPr>
        <w:t>, toda vez que, en el historial de reformas del Código Penal del Estado de Chihuahua</w:t>
      </w:r>
      <w:r>
        <w:rPr>
          <w:rStyle w:val="Refdenotaalpie"/>
          <w:rFonts w:ascii="Century Gothic" w:hAnsi="Century Gothic" w:cs="Arial"/>
          <w:bCs/>
          <w:iCs/>
          <w:sz w:val="24"/>
          <w:szCs w:val="24"/>
        </w:rPr>
        <w:footnoteReference w:id="6"/>
      </w:r>
      <w:r>
        <w:rPr>
          <w:rFonts w:ascii="Century Gothic" w:hAnsi="Century Gothic" w:cs="Arial"/>
          <w:bCs/>
          <w:iCs/>
          <w:sz w:val="24"/>
          <w:szCs w:val="24"/>
        </w:rPr>
        <w:t xml:space="preserve"> se puede </w:t>
      </w:r>
      <w:r>
        <w:rPr>
          <w:rFonts w:ascii="Century Gothic" w:hAnsi="Century Gothic" w:cs="Arial"/>
          <w:bCs/>
          <w:iCs/>
          <w:sz w:val="24"/>
          <w:szCs w:val="24"/>
        </w:rPr>
        <w:lastRenderedPageBreak/>
        <w:t xml:space="preserve">evidenciar que mediante decreto </w:t>
      </w:r>
      <w:r w:rsidRPr="005C724D">
        <w:rPr>
          <w:rFonts w:ascii="Century Gothic" w:hAnsi="Century Gothic" w:cs="Arial"/>
          <w:bCs/>
          <w:iCs/>
          <w:sz w:val="24"/>
          <w:szCs w:val="24"/>
        </w:rPr>
        <w:t>No. 1130-2015 I P.O</w:t>
      </w:r>
      <w:r>
        <w:rPr>
          <w:rFonts w:ascii="Century Gothic" w:hAnsi="Century Gothic" w:cs="Arial"/>
          <w:bCs/>
          <w:iCs/>
          <w:sz w:val="24"/>
          <w:szCs w:val="24"/>
        </w:rPr>
        <w:t xml:space="preserve"> se reformó este artículo, pero en el Código Penal estatal que se encuentra en </w:t>
      </w:r>
      <w:r w:rsidRPr="005C724D">
        <w:rPr>
          <w:rFonts w:ascii="Century Gothic" w:hAnsi="Century Gothic" w:cs="Arial"/>
          <w:bCs/>
          <w:iCs/>
          <w:sz w:val="24"/>
          <w:szCs w:val="24"/>
        </w:rPr>
        <w:t>las bibliotecas digitales del H.CONGRESO DEL ESTADO</w:t>
      </w:r>
      <w:r w:rsidRPr="005C724D">
        <w:rPr>
          <w:rStyle w:val="Refdenotaalpie"/>
          <w:rFonts w:ascii="Century Gothic" w:hAnsi="Century Gothic" w:cs="Arial"/>
          <w:bCs/>
          <w:iCs/>
          <w:sz w:val="24"/>
          <w:szCs w:val="24"/>
        </w:rPr>
        <w:footnoteReference w:id="7"/>
      </w:r>
      <w:r w:rsidRPr="005C724D">
        <w:rPr>
          <w:rFonts w:ascii="Century Gothic" w:hAnsi="Century Gothic" w:cs="Arial"/>
          <w:bCs/>
          <w:iCs/>
          <w:sz w:val="24"/>
          <w:szCs w:val="24"/>
        </w:rPr>
        <w:t xml:space="preserve"> </w:t>
      </w:r>
      <w:r>
        <w:rPr>
          <w:rFonts w:ascii="Century Gothic" w:hAnsi="Century Gothic" w:cs="Arial"/>
          <w:bCs/>
          <w:iCs/>
          <w:sz w:val="24"/>
          <w:szCs w:val="24"/>
        </w:rPr>
        <w:t xml:space="preserve"> no se ve reflejada la reforma del año 2016 y en l</w:t>
      </w:r>
      <w:r w:rsidRPr="005C724D">
        <w:rPr>
          <w:rFonts w:ascii="Century Gothic" w:hAnsi="Century Gothic" w:cs="Arial"/>
          <w:bCs/>
          <w:iCs/>
          <w:sz w:val="24"/>
          <w:szCs w:val="24"/>
        </w:rPr>
        <w:t xml:space="preserve">a del TRIBUNAL SUPERIOR DE JUSTICIA, </w:t>
      </w:r>
      <w:r>
        <w:rPr>
          <w:rFonts w:ascii="Century Gothic" w:hAnsi="Century Gothic" w:cs="Arial"/>
          <w:bCs/>
          <w:iCs/>
          <w:sz w:val="24"/>
          <w:szCs w:val="24"/>
        </w:rPr>
        <w:t xml:space="preserve">sí se incluyó la modificación en el código sustantivo. </w:t>
      </w:r>
    </w:p>
    <w:p w14:paraId="585529D8" w14:textId="31CB54DF" w:rsidR="005C724D" w:rsidRDefault="005C724D" w:rsidP="005C724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708"/>
        <w:jc w:val="both"/>
        <w:rPr>
          <w:rFonts w:ascii="Century Gothic" w:hAnsi="Century Gothic" w:cs="Arial"/>
          <w:i/>
          <w:sz w:val="20"/>
          <w:szCs w:val="20"/>
        </w:rPr>
      </w:pPr>
    </w:p>
    <w:p w14:paraId="387C5267" w14:textId="5C0E0F1C" w:rsidR="003A44BE" w:rsidRPr="005C724D" w:rsidRDefault="005C724D" w:rsidP="005C724D">
      <w:pPr>
        <w:ind w:firstLine="708"/>
        <w:jc w:val="both"/>
        <w:rPr>
          <w:rFonts w:ascii="Century Gothic" w:hAnsi="Century Gothic" w:cs="Arial"/>
          <w:sz w:val="24"/>
          <w:szCs w:val="24"/>
        </w:rPr>
      </w:pPr>
      <w:r w:rsidRPr="005C724D">
        <w:rPr>
          <w:rFonts w:ascii="Century Gothic" w:hAnsi="Century Gothic" w:cs="Arial"/>
          <w:bCs/>
          <w:iCs/>
          <w:sz w:val="24"/>
          <w:szCs w:val="24"/>
        </w:rPr>
        <w:t xml:space="preserve">Es importante destacar, que la creación del Código Nacional de Procedimientos Penales, estableció en su numeral 410, sus propios criterios de individualización, y al determinar en su </w:t>
      </w:r>
      <w:r w:rsidRPr="005C724D">
        <w:rPr>
          <w:rFonts w:ascii="Century Gothic" w:hAnsi="Century Gothic" w:cs="Arial"/>
          <w:sz w:val="24"/>
          <w:szCs w:val="24"/>
        </w:rPr>
        <w:t xml:space="preserve">artículo cuarto la derogación tácita de preceptos incompatibles, trae como consecuencia que, lo establecido en el Código Penal del Estado de Chihuahua sea una referencia para el operador jurídico al momento de acudir a las normas relativas al nuevo sistema, a fin de resolver aquellas situaciones que no se encuentren reguladas expresamente en ese código procesal, por lo tanto, es necesario que tanto el código sustantivo estatal como el </w:t>
      </w:r>
      <w:r>
        <w:rPr>
          <w:rFonts w:ascii="Century Gothic" w:hAnsi="Century Gothic" w:cs="Arial"/>
          <w:sz w:val="24"/>
          <w:szCs w:val="24"/>
        </w:rPr>
        <w:t>adjetivo</w:t>
      </w:r>
      <w:r w:rsidRPr="005C724D">
        <w:rPr>
          <w:rFonts w:ascii="Century Gothic" w:hAnsi="Century Gothic" w:cs="Arial"/>
          <w:sz w:val="24"/>
          <w:szCs w:val="24"/>
        </w:rPr>
        <w:t xml:space="preserve"> nacional, tengan congruencia en los criterios de la individualización de la sanci</w:t>
      </w:r>
      <w:r>
        <w:rPr>
          <w:rFonts w:ascii="Century Gothic" w:hAnsi="Century Gothic" w:cs="Arial"/>
          <w:sz w:val="24"/>
          <w:szCs w:val="24"/>
        </w:rPr>
        <w:t xml:space="preserve">ón penal y evitar la confusión e incompatibilidad que se está produciendo. </w:t>
      </w:r>
    </w:p>
    <w:p w14:paraId="326A1894" w14:textId="0EB57B7B" w:rsidR="005C724D" w:rsidRPr="005C724D" w:rsidRDefault="006F10CC" w:rsidP="005C724D">
      <w:pPr>
        <w:ind w:firstLine="708"/>
        <w:jc w:val="both"/>
        <w:rPr>
          <w:rFonts w:ascii="Century Gothic" w:eastAsia="Times New Roman" w:hAnsi="Century Gothic" w:cs="Arial"/>
          <w:sz w:val="24"/>
          <w:szCs w:val="24"/>
          <w:lang w:val="es-ES_tradnl" w:eastAsia="es-MX"/>
        </w:rPr>
      </w:pPr>
      <w:r w:rsidRPr="005C724D">
        <w:rPr>
          <w:rFonts w:ascii="Century Gothic" w:eastAsia="Times New Roman" w:hAnsi="Century Gothic" w:cs="Arial"/>
          <w:sz w:val="24"/>
          <w:szCs w:val="24"/>
          <w:lang w:val="es-ES_tradnl" w:eastAsia="es-MX"/>
        </w:rPr>
        <w:t>Es por lo anterior que</w:t>
      </w:r>
      <w:r w:rsidR="00612110" w:rsidRPr="005C724D">
        <w:rPr>
          <w:rFonts w:ascii="Century Gothic" w:eastAsia="Times New Roman" w:hAnsi="Century Gothic" w:cs="Arial"/>
          <w:sz w:val="24"/>
          <w:szCs w:val="24"/>
          <w:lang w:val="es-ES_tradnl" w:eastAsia="es-MX"/>
        </w:rPr>
        <w:t>,</w:t>
      </w:r>
      <w:r w:rsidRPr="005C724D">
        <w:rPr>
          <w:rFonts w:ascii="Century Gothic" w:eastAsia="Times New Roman" w:hAnsi="Century Gothic" w:cs="Arial"/>
          <w:sz w:val="24"/>
          <w:szCs w:val="24"/>
          <w:lang w:val="es-ES_tradnl" w:eastAsia="es-MX"/>
        </w:rPr>
        <w:t xml:space="preserve"> </w:t>
      </w:r>
      <w:r w:rsidR="005C724D" w:rsidRPr="005C724D">
        <w:rPr>
          <w:rFonts w:ascii="Century Gothic" w:eastAsia="Times New Roman" w:hAnsi="Century Gothic" w:cs="Arial"/>
          <w:sz w:val="24"/>
          <w:szCs w:val="24"/>
          <w:lang w:val="es-ES_tradnl" w:eastAsia="es-MX"/>
        </w:rPr>
        <w:t xml:space="preserve">se propone </w:t>
      </w:r>
      <w:r w:rsidR="005C724D">
        <w:rPr>
          <w:rFonts w:ascii="Century Gothic" w:eastAsia="Times New Roman" w:hAnsi="Century Gothic" w:cs="Arial"/>
          <w:sz w:val="24"/>
          <w:szCs w:val="24"/>
          <w:lang w:val="es-ES_tradnl" w:eastAsia="es-MX"/>
        </w:rPr>
        <w:t>que la</w:t>
      </w:r>
      <w:r w:rsidR="005C724D" w:rsidRPr="005C724D">
        <w:rPr>
          <w:rFonts w:ascii="Century Gothic" w:eastAsia="Times New Roman" w:hAnsi="Century Gothic" w:cs="Arial"/>
          <w:sz w:val="24"/>
          <w:szCs w:val="24"/>
          <w:lang w:val="es-ES_tradnl" w:eastAsia="es-MX"/>
        </w:rPr>
        <w:t xml:space="preserve"> redacción que se encuentra en el Código Nacional de Procedimiento Penales en sus primeros siete párrafos,</w:t>
      </w:r>
      <w:r w:rsidR="005C724D">
        <w:rPr>
          <w:rFonts w:ascii="Century Gothic" w:eastAsia="Times New Roman" w:hAnsi="Century Gothic" w:cs="Arial"/>
          <w:sz w:val="24"/>
          <w:szCs w:val="24"/>
          <w:lang w:val="es-ES_tradnl" w:eastAsia="es-MX"/>
        </w:rPr>
        <w:t xml:space="preserve"> sea establecida en el Código Penal del Estado de Chihuahua</w:t>
      </w:r>
      <w:r w:rsidR="005C724D" w:rsidRPr="005C724D">
        <w:rPr>
          <w:rFonts w:ascii="Century Gothic" w:eastAsia="Times New Roman" w:hAnsi="Century Gothic" w:cs="Arial"/>
          <w:sz w:val="24"/>
          <w:szCs w:val="24"/>
          <w:lang w:val="es-ES_tradnl" w:eastAsia="es-MX"/>
        </w:rPr>
        <w:t xml:space="preserve"> </w:t>
      </w:r>
      <w:r w:rsidR="005C724D">
        <w:rPr>
          <w:rFonts w:ascii="Century Gothic" w:eastAsia="Times New Roman" w:hAnsi="Century Gothic" w:cs="Arial"/>
          <w:sz w:val="24"/>
          <w:szCs w:val="24"/>
          <w:lang w:val="es-ES_tradnl" w:eastAsia="es-MX"/>
        </w:rPr>
        <w:t>con la finalidad que sean compatibles los criterios de individualización de las penas en ambos códigos y quede de la siguiente manera:</w:t>
      </w:r>
    </w:p>
    <w:p w14:paraId="65208D83" w14:textId="3C81C9F2" w:rsidR="005C724D" w:rsidRPr="005C724D" w:rsidRDefault="005C724D" w:rsidP="005C724D">
      <w:pPr>
        <w:ind w:left="708"/>
        <w:jc w:val="both"/>
        <w:rPr>
          <w:rFonts w:ascii="Century Gothic" w:hAnsi="Century Gothic" w:cstheme="majorHAnsi"/>
          <w:i/>
          <w:sz w:val="20"/>
          <w:szCs w:val="24"/>
        </w:rPr>
      </w:pPr>
      <w:r>
        <w:rPr>
          <w:rFonts w:ascii="Century Gothic" w:hAnsi="Century Gothic" w:cstheme="majorHAnsi"/>
          <w:b/>
          <w:i/>
          <w:sz w:val="20"/>
          <w:szCs w:val="24"/>
        </w:rPr>
        <w:t xml:space="preserve">“Artículo 67. </w:t>
      </w:r>
      <w:r w:rsidRPr="005C724D">
        <w:rPr>
          <w:rFonts w:ascii="Century Gothic" w:hAnsi="Century Gothic" w:cstheme="majorHAnsi"/>
          <w:i/>
          <w:sz w:val="20"/>
          <w:szCs w:val="24"/>
        </w:rPr>
        <w:t>Criterios para la individualización de la sanción penal o medida de seguridad.</w:t>
      </w:r>
    </w:p>
    <w:p w14:paraId="107811CC" w14:textId="56C1D54B" w:rsidR="005C724D" w:rsidRPr="005C724D" w:rsidRDefault="005C724D" w:rsidP="005C724D">
      <w:pPr>
        <w:ind w:left="708"/>
        <w:jc w:val="both"/>
        <w:rPr>
          <w:rFonts w:ascii="Century Gothic" w:hAnsi="Century Gothic" w:cstheme="majorHAnsi"/>
          <w:i/>
          <w:sz w:val="20"/>
          <w:szCs w:val="24"/>
        </w:rPr>
      </w:pPr>
      <w:r w:rsidRPr="005C724D">
        <w:rPr>
          <w:rFonts w:ascii="Century Gothic" w:hAnsi="Century Gothic" w:cstheme="majorHAnsi"/>
          <w:i/>
          <w:sz w:val="20"/>
          <w:szCs w:val="24"/>
        </w:rPr>
        <w:t>El Tribunal de enjuiciamiento al individualizar las penas o medidas de seguridad aplicables deberá tomar en consideración lo siguiente:</w:t>
      </w:r>
    </w:p>
    <w:p w14:paraId="29AC21FE" w14:textId="6BD4D642" w:rsidR="005C724D" w:rsidRPr="005C724D" w:rsidRDefault="005C724D" w:rsidP="005C724D">
      <w:pPr>
        <w:ind w:left="708"/>
        <w:jc w:val="both"/>
        <w:rPr>
          <w:rFonts w:ascii="Century Gothic" w:hAnsi="Century Gothic" w:cstheme="majorHAnsi"/>
          <w:i/>
          <w:sz w:val="20"/>
          <w:szCs w:val="24"/>
        </w:rPr>
      </w:pPr>
      <w:r w:rsidRPr="005C724D">
        <w:rPr>
          <w:rFonts w:ascii="Century Gothic" w:hAnsi="Century Gothic" w:cstheme="majorHAnsi"/>
          <w:i/>
          <w:sz w:val="20"/>
          <w:szCs w:val="24"/>
        </w:rPr>
        <w:t xml:space="preserve">Dentro de los márgenes de punibilidad establecidos en las leyes penales, el Tribunal de enjuiciamiento individualizará la sanción tomando como referencia la gravedad de la conducta típica y antijurídica, así como el grado de culpabilidad del sentenciado. Las medidas de seguridad no accesorias a la pena y las consecuencias jurídicas aplicables a las personas morales, serán individualizadas </w:t>
      </w:r>
      <w:r w:rsidRPr="005C724D">
        <w:rPr>
          <w:rFonts w:ascii="Century Gothic" w:hAnsi="Century Gothic" w:cstheme="majorHAnsi"/>
          <w:i/>
          <w:sz w:val="20"/>
          <w:szCs w:val="24"/>
        </w:rPr>
        <w:lastRenderedPageBreak/>
        <w:t>tomando solamente en consideración la gravedad de la conducta típica y antijurídica.</w:t>
      </w:r>
    </w:p>
    <w:p w14:paraId="4BA0C997" w14:textId="77777777" w:rsidR="005C724D" w:rsidRPr="005C724D" w:rsidRDefault="005C724D" w:rsidP="005C724D">
      <w:pPr>
        <w:ind w:left="708"/>
        <w:jc w:val="both"/>
        <w:rPr>
          <w:rFonts w:ascii="Century Gothic" w:hAnsi="Century Gothic" w:cstheme="majorHAnsi"/>
          <w:i/>
          <w:sz w:val="20"/>
          <w:szCs w:val="24"/>
        </w:rPr>
      </w:pPr>
      <w:r w:rsidRPr="005C724D">
        <w:rPr>
          <w:rFonts w:ascii="Century Gothic" w:hAnsi="Century Gothic" w:cstheme="majorHAnsi"/>
          <w:i/>
          <w:sz w:val="20"/>
          <w:szCs w:val="24"/>
        </w:rPr>
        <w:t>La gravedad de la conducta típica y antijurídica estará determinada por el valor del bien jurídico, su grado de afectación, la naturaleza dolosa o culposa de la conducta, los medios empleados, las circunstancias de tiempo, modo, lugar u ocasión del hecho, así como por la forma de intervención del sentenciado.</w:t>
      </w:r>
    </w:p>
    <w:p w14:paraId="4A53F75A" w14:textId="13613771" w:rsidR="005C724D" w:rsidRPr="005C724D" w:rsidRDefault="005C724D" w:rsidP="005C724D">
      <w:pPr>
        <w:ind w:left="708"/>
        <w:jc w:val="both"/>
        <w:rPr>
          <w:rFonts w:ascii="Century Gothic" w:hAnsi="Century Gothic" w:cstheme="majorHAnsi"/>
          <w:i/>
          <w:sz w:val="20"/>
          <w:szCs w:val="24"/>
        </w:rPr>
      </w:pPr>
      <w:r w:rsidRPr="005C724D">
        <w:rPr>
          <w:rFonts w:ascii="Century Gothic" w:hAnsi="Century Gothic" w:cstheme="majorHAnsi"/>
          <w:i/>
          <w:sz w:val="20"/>
          <w:szCs w:val="24"/>
        </w:rPr>
        <w:t>El grado de culpabilidad estará determinado por el juicio de reproche, según el sentenciado haya tenido, bajo las circunstancias y características del hecho, la posibilidad concreta de comportarse de distinta manera y de respetar la norma jurídica quebrantada. Si en un mismo hecho intervinieron varias personas, cada una de ellas será sancionada de acuerdo con el grado de su propia culpabilidad.</w:t>
      </w:r>
    </w:p>
    <w:p w14:paraId="34567C41" w14:textId="77777777" w:rsidR="005C724D" w:rsidRPr="005C724D" w:rsidRDefault="005C724D" w:rsidP="005C724D">
      <w:pPr>
        <w:ind w:left="708" w:firstLine="708"/>
        <w:jc w:val="both"/>
        <w:rPr>
          <w:rFonts w:ascii="Century Gothic" w:hAnsi="Century Gothic" w:cstheme="majorHAnsi"/>
          <w:i/>
          <w:sz w:val="20"/>
          <w:szCs w:val="24"/>
        </w:rPr>
      </w:pPr>
      <w:r w:rsidRPr="005C724D">
        <w:rPr>
          <w:rFonts w:ascii="Century Gothic" w:hAnsi="Century Gothic" w:cstheme="majorHAnsi"/>
          <w:i/>
          <w:sz w:val="20"/>
          <w:szCs w:val="24"/>
        </w:rPr>
        <w:t>Para determinar el grado de culpabilidad también se tomarán en cuenta los motivos que impulsaron la conducta del sentenciado, las condiciones fisiológicas y psicológicas específicas en que se encontraba en el momento de la comisión del hecho, la edad, el nivel educativo, las costumbres, las condiciones sociales y culturales, así como los vínculos de parentesco, amistad o relación que guarde con la víctima u ofendido. Igualmente se tomarán en cuenta las demás circunstancias especiales del sentenciado, víctima u ofendido, siempre que resulten relevantes para la individualización de la sanción. Se podrán tomar en consideración los dictámenes periciales y otros medios de prueba para los fines señalados en el presente artículo.</w:t>
      </w:r>
    </w:p>
    <w:p w14:paraId="2BA35020" w14:textId="70A0AAE0" w:rsidR="005C724D" w:rsidRPr="005C724D" w:rsidRDefault="005C724D" w:rsidP="005C724D">
      <w:pPr>
        <w:ind w:left="708" w:firstLine="708"/>
        <w:jc w:val="both"/>
        <w:rPr>
          <w:rFonts w:ascii="Century Gothic" w:eastAsia="Times New Roman" w:hAnsi="Century Gothic" w:cs="Arial"/>
          <w:i/>
          <w:sz w:val="20"/>
          <w:szCs w:val="24"/>
          <w:lang w:val="es-ES_tradnl" w:eastAsia="es-MX"/>
        </w:rPr>
      </w:pPr>
      <w:r w:rsidRPr="005C724D">
        <w:rPr>
          <w:rFonts w:ascii="Century Gothic" w:hAnsi="Century Gothic" w:cstheme="majorHAnsi"/>
          <w:i/>
          <w:sz w:val="20"/>
          <w:szCs w:val="24"/>
        </w:rPr>
        <w:t xml:space="preserve"> Cuando el sentenciado pertenezca a un grupo étnico o pueblo indígena se tomarán en cuenta, además de los aspectos anteriores, sus usos y costumbres.</w:t>
      </w:r>
      <w:r>
        <w:rPr>
          <w:rFonts w:ascii="Century Gothic" w:hAnsi="Century Gothic" w:cstheme="majorHAnsi"/>
          <w:i/>
          <w:sz w:val="20"/>
          <w:szCs w:val="24"/>
        </w:rPr>
        <w:t>”</w:t>
      </w:r>
    </w:p>
    <w:p w14:paraId="6014AB72" w14:textId="0A13AB03" w:rsidR="00D74C3F" w:rsidRPr="005C724D" w:rsidRDefault="00D74C3F" w:rsidP="005C724D">
      <w:pPr>
        <w:autoSpaceDE w:val="0"/>
        <w:autoSpaceDN w:val="0"/>
        <w:adjustRightInd w:val="0"/>
        <w:spacing w:after="0"/>
        <w:jc w:val="both"/>
        <w:rPr>
          <w:rFonts w:ascii="Century Gothic" w:eastAsia="Times New Roman" w:hAnsi="Century Gothic" w:cs="Arial"/>
          <w:color w:val="2F2F2F"/>
          <w:sz w:val="24"/>
          <w:szCs w:val="24"/>
          <w:lang w:val="es-ES_tradnl" w:eastAsia="es-MX"/>
        </w:rPr>
      </w:pPr>
    </w:p>
    <w:p w14:paraId="00A78C72" w14:textId="53634D63" w:rsidR="005C724D" w:rsidRPr="005C724D" w:rsidRDefault="00222102" w:rsidP="005C724D">
      <w:pPr>
        <w:ind w:firstLine="708"/>
        <w:jc w:val="both"/>
        <w:rPr>
          <w:rFonts w:ascii="Century Gothic" w:hAnsi="Century Gothic" w:cs="Arial"/>
          <w:bCs/>
          <w:sz w:val="24"/>
          <w:szCs w:val="24"/>
          <w:lang w:val="es-ES_tradnl"/>
        </w:rPr>
      </w:pPr>
      <w:r w:rsidRPr="005C724D">
        <w:rPr>
          <w:rFonts w:ascii="Century Gothic" w:hAnsi="Century Gothic"/>
          <w:sz w:val="24"/>
          <w:szCs w:val="24"/>
          <w:lang w:val="es-ES_tradnl"/>
        </w:rPr>
        <w:t xml:space="preserve">En virtud de </w:t>
      </w:r>
      <w:r w:rsidR="003C36BE" w:rsidRPr="005C724D">
        <w:rPr>
          <w:rFonts w:ascii="Century Gothic" w:hAnsi="Century Gothic"/>
          <w:sz w:val="24"/>
          <w:szCs w:val="24"/>
          <w:lang w:val="es-ES_tradnl"/>
        </w:rPr>
        <w:t>lo anterior y</w:t>
      </w:r>
      <w:r w:rsidRPr="005C724D">
        <w:rPr>
          <w:rFonts w:ascii="Century Gothic" w:hAnsi="Century Gothic"/>
          <w:sz w:val="24"/>
          <w:szCs w:val="24"/>
          <w:lang w:val="es-ES_tradnl"/>
        </w:rPr>
        <w:t xml:space="preserve"> con fundamento en las consideraciones y preceptos constitucionales y legales que anteceden, someto a consideración, el siguiente </w:t>
      </w:r>
      <w:r w:rsidRPr="005C724D">
        <w:rPr>
          <w:rFonts w:ascii="Century Gothic" w:hAnsi="Century Gothic" w:cs="Arial"/>
          <w:bCs/>
          <w:sz w:val="24"/>
          <w:szCs w:val="24"/>
          <w:lang w:val="es-ES_tradnl"/>
        </w:rPr>
        <w:t>proyecto</w:t>
      </w:r>
      <w:r w:rsidRPr="005C724D">
        <w:rPr>
          <w:rFonts w:ascii="Century Gothic" w:hAnsi="Century Gothic"/>
          <w:sz w:val="24"/>
          <w:szCs w:val="24"/>
          <w:lang w:val="es-ES_tradnl"/>
        </w:rPr>
        <w:t xml:space="preserve"> d</w:t>
      </w:r>
      <w:r w:rsidR="005C724D">
        <w:rPr>
          <w:rFonts w:ascii="Century Gothic" w:hAnsi="Century Gothic" w:cs="Arial"/>
          <w:bCs/>
          <w:sz w:val="24"/>
          <w:szCs w:val="24"/>
          <w:lang w:val="es-ES_tradnl"/>
        </w:rPr>
        <w:t>e:</w:t>
      </w:r>
    </w:p>
    <w:p w14:paraId="144DFD77" w14:textId="77777777" w:rsidR="00911781" w:rsidRPr="005C724D" w:rsidRDefault="00911781" w:rsidP="005C724D">
      <w:pPr>
        <w:jc w:val="center"/>
        <w:rPr>
          <w:rFonts w:ascii="Century Gothic" w:eastAsia="Arial" w:hAnsi="Century Gothic" w:cs="Arial"/>
          <w:b/>
          <w:sz w:val="24"/>
          <w:szCs w:val="24"/>
          <w:lang w:val="es-ES_tradnl"/>
        </w:rPr>
      </w:pPr>
      <w:r w:rsidRPr="005C724D">
        <w:rPr>
          <w:rFonts w:ascii="Century Gothic" w:eastAsia="Arial" w:hAnsi="Century Gothic" w:cs="Arial"/>
          <w:b/>
          <w:sz w:val="24"/>
          <w:szCs w:val="24"/>
          <w:lang w:val="es-ES_tradnl"/>
        </w:rPr>
        <w:t>DECRETO</w:t>
      </w:r>
    </w:p>
    <w:p w14:paraId="08EC5ED8" w14:textId="2AFA038C" w:rsidR="005C724D" w:rsidRPr="005C724D" w:rsidRDefault="00911781" w:rsidP="005C724D">
      <w:pPr>
        <w:jc w:val="both"/>
        <w:rPr>
          <w:rFonts w:ascii="Century Gothic" w:eastAsia="Arial" w:hAnsi="Century Gothic" w:cs="Arial"/>
          <w:sz w:val="24"/>
          <w:szCs w:val="24"/>
          <w:lang w:val="es-ES_tradnl"/>
        </w:rPr>
      </w:pPr>
      <w:r w:rsidRPr="005C724D">
        <w:rPr>
          <w:rFonts w:ascii="Century Gothic" w:eastAsia="Arial" w:hAnsi="Century Gothic" w:cs="Arial"/>
          <w:b/>
          <w:sz w:val="24"/>
          <w:szCs w:val="24"/>
          <w:lang w:val="es-ES_tradnl"/>
        </w:rPr>
        <w:t>ARTÍCULO PRIMERO.</w:t>
      </w:r>
      <w:r w:rsidR="00F5288D" w:rsidRPr="005C724D">
        <w:rPr>
          <w:rFonts w:ascii="Century Gothic" w:eastAsia="Arial" w:hAnsi="Century Gothic" w:cs="Arial"/>
          <w:b/>
          <w:sz w:val="24"/>
          <w:szCs w:val="24"/>
          <w:lang w:val="es-ES_tradnl"/>
        </w:rPr>
        <w:t xml:space="preserve"> </w:t>
      </w:r>
      <w:r w:rsidR="005C724D">
        <w:rPr>
          <w:rFonts w:ascii="Century Gothic" w:eastAsia="Arial" w:hAnsi="Century Gothic" w:cs="Arial"/>
          <w:sz w:val="24"/>
          <w:szCs w:val="24"/>
          <w:lang w:val="es-ES_tradnl"/>
        </w:rPr>
        <w:t xml:space="preserve">Se reforma el artículo 67 del Código Penal del Estado de Chihuahua para quedar de la siguiente forma: </w:t>
      </w:r>
    </w:p>
    <w:p w14:paraId="1AD91BAD" w14:textId="4EBECDDC" w:rsidR="005C724D" w:rsidRPr="005C724D" w:rsidRDefault="005C724D" w:rsidP="005C724D">
      <w:pPr>
        <w:jc w:val="both"/>
        <w:rPr>
          <w:rFonts w:ascii="Century Gothic" w:hAnsi="Century Gothic" w:cstheme="majorHAnsi"/>
          <w:i/>
          <w:sz w:val="24"/>
          <w:szCs w:val="24"/>
        </w:rPr>
      </w:pPr>
      <w:r w:rsidRPr="005C724D">
        <w:rPr>
          <w:rFonts w:ascii="Century Gothic" w:hAnsi="Century Gothic" w:cstheme="majorHAnsi"/>
          <w:b/>
          <w:i/>
          <w:sz w:val="24"/>
          <w:szCs w:val="24"/>
        </w:rPr>
        <w:t>“Artículo 67.</w:t>
      </w:r>
      <w:r w:rsidRPr="005C724D">
        <w:rPr>
          <w:rFonts w:ascii="Century Gothic" w:hAnsi="Century Gothic" w:cstheme="majorHAnsi"/>
          <w:i/>
          <w:sz w:val="24"/>
          <w:szCs w:val="24"/>
        </w:rPr>
        <w:t xml:space="preserve"> Criterios para la individualización de la sanción penal o medida de seguridad.</w:t>
      </w:r>
    </w:p>
    <w:p w14:paraId="16077911" w14:textId="77777777" w:rsidR="005C724D" w:rsidRPr="005C724D" w:rsidRDefault="005C724D" w:rsidP="005C724D">
      <w:pPr>
        <w:jc w:val="both"/>
        <w:rPr>
          <w:rFonts w:ascii="Century Gothic" w:hAnsi="Century Gothic" w:cstheme="majorHAnsi"/>
          <w:i/>
          <w:sz w:val="24"/>
          <w:szCs w:val="24"/>
        </w:rPr>
      </w:pPr>
      <w:r w:rsidRPr="005C724D">
        <w:rPr>
          <w:rFonts w:ascii="Century Gothic" w:hAnsi="Century Gothic" w:cstheme="majorHAnsi"/>
          <w:i/>
          <w:sz w:val="24"/>
          <w:szCs w:val="24"/>
        </w:rPr>
        <w:lastRenderedPageBreak/>
        <w:t>El Tribunal de enjuiciamiento al individualizar las penas o medidas de seguridad aplicables deberá tomar en consideración lo siguiente:</w:t>
      </w:r>
    </w:p>
    <w:p w14:paraId="37BC4403" w14:textId="77777777" w:rsidR="005C724D" w:rsidRPr="005C724D" w:rsidRDefault="005C724D" w:rsidP="005C724D">
      <w:pPr>
        <w:jc w:val="both"/>
        <w:rPr>
          <w:rFonts w:ascii="Century Gothic" w:hAnsi="Century Gothic" w:cstheme="majorHAnsi"/>
          <w:i/>
          <w:sz w:val="24"/>
          <w:szCs w:val="24"/>
        </w:rPr>
      </w:pPr>
      <w:r w:rsidRPr="005C724D">
        <w:rPr>
          <w:rFonts w:ascii="Century Gothic" w:hAnsi="Century Gothic" w:cstheme="majorHAnsi"/>
          <w:i/>
          <w:sz w:val="24"/>
          <w:szCs w:val="24"/>
        </w:rPr>
        <w:t>Dentro de los márgenes de punibilidad establecidos en las leyes penales, el Tribunal de enjuiciamiento individualizará la sanción tomando como referencia la gravedad de la conducta típica y antijurídica, así como el grado de culpabilidad del sentenciado. Las medidas de seguridad no accesorias a la pena y las consecuencias jurídicas aplicables a las personas morales, serán individualizadas tomando solamente en consideración la gravedad de la conducta típica y antijurídica.</w:t>
      </w:r>
    </w:p>
    <w:p w14:paraId="4C8A01D4" w14:textId="77777777" w:rsidR="005C724D" w:rsidRPr="005C724D" w:rsidRDefault="005C724D" w:rsidP="005C724D">
      <w:pPr>
        <w:jc w:val="both"/>
        <w:rPr>
          <w:rFonts w:ascii="Century Gothic" w:hAnsi="Century Gothic" w:cstheme="majorHAnsi"/>
          <w:i/>
          <w:sz w:val="24"/>
          <w:szCs w:val="24"/>
        </w:rPr>
      </w:pPr>
      <w:r w:rsidRPr="005C724D">
        <w:rPr>
          <w:rFonts w:ascii="Century Gothic" w:hAnsi="Century Gothic" w:cstheme="majorHAnsi"/>
          <w:i/>
          <w:sz w:val="24"/>
          <w:szCs w:val="24"/>
        </w:rPr>
        <w:t>La gravedad de la conducta típica y antijurídica estará determinada por el valor del bien jurídico, su grado de afectación, la naturaleza dolosa o culposa de la conducta, los medios empleados, las circunstancias de tiempo, modo, lugar u ocasión del hecho, así como por la forma de intervención del sentenciado.</w:t>
      </w:r>
    </w:p>
    <w:p w14:paraId="6574FA94" w14:textId="77777777" w:rsidR="005C724D" w:rsidRPr="005C724D" w:rsidRDefault="005C724D" w:rsidP="005C724D">
      <w:pPr>
        <w:jc w:val="both"/>
        <w:rPr>
          <w:rFonts w:ascii="Century Gothic" w:hAnsi="Century Gothic" w:cstheme="majorHAnsi"/>
          <w:i/>
          <w:sz w:val="24"/>
          <w:szCs w:val="24"/>
        </w:rPr>
      </w:pPr>
      <w:r w:rsidRPr="005C724D">
        <w:rPr>
          <w:rFonts w:ascii="Century Gothic" w:hAnsi="Century Gothic" w:cstheme="majorHAnsi"/>
          <w:i/>
          <w:sz w:val="24"/>
          <w:szCs w:val="24"/>
        </w:rPr>
        <w:t>El grado de culpabilidad estará determinado por el juicio de reproche, según el sentenciado haya tenido, bajo las circunstancias y características del hecho, la posibilidad concreta de comportarse de distinta manera y de respetar la norma jurídica quebrantada. Si en un mismo hecho intervinieron varias personas, cada una de ellas será sancionada de acuerdo con el grado de su propia culpabilidad.</w:t>
      </w:r>
    </w:p>
    <w:p w14:paraId="53BDF46E" w14:textId="77777777" w:rsidR="005C724D" w:rsidRPr="005C724D" w:rsidRDefault="005C724D" w:rsidP="005C724D">
      <w:pPr>
        <w:jc w:val="both"/>
        <w:rPr>
          <w:rFonts w:ascii="Century Gothic" w:hAnsi="Century Gothic" w:cstheme="majorHAnsi"/>
          <w:i/>
          <w:sz w:val="24"/>
          <w:szCs w:val="24"/>
        </w:rPr>
      </w:pPr>
      <w:r w:rsidRPr="005C724D">
        <w:rPr>
          <w:rFonts w:ascii="Century Gothic" w:hAnsi="Century Gothic" w:cstheme="majorHAnsi"/>
          <w:i/>
          <w:sz w:val="24"/>
          <w:szCs w:val="24"/>
        </w:rPr>
        <w:t>Para determinar el grado de culpabilidad también se tomarán en cuenta los motivos que impulsaron la conducta del sentenciado, las condiciones fisiológicas y psicológicas específicas en que se encontraba en el momento de la comisión del hecho, la edad, el nivel educativo, las costumbres, las condiciones sociales y culturales, así como los vínculos de parentesco, amistad o relación que guarde con la víctima u ofendido. Igualmente se tomarán en cuenta las demás circunstancias especiales del sentenciado, víctima u ofendido, siempre que resulten relevantes para la individualización de la sanción. Se podrán tomar en consideración los dictámenes periciales y otros medios de prueba para los fines señalados en el presente artículo.</w:t>
      </w:r>
    </w:p>
    <w:p w14:paraId="3956F2AF" w14:textId="77777777" w:rsidR="005C724D" w:rsidRPr="005C724D" w:rsidRDefault="005C724D" w:rsidP="005C724D">
      <w:pPr>
        <w:jc w:val="both"/>
        <w:rPr>
          <w:rFonts w:ascii="Century Gothic" w:eastAsia="Times New Roman" w:hAnsi="Century Gothic" w:cs="Arial"/>
          <w:i/>
          <w:sz w:val="24"/>
          <w:szCs w:val="24"/>
          <w:lang w:val="es-ES_tradnl" w:eastAsia="es-MX"/>
        </w:rPr>
      </w:pPr>
      <w:r w:rsidRPr="005C724D">
        <w:rPr>
          <w:rFonts w:ascii="Century Gothic" w:hAnsi="Century Gothic" w:cstheme="majorHAnsi"/>
          <w:i/>
          <w:sz w:val="24"/>
          <w:szCs w:val="24"/>
        </w:rPr>
        <w:lastRenderedPageBreak/>
        <w:t xml:space="preserve"> Cuando el sentenciado pertenezca a un grupo étnico o pueblo indígena se tomarán en cuenta, además de los aspectos anteriores, sus usos y costumbres.”</w:t>
      </w:r>
    </w:p>
    <w:p w14:paraId="4B56867A" w14:textId="6455D1A5" w:rsidR="00F70BA5" w:rsidRPr="005C724D" w:rsidRDefault="00F70BA5" w:rsidP="005C724D">
      <w:pPr>
        <w:jc w:val="both"/>
        <w:rPr>
          <w:rFonts w:ascii="Century Gothic" w:eastAsia="Times New Roman" w:hAnsi="Century Gothic" w:cs="Arial"/>
          <w:color w:val="000000"/>
          <w:sz w:val="24"/>
          <w:szCs w:val="24"/>
          <w:lang w:val="es-ES_tradnl"/>
        </w:rPr>
      </w:pPr>
    </w:p>
    <w:p w14:paraId="011EADDA" w14:textId="6CA97D6E" w:rsidR="00AF15CB" w:rsidRPr="005C724D" w:rsidRDefault="00AF15CB" w:rsidP="005C724D">
      <w:pPr>
        <w:jc w:val="both"/>
        <w:rPr>
          <w:rFonts w:ascii="Century Gothic" w:hAnsi="Century Gothic" w:cs="Arial"/>
          <w:sz w:val="24"/>
          <w:szCs w:val="24"/>
          <w:lang w:val="es-ES_tradnl"/>
        </w:rPr>
      </w:pPr>
      <w:r w:rsidRPr="005C724D">
        <w:rPr>
          <w:rFonts w:ascii="Century Gothic" w:hAnsi="Century Gothic" w:cs="Arial"/>
          <w:b/>
          <w:sz w:val="24"/>
          <w:szCs w:val="24"/>
          <w:lang w:val="es-ES_tradnl"/>
        </w:rPr>
        <w:t xml:space="preserve">ARTÍCULO </w:t>
      </w:r>
      <w:proofErr w:type="gramStart"/>
      <w:r w:rsidRPr="005C724D">
        <w:rPr>
          <w:rFonts w:ascii="Century Gothic" w:hAnsi="Century Gothic" w:cs="Arial"/>
          <w:b/>
          <w:sz w:val="24"/>
          <w:szCs w:val="24"/>
          <w:lang w:val="es-ES_tradnl"/>
        </w:rPr>
        <w:t>SEGUNDO</w:t>
      </w:r>
      <w:r w:rsidRPr="005C724D">
        <w:rPr>
          <w:rFonts w:ascii="Century Gothic" w:hAnsi="Century Gothic" w:cs="Arial"/>
          <w:sz w:val="24"/>
          <w:szCs w:val="24"/>
          <w:lang w:val="es-ES_tradnl"/>
        </w:rPr>
        <w:t>.-</w:t>
      </w:r>
      <w:proofErr w:type="gramEnd"/>
      <w:r w:rsidRPr="005C724D">
        <w:rPr>
          <w:rFonts w:ascii="Century Gothic" w:hAnsi="Century Gothic" w:cs="Arial"/>
          <w:sz w:val="24"/>
          <w:szCs w:val="24"/>
          <w:lang w:val="es-ES_tradnl"/>
        </w:rPr>
        <w:t xml:space="preserve"> El presente Decreto entrará en vigor al día siguiente de su publicación en el Periódico Oficial del Estado.</w:t>
      </w:r>
    </w:p>
    <w:p w14:paraId="06012276" w14:textId="77777777" w:rsidR="00AF15CB" w:rsidRPr="005C724D" w:rsidRDefault="00AF15CB" w:rsidP="005C724D">
      <w:pPr>
        <w:autoSpaceDE w:val="0"/>
        <w:autoSpaceDN w:val="0"/>
        <w:adjustRightInd w:val="0"/>
        <w:spacing w:after="160"/>
        <w:ind w:right="-234"/>
        <w:jc w:val="both"/>
        <w:rPr>
          <w:rFonts w:ascii="Century Gothic" w:hAnsi="Century Gothic" w:cs="Arial"/>
          <w:color w:val="000000"/>
          <w:sz w:val="24"/>
          <w:szCs w:val="24"/>
          <w:lang w:val="es-ES_tradnl"/>
        </w:rPr>
      </w:pPr>
      <w:r w:rsidRPr="005C724D">
        <w:rPr>
          <w:rFonts w:ascii="Century Gothic" w:hAnsi="Century Gothic" w:cs="Arial"/>
          <w:b/>
          <w:bCs/>
          <w:color w:val="000000"/>
          <w:sz w:val="24"/>
          <w:szCs w:val="24"/>
          <w:lang w:val="es-ES_tradnl"/>
        </w:rPr>
        <w:t>Económico.</w:t>
      </w:r>
      <w:r w:rsidRPr="005C724D">
        <w:rPr>
          <w:rFonts w:ascii="Century Gothic" w:hAnsi="Century Gothic" w:cs="Arial"/>
          <w:color w:val="000000"/>
          <w:sz w:val="24"/>
          <w:szCs w:val="24"/>
          <w:lang w:val="es-ES_tradnl"/>
        </w:rPr>
        <w:t xml:space="preserve"> Aprobado que sea, túrnese a la Secretaría para que elabore la Minuta de Acuerdo correspondiente.  </w:t>
      </w:r>
    </w:p>
    <w:p w14:paraId="0223516A" w14:textId="60C066B6" w:rsidR="00A74065" w:rsidRPr="005C724D" w:rsidRDefault="00AF15CB" w:rsidP="005C724D">
      <w:pPr>
        <w:autoSpaceDE w:val="0"/>
        <w:autoSpaceDN w:val="0"/>
        <w:adjustRightInd w:val="0"/>
        <w:ind w:right="-234"/>
        <w:jc w:val="both"/>
        <w:rPr>
          <w:rFonts w:ascii="Century Gothic" w:hAnsi="Century Gothic" w:cs="Arial"/>
          <w:color w:val="000000"/>
          <w:sz w:val="24"/>
          <w:szCs w:val="24"/>
          <w:lang w:val="es-ES_tradnl"/>
        </w:rPr>
      </w:pPr>
      <w:r w:rsidRPr="005C724D">
        <w:rPr>
          <w:rFonts w:ascii="Century Gothic" w:hAnsi="Century Gothic" w:cs="Arial"/>
          <w:b/>
          <w:bCs/>
          <w:color w:val="000000"/>
          <w:sz w:val="24"/>
          <w:szCs w:val="24"/>
          <w:lang w:val="es-ES_tradnl"/>
        </w:rPr>
        <w:t>D A D O</w:t>
      </w:r>
      <w:r w:rsidRPr="005C724D">
        <w:rPr>
          <w:rFonts w:ascii="Century Gothic" w:hAnsi="Century Gothic" w:cs="Arial"/>
          <w:color w:val="000000"/>
          <w:sz w:val="24"/>
          <w:szCs w:val="24"/>
          <w:lang w:val="es-ES_tradnl"/>
        </w:rPr>
        <w:t xml:space="preserve"> en Sesión del Poder L</w:t>
      </w:r>
      <w:r w:rsidR="004119AD" w:rsidRPr="005C724D">
        <w:rPr>
          <w:rFonts w:ascii="Century Gothic" w:hAnsi="Century Gothic" w:cs="Arial"/>
          <w:color w:val="000000"/>
          <w:sz w:val="24"/>
          <w:szCs w:val="24"/>
          <w:lang w:val="es-ES_tradnl"/>
        </w:rPr>
        <w:t>egi</w:t>
      </w:r>
      <w:r w:rsidR="00582204">
        <w:rPr>
          <w:rFonts w:ascii="Century Gothic" w:hAnsi="Century Gothic" w:cs="Arial"/>
          <w:color w:val="000000"/>
          <w:sz w:val="24"/>
          <w:szCs w:val="24"/>
          <w:lang w:val="es-ES_tradnl"/>
        </w:rPr>
        <w:t>slativo de Chihuahua, a los 11 días del mes de abril</w:t>
      </w:r>
      <w:r w:rsidR="00061DAC">
        <w:rPr>
          <w:rFonts w:ascii="Century Gothic" w:hAnsi="Century Gothic" w:cs="Arial"/>
          <w:color w:val="000000"/>
          <w:sz w:val="24"/>
          <w:szCs w:val="24"/>
          <w:lang w:val="es-ES_tradnl"/>
        </w:rPr>
        <w:t xml:space="preserve"> </w:t>
      </w:r>
      <w:r w:rsidRPr="005C724D">
        <w:rPr>
          <w:rFonts w:ascii="Century Gothic" w:hAnsi="Century Gothic" w:cs="Arial"/>
          <w:color w:val="000000"/>
          <w:sz w:val="24"/>
          <w:szCs w:val="24"/>
          <w:lang w:val="es-ES_tradnl"/>
        </w:rPr>
        <w:t xml:space="preserve">del año dos mil </w:t>
      </w:r>
      <w:r w:rsidR="00174EBE">
        <w:rPr>
          <w:rFonts w:ascii="Century Gothic" w:hAnsi="Century Gothic" w:cs="Arial"/>
          <w:color w:val="000000"/>
          <w:sz w:val="24"/>
          <w:szCs w:val="24"/>
          <w:lang w:val="es-ES_tradnl"/>
        </w:rPr>
        <w:t>veintidós</w:t>
      </w:r>
      <w:bookmarkStart w:id="0" w:name="_GoBack"/>
      <w:bookmarkEnd w:id="0"/>
      <w:r w:rsidRPr="005C724D">
        <w:rPr>
          <w:rFonts w:ascii="Century Gothic" w:hAnsi="Century Gothic" w:cs="Arial"/>
          <w:color w:val="000000"/>
          <w:sz w:val="24"/>
          <w:szCs w:val="24"/>
          <w:lang w:val="es-ES_tradnl"/>
        </w:rPr>
        <w:t xml:space="preserve">. </w:t>
      </w:r>
    </w:p>
    <w:p w14:paraId="4344376F" w14:textId="77777777" w:rsidR="003C36BE" w:rsidRPr="005C724D" w:rsidRDefault="003C36BE" w:rsidP="005C724D">
      <w:pPr>
        <w:jc w:val="both"/>
        <w:rPr>
          <w:rFonts w:ascii="Century Gothic" w:hAnsi="Century Gothic" w:cs="Arial"/>
          <w:b/>
          <w:sz w:val="24"/>
          <w:szCs w:val="24"/>
          <w:lang w:val="es-ES_tradnl"/>
        </w:rPr>
      </w:pPr>
    </w:p>
    <w:p w14:paraId="74EC393C" w14:textId="50A5C27F" w:rsidR="00911781" w:rsidRPr="005C724D" w:rsidRDefault="00911781" w:rsidP="005C724D">
      <w:pPr>
        <w:jc w:val="center"/>
        <w:rPr>
          <w:rFonts w:ascii="Century Gothic" w:hAnsi="Century Gothic" w:cs="Arial"/>
          <w:b/>
          <w:sz w:val="24"/>
          <w:szCs w:val="24"/>
          <w:lang w:val="es-ES_tradnl"/>
        </w:rPr>
      </w:pPr>
      <w:r w:rsidRPr="005C724D">
        <w:rPr>
          <w:rFonts w:ascii="Century Gothic" w:hAnsi="Century Gothic" w:cs="Arial"/>
          <w:b/>
          <w:sz w:val="24"/>
          <w:szCs w:val="24"/>
          <w:lang w:val="es-ES_tradnl"/>
        </w:rPr>
        <w:t>A</w:t>
      </w:r>
      <w:r w:rsidR="00093F5C" w:rsidRPr="005C724D">
        <w:rPr>
          <w:rFonts w:ascii="Century Gothic" w:hAnsi="Century Gothic" w:cs="Arial"/>
          <w:b/>
          <w:sz w:val="24"/>
          <w:szCs w:val="24"/>
          <w:lang w:val="es-ES_tradnl"/>
        </w:rPr>
        <w:t>TENTAMENTE</w:t>
      </w:r>
    </w:p>
    <w:p w14:paraId="16843EE2" w14:textId="6DAE9F78" w:rsidR="005C724D" w:rsidRDefault="005C724D" w:rsidP="005C724D">
      <w:pPr>
        <w:ind w:left="1428"/>
        <w:jc w:val="center"/>
        <w:rPr>
          <w:rFonts w:ascii="Century Gothic" w:hAnsi="Century Gothic" w:cs="Arial"/>
          <w:b/>
          <w:sz w:val="24"/>
          <w:szCs w:val="24"/>
          <w:lang w:val="es-ES_tradnl"/>
        </w:rPr>
      </w:pPr>
    </w:p>
    <w:p w14:paraId="5F28BC8C" w14:textId="64815964" w:rsidR="005C724D" w:rsidRDefault="005C724D" w:rsidP="005C724D">
      <w:pPr>
        <w:ind w:left="1428"/>
        <w:jc w:val="center"/>
        <w:rPr>
          <w:rFonts w:ascii="Century Gothic" w:hAnsi="Century Gothic" w:cs="Arial"/>
          <w:b/>
          <w:sz w:val="24"/>
          <w:szCs w:val="24"/>
          <w:lang w:val="es-ES_tradnl"/>
        </w:rPr>
      </w:pPr>
    </w:p>
    <w:p w14:paraId="514F3A60" w14:textId="77777777" w:rsidR="005C724D" w:rsidRPr="005C724D" w:rsidRDefault="005C724D" w:rsidP="005C724D">
      <w:pPr>
        <w:ind w:left="1428"/>
        <w:jc w:val="center"/>
        <w:rPr>
          <w:rFonts w:ascii="Century Gothic" w:hAnsi="Century Gothic" w:cs="Arial"/>
          <w:b/>
          <w:sz w:val="24"/>
          <w:szCs w:val="24"/>
          <w:lang w:val="es-ES_tradnl"/>
        </w:rPr>
      </w:pPr>
    </w:p>
    <w:p w14:paraId="67BA9322" w14:textId="68C98577" w:rsidR="00911781" w:rsidRPr="005C724D" w:rsidRDefault="00911781" w:rsidP="005C724D">
      <w:pPr>
        <w:jc w:val="center"/>
        <w:rPr>
          <w:rFonts w:ascii="Century Gothic" w:hAnsi="Century Gothic" w:cs="Arial"/>
          <w:b/>
          <w:sz w:val="24"/>
          <w:szCs w:val="24"/>
          <w:lang w:val="es-ES_tradnl"/>
        </w:rPr>
      </w:pPr>
      <w:r w:rsidRPr="005C724D">
        <w:rPr>
          <w:rFonts w:ascii="Century Gothic" w:hAnsi="Century Gothic" w:cs="Arial"/>
          <w:b/>
          <w:sz w:val="24"/>
          <w:szCs w:val="24"/>
          <w:lang w:val="es-ES_tradnl"/>
        </w:rPr>
        <w:t>DIP</w:t>
      </w:r>
      <w:r w:rsidR="00AF15CB" w:rsidRPr="005C724D">
        <w:rPr>
          <w:rFonts w:ascii="Century Gothic" w:hAnsi="Century Gothic" w:cs="Arial"/>
          <w:b/>
          <w:sz w:val="24"/>
          <w:szCs w:val="24"/>
          <w:lang w:val="es-ES_tradnl"/>
        </w:rPr>
        <w:t xml:space="preserve">. </w:t>
      </w:r>
      <w:r w:rsidR="004119AD" w:rsidRPr="005C724D">
        <w:rPr>
          <w:rFonts w:ascii="Century Gothic" w:hAnsi="Century Gothic" w:cs="Arial"/>
          <w:b/>
          <w:sz w:val="24"/>
          <w:szCs w:val="24"/>
          <w:lang w:val="es-ES_tradnl"/>
        </w:rPr>
        <w:t>ISELA MARTÍNEZ DÍAZ</w:t>
      </w:r>
      <w:r w:rsidR="00B56060" w:rsidRPr="005C724D">
        <w:rPr>
          <w:rFonts w:ascii="Century Gothic" w:hAnsi="Century Gothic" w:cs="Arial"/>
          <w:b/>
          <w:sz w:val="24"/>
          <w:szCs w:val="24"/>
          <w:lang w:val="es-ES_tradnl"/>
        </w:rPr>
        <w:t>.</w:t>
      </w:r>
    </w:p>
    <w:p w14:paraId="3D40A9F0" w14:textId="77777777" w:rsidR="00DB0BAB" w:rsidRPr="005C724D" w:rsidRDefault="00DB0BAB" w:rsidP="005C724D">
      <w:pPr>
        <w:jc w:val="both"/>
        <w:rPr>
          <w:rFonts w:ascii="Century Gothic" w:hAnsi="Century Gothic"/>
          <w:sz w:val="24"/>
          <w:szCs w:val="24"/>
          <w:lang w:val="es-ES_tradnl"/>
        </w:rPr>
      </w:pPr>
    </w:p>
    <w:sectPr w:rsidR="00DB0BAB" w:rsidRPr="005C724D" w:rsidSect="00A74065">
      <w:headerReference w:type="default" r:id="rId8"/>
      <w:footerReference w:type="default" r:id="rId9"/>
      <w:pgSz w:w="12240" w:h="15840"/>
      <w:pgMar w:top="269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04F50" w14:textId="77777777" w:rsidR="00681C63" w:rsidRDefault="00681C63" w:rsidP="00911781">
      <w:pPr>
        <w:spacing w:after="0" w:line="240" w:lineRule="auto"/>
      </w:pPr>
      <w:r>
        <w:separator/>
      </w:r>
    </w:p>
  </w:endnote>
  <w:endnote w:type="continuationSeparator" w:id="0">
    <w:p w14:paraId="79A0C7BA" w14:textId="77777777" w:rsidR="00681C63" w:rsidRDefault="00681C63" w:rsidP="0091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CF49" w14:textId="4DBC1F33" w:rsidR="00F54910" w:rsidRDefault="00F54910">
    <w:pPr>
      <w:pStyle w:val="Piedepgina"/>
      <w:jc w:val="center"/>
    </w:pPr>
    <w:r>
      <w:rPr>
        <w:noProof/>
      </w:rPr>
      <w:fldChar w:fldCharType="begin"/>
    </w:r>
    <w:r>
      <w:rPr>
        <w:noProof/>
      </w:rPr>
      <w:instrText xml:space="preserve"> PAGE   \* MERGEFORMAT </w:instrText>
    </w:r>
    <w:r>
      <w:rPr>
        <w:noProof/>
      </w:rPr>
      <w:fldChar w:fldCharType="separate"/>
    </w:r>
    <w:r w:rsidR="00174EBE">
      <w:rPr>
        <w:noProof/>
      </w:rPr>
      <w:t>8</w:t>
    </w:r>
    <w:r>
      <w:rPr>
        <w:noProof/>
      </w:rPr>
      <w:fldChar w:fldCharType="end"/>
    </w:r>
  </w:p>
  <w:p w14:paraId="764CCF46" w14:textId="77777777" w:rsidR="00F54910" w:rsidRDefault="00F549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7886B" w14:textId="77777777" w:rsidR="00681C63" w:rsidRDefault="00681C63" w:rsidP="00911781">
      <w:pPr>
        <w:spacing w:after="0" w:line="240" w:lineRule="auto"/>
      </w:pPr>
      <w:r>
        <w:separator/>
      </w:r>
    </w:p>
  </w:footnote>
  <w:footnote w:type="continuationSeparator" w:id="0">
    <w:p w14:paraId="10C7052C" w14:textId="77777777" w:rsidR="00681C63" w:rsidRDefault="00681C63" w:rsidP="00911781">
      <w:pPr>
        <w:spacing w:after="0" w:line="240" w:lineRule="auto"/>
      </w:pPr>
      <w:r>
        <w:continuationSeparator/>
      </w:r>
    </w:p>
  </w:footnote>
  <w:footnote w:id="1">
    <w:p w14:paraId="15B19E03" w14:textId="33076FCF" w:rsidR="003936E3" w:rsidRPr="005C724D" w:rsidRDefault="003936E3" w:rsidP="003936E3">
      <w:pPr>
        <w:pStyle w:val="Textonotapie"/>
        <w:rPr>
          <w:rFonts w:ascii="Century Gothic" w:hAnsi="Century Gothic"/>
          <w:sz w:val="10"/>
        </w:rPr>
      </w:pPr>
      <w:r w:rsidRPr="005C724D">
        <w:rPr>
          <w:rStyle w:val="Refdenotaalpie"/>
        </w:rPr>
        <w:footnoteRef/>
      </w:r>
      <w:r w:rsidRPr="005C724D">
        <w:t xml:space="preserve"> </w:t>
      </w:r>
      <w:r w:rsidRPr="005C724D">
        <w:rPr>
          <w:rFonts w:ascii="Century Gothic" w:hAnsi="Century Gothic"/>
          <w:sz w:val="12"/>
        </w:rPr>
        <w:fldChar w:fldCharType="begin"/>
      </w:r>
      <w:r w:rsidRPr="005C724D">
        <w:rPr>
          <w:rFonts w:ascii="Century Gothic" w:hAnsi="Century Gothic"/>
          <w:sz w:val="12"/>
        </w:rPr>
        <w:instrText xml:space="preserve"> BIBLIOGRAPHY  \l 2058 </w:instrText>
      </w:r>
      <w:r w:rsidRPr="005C724D">
        <w:rPr>
          <w:rFonts w:ascii="Century Gothic" w:hAnsi="Century Gothic"/>
          <w:sz w:val="12"/>
        </w:rPr>
        <w:fldChar w:fldCharType="separate"/>
      </w:r>
      <w:r w:rsidRPr="005C724D">
        <w:rPr>
          <w:rFonts w:ascii="Century Gothic" w:hAnsi="Century Gothic"/>
          <w:noProof/>
          <w:sz w:val="12"/>
        </w:rPr>
        <w:t xml:space="preserve">Muñoz, C. L. (octubre de 2008). </w:t>
      </w:r>
      <w:r w:rsidRPr="005C724D">
        <w:rPr>
          <w:rFonts w:ascii="Century Gothic" w:hAnsi="Century Gothic"/>
          <w:i/>
          <w:iCs/>
          <w:noProof/>
          <w:sz w:val="12"/>
        </w:rPr>
        <w:t>Archivos jurídicas UNAM</w:t>
      </w:r>
      <w:r w:rsidRPr="005C724D">
        <w:rPr>
          <w:rFonts w:ascii="Century Gothic" w:hAnsi="Century Gothic"/>
          <w:noProof/>
          <w:sz w:val="12"/>
        </w:rPr>
        <w:t>. Recuperado el enero de 2022, de Individualización judicial de las penas y medidas de seguridad: https://archivos.juridicas.unam.mx/www/bjv/libros/11/5230/9.pdf</w:t>
      </w:r>
    </w:p>
    <w:p w14:paraId="00A6B73C" w14:textId="266729D1" w:rsidR="003936E3" w:rsidRPr="005C724D" w:rsidRDefault="003936E3" w:rsidP="003936E3">
      <w:pPr>
        <w:pStyle w:val="Textonotapie"/>
        <w:rPr>
          <w:sz w:val="16"/>
        </w:rPr>
      </w:pPr>
      <w:r w:rsidRPr="005C724D">
        <w:rPr>
          <w:rFonts w:ascii="Century Gothic" w:hAnsi="Century Gothic"/>
          <w:sz w:val="10"/>
        </w:rPr>
        <w:fldChar w:fldCharType="end"/>
      </w:r>
    </w:p>
  </w:footnote>
  <w:footnote w:id="2">
    <w:p w14:paraId="12511059" w14:textId="7E8DC756" w:rsidR="005C724D" w:rsidRPr="005C724D" w:rsidRDefault="005C724D" w:rsidP="005C724D">
      <w:pPr>
        <w:pStyle w:val="Textonotapie"/>
        <w:ind w:right="-518"/>
        <w:rPr>
          <w:rFonts w:ascii="Century Gothic" w:hAnsi="Century Gothic"/>
          <w:sz w:val="12"/>
        </w:rPr>
      </w:pPr>
      <w:r w:rsidRPr="005C724D">
        <w:rPr>
          <w:rStyle w:val="Refdenotaalpie"/>
          <w:sz w:val="16"/>
        </w:rPr>
        <w:footnoteRef/>
      </w:r>
      <w:r w:rsidRPr="005C724D">
        <w:rPr>
          <w:rFonts w:ascii="Century Gothic" w:hAnsi="Century Gothic"/>
          <w:sz w:val="12"/>
        </w:rPr>
        <w:t xml:space="preserve"> </w:t>
      </w:r>
      <w:r w:rsidRPr="005C724D">
        <w:rPr>
          <w:rFonts w:ascii="Century Gothic" w:hAnsi="Century Gothic"/>
          <w:sz w:val="14"/>
        </w:rPr>
        <w:t xml:space="preserve">Chihuahua, H. C. (s.f.). Reformas Código Penal. Recuperado el enero de 2022, de https://www.congresochihuahua2.gob.mx/biblioteca/codigos/archivosCodigos/84.pdf </w:t>
      </w:r>
      <w:r w:rsidRPr="005C724D">
        <w:rPr>
          <w:rFonts w:ascii="Century Gothic" w:hAnsi="Century Gothic"/>
          <w:sz w:val="12"/>
        </w:rPr>
        <w:fldChar w:fldCharType="begin"/>
      </w:r>
      <w:r w:rsidRPr="005C724D">
        <w:rPr>
          <w:rFonts w:ascii="Century Gothic" w:hAnsi="Century Gothic"/>
          <w:sz w:val="12"/>
        </w:rPr>
        <w:instrText xml:space="preserve"> BIBLIOGRAPHY  \l 2058 </w:instrText>
      </w:r>
      <w:r w:rsidRPr="005C724D">
        <w:rPr>
          <w:rFonts w:ascii="Century Gothic" w:hAnsi="Century Gothic"/>
          <w:sz w:val="12"/>
        </w:rPr>
        <w:fldChar w:fldCharType="separate"/>
      </w:r>
    </w:p>
    <w:p w14:paraId="23CCB6DF" w14:textId="4AECD07B" w:rsidR="005C724D" w:rsidRDefault="005C724D" w:rsidP="005C724D">
      <w:pPr>
        <w:pStyle w:val="Textonotapie"/>
        <w:ind w:right="-518"/>
      </w:pPr>
      <w:r w:rsidRPr="005C724D">
        <w:rPr>
          <w:rFonts w:ascii="Century Gothic" w:hAnsi="Century Gothic"/>
          <w:sz w:val="12"/>
        </w:rPr>
        <w:fldChar w:fldCharType="end"/>
      </w:r>
    </w:p>
    <w:p w14:paraId="11C4ACD3" w14:textId="3531B1DA" w:rsidR="005C724D" w:rsidRDefault="005C724D" w:rsidP="005C724D">
      <w:pPr>
        <w:pStyle w:val="Textonotapie"/>
      </w:pPr>
    </w:p>
  </w:footnote>
  <w:footnote w:id="3">
    <w:p w14:paraId="48193332" w14:textId="6AE544F3" w:rsidR="005C724D" w:rsidRPr="005C724D" w:rsidRDefault="005C724D">
      <w:pPr>
        <w:pStyle w:val="Textonotapie"/>
        <w:rPr>
          <w:rFonts w:ascii="Century Gothic" w:hAnsi="Century Gothic"/>
        </w:rPr>
      </w:pPr>
      <w:r w:rsidRPr="005C724D">
        <w:rPr>
          <w:rStyle w:val="Refdenotaalpie"/>
          <w:rFonts w:ascii="Century Gothic" w:hAnsi="Century Gothic"/>
          <w:sz w:val="16"/>
        </w:rPr>
        <w:footnoteRef/>
      </w:r>
      <w:r w:rsidRPr="005C724D">
        <w:rPr>
          <w:rFonts w:ascii="Century Gothic" w:hAnsi="Century Gothic"/>
          <w:sz w:val="16"/>
        </w:rPr>
        <w:t xml:space="preserve"> Texto reformado mediante Decreto 397-08 I P. O. publicado en el P. O. E. el 18 de febrero de 2009, en vigor al día siguiente de su publicación.</w:t>
      </w:r>
    </w:p>
  </w:footnote>
  <w:footnote w:id="4">
    <w:p w14:paraId="698609AA" w14:textId="6920FF5F" w:rsidR="005C724D" w:rsidRPr="005C724D" w:rsidRDefault="005C724D">
      <w:pPr>
        <w:pStyle w:val="Textonotapie"/>
        <w:rPr>
          <w:rFonts w:ascii="Century Gothic" w:hAnsi="Century Gothic"/>
        </w:rPr>
      </w:pPr>
      <w:r w:rsidRPr="005C724D">
        <w:rPr>
          <w:rStyle w:val="Refdenotaalpie"/>
          <w:rFonts w:ascii="Century Gothic" w:hAnsi="Century Gothic"/>
          <w:sz w:val="16"/>
        </w:rPr>
        <w:footnoteRef/>
      </w:r>
      <w:r w:rsidRPr="005C724D">
        <w:rPr>
          <w:rFonts w:ascii="Century Gothic" w:hAnsi="Century Gothic"/>
          <w:sz w:val="16"/>
        </w:rPr>
        <w:t xml:space="preserve"> Texto reformado mediante Decreto 714-2014 I P. O., publicado en el P. O. E. el 29 de noviembre de 2014, en vigor al momento en el que inicie su vigencia el Código Nacional de Procedimientos Penales.</w:t>
      </w:r>
    </w:p>
  </w:footnote>
  <w:footnote w:id="5">
    <w:p w14:paraId="73A0573A" w14:textId="5690B3B9" w:rsidR="005C724D" w:rsidRPr="005C724D" w:rsidRDefault="005C724D">
      <w:pPr>
        <w:pStyle w:val="Textonotapie"/>
        <w:rPr>
          <w:rFonts w:ascii="Century Gothic" w:hAnsi="Century Gothic"/>
        </w:rPr>
      </w:pPr>
      <w:r w:rsidRPr="005C724D">
        <w:rPr>
          <w:rStyle w:val="Refdenotaalpie"/>
          <w:rFonts w:ascii="Century Gothic" w:hAnsi="Century Gothic"/>
          <w:sz w:val="16"/>
        </w:rPr>
        <w:footnoteRef/>
      </w:r>
      <w:r w:rsidRPr="005C724D">
        <w:rPr>
          <w:rFonts w:ascii="Century Gothic" w:hAnsi="Century Gothic"/>
          <w:sz w:val="16"/>
        </w:rPr>
        <w:t xml:space="preserve"> Texto reformado mediante Decreto 1130-2015 I P. O., publicado en el P. O. E. el 3 de febrero de 2016, en vigor al día siguiente de su publicación.</w:t>
      </w:r>
    </w:p>
  </w:footnote>
  <w:footnote w:id="6">
    <w:p w14:paraId="160C7853" w14:textId="77777777" w:rsidR="005C724D" w:rsidRDefault="005C724D" w:rsidP="005C724D">
      <w:pPr>
        <w:pStyle w:val="Textonotapie"/>
      </w:pPr>
      <w:r>
        <w:rPr>
          <w:rStyle w:val="Refdenotaalpie"/>
        </w:rPr>
        <w:footnoteRef/>
      </w:r>
      <w:r>
        <w:t xml:space="preserve"> </w:t>
      </w:r>
      <w:r w:rsidRPr="005C724D">
        <w:rPr>
          <w:rFonts w:ascii="Century Gothic" w:hAnsi="Century Gothic"/>
          <w:sz w:val="12"/>
        </w:rPr>
        <w:t>Chihuahua, H. C. (s.f.). Reformas Código Penal. R</w:t>
      </w:r>
      <w:r>
        <w:rPr>
          <w:rFonts w:ascii="Century Gothic" w:hAnsi="Century Gothic"/>
          <w:sz w:val="12"/>
        </w:rPr>
        <w:t xml:space="preserve">ecuperado el enero de 2022, de </w:t>
      </w:r>
      <w:r w:rsidRPr="005C724D">
        <w:rPr>
          <w:rFonts w:ascii="Century Gothic" w:hAnsi="Century Gothic"/>
          <w:sz w:val="12"/>
        </w:rPr>
        <w:t>https://www.congresochihuahua2.gob.mx/biblioteca/codigos/archivosCodigos/84.pdf</w:t>
      </w:r>
    </w:p>
  </w:footnote>
  <w:footnote w:id="7">
    <w:p w14:paraId="4B5743DA" w14:textId="77777777" w:rsidR="005C724D" w:rsidRPr="005C724D" w:rsidRDefault="005C724D" w:rsidP="005C724D">
      <w:pPr>
        <w:pStyle w:val="Textonotapie"/>
        <w:rPr>
          <w:rFonts w:ascii="Century Gothic" w:hAnsi="Century Gothic"/>
        </w:rPr>
      </w:pPr>
      <w:r w:rsidRPr="005C724D">
        <w:rPr>
          <w:rStyle w:val="Refdenotaalpie"/>
          <w:rFonts w:ascii="Century Gothic" w:hAnsi="Century Gothic"/>
          <w:sz w:val="16"/>
        </w:rPr>
        <w:footnoteRef/>
      </w:r>
      <w:r w:rsidRPr="005C724D">
        <w:rPr>
          <w:rFonts w:ascii="Century Gothic" w:hAnsi="Century Gothic"/>
          <w:sz w:val="16"/>
        </w:rPr>
        <w:t xml:space="preserve"> https://www.congresochihuahua2.gob.mx/biblioteca/codigos/archivosCodigos/64.pdf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BFF2C" w14:textId="4E7D4B77" w:rsidR="00F54910" w:rsidRDefault="00F54910" w:rsidP="009B4D2C">
    <w:pPr>
      <w:pStyle w:val="Encabezado"/>
      <w:tabs>
        <w:tab w:val="clear" w:pos="4419"/>
        <w:tab w:val="clear" w:pos="8838"/>
        <w:tab w:val="left" w:pos="5670"/>
      </w:tabs>
    </w:pPr>
    <w:r>
      <w:rPr>
        <w:noProof/>
        <w:lang w:eastAsia="es-MX"/>
      </w:rPr>
      <mc:AlternateContent>
        <mc:Choice Requires="wps">
          <w:drawing>
            <wp:anchor distT="0" distB="0" distL="114300" distR="114300" simplePos="0" relativeHeight="251659264" behindDoc="0" locked="0" layoutInCell="1" allowOverlap="1" wp14:anchorId="37C4E9B9" wp14:editId="0AD3CCB4">
              <wp:simplePos x="0" y="0"/>
              <wp:positionH relativeFrom="column">
                <wp:posOffset>1682115</wp:posOffset>
              </wp:positionH>
              <wp:positionV relativeFrom="paragraph">
                <wp:posOffset>6985</wp:posOffset>
              </wp:positionV>
              <wp:extent cx="4495800" cy="5524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495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C9B28" w14:textId="77777777" w:rsidR="00F54910" w:rsidRDefault="00F54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C4E9B9" id="_x0000_t202" coordsize="21600,21600" o:spt="202" path="m,l,21600r21600,l21600,xe">
              <v:stroke joinstyle="miter"/>
              <v:path gradientshapeok="t" o:connecttype="rect"/>
            </v:shapetype>
            <v:shape id="Cuadro de texto 2" o:spid="_x0000_s1026" type="#_x0000_t202" style="position:absolute;margin-left:132.45pt;margin-top:.55pt;width:354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" fillcolor="white [3201]" stroked="f" strokeweight=".5pt">
              <v:textbox>
                <w:txbxContent>
                  <w:p w14:paraId="45DC9B28" w14:textId="77777777" w:rsidR="00F54910" w:rsidRDefault="00F54910"/>
                </w:txbxContent>
              </v:textbox>
            </v:shape>
          </w:pict>
        </mc:Fallback>
      </mc:AlternateContent>
    </w:r>
    <w:r w:rsidRPr="00556FBF">
      <w:rPr>
        <w:noProof/>
        <w:lang w:eastAsia="es-MX"/>
      </w:rPr>
      <w:drawing>
        <wp:inline distT="0" distB="0" distL="0" distR="0" wp14:anchorId="022041A5" wp14:editId="5512A85C">
          <wp:extent cx="1066800" cy="1158240"/>
          <wp:effectExtent l="0" t="0" r="0" b="3810"/>
          <wp:docPr id="1" name="Imagen 1"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824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780"/>
    <w:multiLevelType w:val="hybridMultilevel"/>
    <w:tmpl w:val="56ECF62A"/>
    <w:lvl w:ilvl="0" w:tplc="0486C21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C6212"/>
    <w:multiLevelType w:val="hybridMultilevel"/>
    <w:tmpl w:val="87B0D3C6"/>
    <w:lvl w:ilvl="0" w:tplc="7A86E6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21E32B63"/>
    <w:multiLevelType w:val="hybridMultilevel"/>
    <w:tmpl w:val="83FCCA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3A473B"/>
    <w:multiLevelType w:val="hybridMultilevel"/>
    <w:tmpl w:val="51EE74B0"/>
    <w:lvl w:ilvl="0" w:tplc="B2F6132A">
      <w:start w:val="1"/>
      <w:numFmt w:val="decimal"/>
      <w:lvlText w:val="%1."/>
      <w:lvlJc w:val="left"/>
      <w:pPr>
        <w:ind w:left="720" w:hanging="360"/>
      </w:pPr>
      <w:rPr>
        <w:rFonts w:hint="default"/>
        <w:b/>
        <w:color w:val="auto"/>
      </w:rPr>
    </w:lvl>
    <w:lvl w:ilvl="1" w:tplc="04DEF9DE">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8B4283"/>
    <w:multiLevelType w:val="hybridMultilevel"/>
    <w:tmpl w:val="AD0A07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DF12FC"/>
    <w:multiLevelType w:val="hybridMultilevel"/>
    <w:tmpl w:val="C1D248BA"/>
    <w:lvl w:ilvl="0" w:tplc="72F6CBCE">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392DBB"/>
    <w:multiLevelType w:val="hybridMultilevel"/>
    <w:tmpl w:val="C3761ED0"/>
    <w:lvl w:ilvl="0" w:tplc="53289B5C">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EC21D8"/>
    <w:multiLevelType w:val="hybridMultilevel"/>
    <w:tmpl w:val="880CD1CA"/>
    <w:lvl w:ilvl="0" w:tplc="C02281AE">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E739A1"/>
    <w:multiLevelType w:val="hybridMultilevel"/>
    <w:tmpl w:val="CE0296C6"/>
    <w:lvl w:ilvl="0" w:tplc="71821A5E">
      <w:start w:val="1"/>
      <w:numFmt w:val="decimal"/>
      <w:lvlText w:val="%1."/>
      <w:lvlJc w:val="left"/>
      <w:pPr>
        <w:ind w:left="720" w:hanging="360"/>
      </w:pPr>
      <w:rPr>
        <w:rFonts w:ascii="Garamond" w:eastAsia="Times New Roman" w:hAnsi="Garamond" w:hint="default"/>
        <w:color w:val="2F2F2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7"/>
  </w:num>
  <w:num w:numId="6">
    <w:abstractNumId w:val="5"/>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781"/>
    <w:rsid w:val="00045550"/>
    <w:rsid w:val="00046F2F"/>
    <w:rsid w:val="00061DAC"/>
    <w:rsid w:val="000712CD"/>
    <w:rsid w:val="00083F31"/>
    <w:rsid w:val="00093F5C"/>
    <w:rsid w:val="00097F33"/>
    <w:rsid w:val="000B36E2"/>
    <w:rsid w:val="000E5F1B"/>
    <w:rsid w:val="00117AF8"/>
    <w:rsid w:val="00137934"/>
    <w:rsid w:val="00140D3B"/>
    <w:rsid w:val="00160C2B"/>
    <w:rsid w:val="00174EBE"/>
    <w:rsid w:val="001E4EAD"/>
    <w:rsid w:val="0020053C"/>
    <w:rsid w:val="00222102"/>
    <w:rsid w:val="002906C5"/>
    <w:rsid w:val="002B6457"/>
    <w:rsid w:val="003076E7"/>
    <w:rsid w:val="00355DA9"/>
    <w:rsid w:val="003733B3"/>
    <w:rsid w:val="003936E3"/>
    <w:rsid w:val="003A44BE"/>
    <w:rsid w:val="003C36BE"/>
    <w:rsid w:val="004119AD"/>
    <w:rsid w:val="00474A0C"/>
    <w:rsid w:val="00492A76"/>
    <w:rsid w:val="004A3C0B"/>
    <w:rsid w:val="00512F5D"/>
    <w:rsid w:val="0052690C"/>
    <w:rsid w:val="00554EF1"/>
    <w:rsid w:val="00582204"/>
    <w:rsid w:val="00593A61"/>
    <w:rsid w:val="005A1E5A"/>
    <w:rsid w:val="005B1592"/>
    <w:rsid w:val="005C724D"/>
    <w:rsid w:val="005D70AE"/>
    <w:rsid w:val="005D7D0F"/>
    <w:rsid w:val="00612110"/>
    <w:rsid w:val="006219AE"/>
    <w:rsid w:val="006337B7"/>
    <w:rsid w:val="00681C63"/>
    <w:rsid w:val="00694639"/>
    <w:rsid w:val="006B043E"/>
    <w:rsid w:val="006B103F"/>
    <w:rsid w:val="006D560B"/>
    <w:rsid w:val="006F10CC"/>
    <w:rsid w:val="00733950"/>
    <w:rsid w:val="00744E81"/>
    <w:rsid w:val="00801D1F"/>
    <w:rsid w:val="00820606"/>
    <w:rsid w:val="00830DC0"/>
    <w:rsid w:val="00833C82"/>
    <w:rsid w:val="008959F9"/>
    <w:rsid w:val="008D3E4F"/>
    <w:rsid w:val="008D75A1"/>
    <w:rsid w:val="00911781"/>
    <w:rsid w:val="00916884"/>
    <w:rsid w:val="009209D0"/>
    <w:rsid w:val="0097282B"/>
    <w:rsid w:val="009B4D2C"/>
    <w:rsid w:val="009B59C7"/>
    <w:rsid w:val="00A21484"/>
    <w:rsid w:val="00A524EF"/>
    <w:rsid w:val="00A52857"/>
    <w:rsid w:val="00A56A7E"/>
    <w:rsid w:val="00A6748B"/>
    <w:rsid w:val="00A70487"/>
    <w:rsid w:val="00A74065"/>
    <w:rsid w:val="00A87932"/>
    <w:rsid w:val="00AB2FBF"/>
    <w:rsid w:val="00AF15CB"/>
    <w:rsid w:val="00AF2B47"/>
    <w:rsid w:val="00B357C0"/>
    <w:rsid w:val="00B47FCF"/>
    <w:rsid w:val="00B56060"/>
    <w:rsid w:val="00B94875"/>
    <w:rsid w:val="00BC294B"/>
    <w:rsid w:val="00BD3AE5"/>
    <w:rsid w:val="00BE5453"/>
    <w:rsid w:val="00CA168D"/>
    <w:rsid w:val="00D3548E"/>
    <w:rsid w:val="00D608CC"/>
    <w:rsid w:val="00D74C3F"/>
    <w:rsid w:val="00DB0BAB"/>
    <w:rsid w:val="00DD06B7"/>
    <w:rsid w:val="00E85935"/>
    <w:rsid w:val="00EA525F"/>
    <w:rsid w:val="00EC4AB7"/>
    <w:rsid w:val="00F147BB"/>
    <w:rsid w:val="00F5288D"/>
    <w:rsid w:val="00F54910"/>
    <w:rsid w:val="00F70BA5"/>
    <w:rsid w:val="00F76435"/>
    <w:rsid w:val="00F86730"/>
    <w:rsid w:val="00F940AF"/>
    <w:rsid w:val="00FF64C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854D47"/>
  <w15:docId w15:val="{D20521EE-24EE-406D-B9B0-E921E5E97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781"/>
    <w:pPr>
      <w:spacing w:after="200" w:line="276" w:lineRule="auto"/>
    </w:pPr>
    <w:rPr>
      <w:rFonts w:ascii="Calibri" w:eastAsia="Calibri" w:hAnsi="Calibri" w:cs="Times New Roman"/>
      <w:lang w:val="es-MX"/>
    </w:rPr>
  </w:style>
  <w:style w:type="paragraph" w:styleId="Ttulo1">
    <w:name w:val="heading 1"/>
    <w:basedOn w:val="Normal"/>
    <w:next w:val="Normal"/>
    <w:link w:val="Ttulo1Car"/>
    <w:uiPriority w:val="9"/>
    <w:qFormat/>
    <w:rsid w:val="00EA52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B4D2C"/>
    <w:pPr>
      <w:keepNext/>
      <w:keepLines/>
      <w:spacing w:before="360" w:after="80" w:line="240" w:lineRule="auto"/>
      <w:outlineLvl w:val="1"/>
    </w:pPr>
    <w:rPr>
      <w:rFonts w:ascii="Times New Roman" w:eastAsia="Times New Roman" w:hAnsi="Times New Roman"/>
      <w:b/>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11781"/>
    <w:pPr>
      <w:autoSpaceDE w:val="0"/>
      <w:autoSpaceDN w:val="0"/>
      <w:adjustRightInd w:val="0"/>
      <w:spacing w:after="0" w:line="240" w:lineRule="auto"/>
    </w:pPr>
    <w:rPr>
      <w:rFonts w:ascii="Cambria" w:eastAsia="Times New Roman" w:hAnsi="Cambria" w:cs="Cambria"/>
      <w:color w:val="000000"/>
      <w:sz w:val="24"/>
      <w:szCs w:val="24"/>
      <w:lang w:val="es-MX" w:eastAsia="es-MX"/>
    </w:rPr>
  </w:style>
  <w:style w:type="paragraph" w:styleId="Textonotapie">
    <w:name w:val="footnote text"/>
    <w:basedOn w:val="Normal"/>
    <w:link w:val="TextonotapieCar"/>
    <w:uiPriority w:val="99"/>
    <w:unhideWhenUsed/>
    <w:rsid w:val="00911781"/>
    <w:pPr>
      <w:spacing w:after="0" w:line="240" w:lineRule="auto"/>
    </w:pPr>
    <w:rPr>
      <w:sz w:val="20"/>
      <w:szCs w:val="20"/>
    </w:rPr>
  </w:style>
  <w:style w:type="character" w:customStyle="1" w:styleId="TextonotapieCar">
    <w:name w:val="Texto nota pie Car"/>
    <w:basedOn w:val="Fuentedeprrafopredeter"/>
    <w:link w:val="Textonotapie"/>
    <w:uiPriority w:val="99"/>
    <w:rsid w:val="00911781"/>
    <w:rPr>
      <w:rFonts w:ascii="Calibri" w:eastAsia="Calibri" w:hAnsi="Calibri" w:cs="Times New Roman"/>
      <w:sz w:val="20"/>
      <w:szCs w:val="20"/>
      <w:lang w:val="es-MX"/>
    </w:rPr>
  </w:style>
  <w:style w:type="character" w:styleId="Refdenotaalpie">
    <w:name w:val="footnote reference"/>
    <w:uiPriority w:val="99"/>
    <w:semiHidden/>
    <w:unhideWhenUsed/>
    <w:rsid w:val="00911781"/>
    <w:rPr>
      <w:vertAlign w:val="superscript"/>
    </w:rPr>
  </w:style>
  <w:style w:type="paragraph" w:styleId="Encabezado">
    <w:name w:val="header"/>
    <w:basedOn w:val="Normal"/>
    <w:link w:val="EncabezadoCar"/>
    <w:uiPriority w:val="99"/>
    <w:unhideWhenUsed/>
    <w:rsid w:val="009117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1781"/>
    <w:rPr>
      <w:rFonts w:ascii="Calibri" w:eastAsia="Calibri" w:hAnsi="Calibri" w:cs="Times New Roman"/>
      <w:lang w:val="es-MX"/>
    </w:rPr>
  </w:style>
  <w:style w:type="paragraph" w:styleId="Piedepgina">
    <w:name w:val="footer"/>
    <w:basedOn w:val="Normal"/>
    <w:link w:val="PiedepginaCar"/>
    <w:uiPriority w:val="99"/>
    <w:unhideWhenUsed/>
    <w:rsid w:val="009117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1781"/>
    <w:rPr>
      <w:rFonts w:ascii="Calibri" w:eastAsia="Calibri" w:hAnsi="Calibri" w:cs="Times New Roman"/>
      <w:lang w:val="es-MX"/>
    </w:rPr>
  </w:style>
  <w:style w:type="paragraph" w:styleId="Prrafodelista">
    <w:name w:val="List Paragraph"/>
    <w:basedOn w:val="Normal"/>
    <w:uiPriority w:val="34"/>
    <w:qFormat/>
    <w:rsid w:val="00911781"/>
    <w:pPr>
      <w:ind w:left="720"/>
      <w:contextualSpacing/>
    </w:pPr>
  </w:style>
  <w:style w:type="character" w:styleId="Hipervnculo">
    <w:name w:val="Hyperlink"/>
    <w:uiPriority w:val="99"/>
    <w:unhideWhenUsed/>
    <w:rsid w:val="00911781"/>
    <w:rPr>
      <w:color w:val="0000FF"/>
      <w:u w:val="single"/>
    </w:rPr>
  </w:style>
  <w:style w:type="paragraph" w:customStyle="1" w:styleId="fichasinternet">
    <w:name w:val="fichasinternet"/>
    <w:basedOn w:val="Normal"/>
    <w:rsid w:val="0091178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Cuadrculadetablaclara1">
    <w:name w:val="Cuadrícula de tabla clara1"/>
    <w:basedOn w:val="Tablanormal"/>
    <w:uiPriority w:val="40"/>
    <w:rsid w:val="00DB0BAB"/>
    <w:pPr>
      <w:spacing w:after="0" w:line="240" w:lineRule="auto"/>
    </w:pPr>
    <w:rPr>
      <w:rFonts w:ascii="Calibri" w:eastAsia="Times New Roman" w:hAnsi="Calibri" w:cs="Times New Roman"/>
      <w:sz w:val="20"/>
      <w:szCs w:val="20"/>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rsid w:val="009B4D2C"/>
    <w:rPr>
      <w:rFonts w:ascii="Times New Roman" w:eastAsia="Times New Roman" w:hAnsi="Times New Roman" w:cs="Times New Roman"/>
      <w:b/>
      <w:sz w:val="36"/>
      <w:szCs w:val="36"/>
      <w:lang w:val="es-MX" w:eastAsia="es-MX"/>
    </w:rPr>
  </w:style>
  <w:style w:type="paragraph" w:styleId="Textodeglobo">
    <w:name w:val="Balloon Text"/>
    <w:basedOn w:val="Normal"/>
    <w:link w:val="TextodegloboCar"/>
    <w:uiPriority w:val="99"/>
    <w:semiHidden/>
    <w:unhideWhenUsed/>
    <w:rsid w:val="00F70BA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0BA5"/>
    <w:rPr>
      <w:rFonts w:ascii="Lucida Grande" w:eastAsia="Calibri" w:hAnsi="Lucida Grande" w:cs="Lucida Grande"/>
      <w:sz w:val="18"/>
      <w:szCs w:val="18"/>
      <w:lang w:val="es-MX"/>
    </w:rPr>
  </w:style>
  <w:style w:type="character" w:styleId="Hipervnculovisitado">
    <w:name w:val="FollowedHyperlink"/>
    <w:basedOn w:val="Fuentedeprrafopredeter"/>
    <w:uiPriority w:val="99"/>
    <w:semiHidden/>
    <w:unhideWhenUsed/>
    <w:rsid w:val="00B94875"/>
    <w:rPr>
      <w:color w:val="954F72" w:themeColor="followedHyperlink"/>
      <w:u w:val="single"/>
    </w:rPr>
  </w:style>
  <w:style w:type="character" w:customStyle="1" w:styleId="Ttulo1Car">
    <w:name w:val="Título 1 Car"/>
    <w:basedOn w:val="Fuentedeprrafopredeter"/>
    <w:link w:val="Ttulo1"/>
    <w:uiPriority w:val="9"/>
    <w:rsid w:val="00EA525F"/>
    <w:rPr>
      <w:rFonts w:asciiTheme="majorHAnsi" w:eastAsiaTheme="majorEastAsia" w:hAnsiTheme="majorHAnsi" w:cstheme="majorBidi"/>
      <w:color w:val="2F5496" w:themeColor="accent1" w:themeShade="BF"/>
      <w:sz w:val="32"/>
      <w:szCs w:val="32"/>
      <w:lang w:val="es-MX"/>
    </w:rPr>
  </w:style>
  <w:style w:type="paragraph" w:styleId="Bibliografa">
    <w:name w:val="Bibliography"/>
    <w:basedOn w:val="Normal"/>
    <w:next w:val="Normal"/>
    <w:uiPriority w:val="37"/>
    <w:unhideWhenUsed/>
    <w:rsid w:val="003936E3"/>
  </w:style>
  <w:style w:type="table" w:styleId="Tablaconcuadrcula">
    <w:name w:val="Table Grid"/>
    <w:basedOn w:val="Tablanormal"/>
    <w:uiPriority w:val="39"/>
    <w:rsid w:val="005C724D"/>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0546">
      <w:bodyDiv w:val="1"/>
      <w:marLeft w:val="0"/>
      <w:marRight w:val="0"/>
      <w:marTop w:val="0"/>
      <w:marBottom w:val="0"/>
      <w:divBdr>
        <w:top w:val="none" w:sz="0" w:space="0" w:color="auto"/>
        <w:left w:val="none" w:sz="0" w:space="0" w:color="auto"/>
        <w:bottom w:val="none" w:sz="0" w:space="0" w:color="auto"/>
        <w:right w:val="none" w:sz="0" w:space="0" w:color="auto"/>
      </w:divBdr>
    </w:div>
    <w:div w:id="81420032">
      <w:bodyDiv w:val="1"/>
      <w:marLeft w:val="0"/>
      <w:marRight w:val="0"/>
      <w:marTop w:val="0"/>
      <w:marBottom w:val="0"/>
      <w:divBdr>
        <w:top w:val="none" w:sz="0" w:space="0" w:color="auto"/>
        <w:left w:val="none" w:sz="0" w:space="0" w:color="auto"/>
        <w:bottom w:val="none" w:sz="0" w:space="0" w:color="auto"/>
        <w:right w:val="none" w:sz="0" w:space="0" w:color="auto"/>
      </w:divBdr>
    </w:div>
    <w:div w:id="458228284">
      <w:bodyDiv w:val="1"/>
      <w:marLeft w:val="0"/>
      <w:marRight w:val="0"/>
      <w:marTop w:val="0"/>
      <w:marBottom w:val="0"/>
      <w:divBdr>
        <w:top w:val="none" w:sz="0" w:space="0" w:color="auto"/>
        <w:left w:val="none" w:sz="0" w:space="0" w:color="auto"/>
        <w:bottom w:val="none" w:sz="0" w:space="0" w:color="auto"/>
        <w:right w:val="none" w:sz="0" w:space="0" w:color="auto"/>
      </w:divBdr>
    </w:div>
    <w:div w:id="819734123">
      <w:bodyDiv w:val="1"/>
      <w:marLeft w:val="0"/>
      <w:marRight w:val="0"/>
      <w:marTop w:val="0"/>
      <w:marBottom w:val="0"/>
      <w:divBdr>
        <w:top w:val="none" w:sz="0" w:space="0" w:color="auto"/>
        <w:left w:val="none" w:sz="0" w:space="0" w:color="auto"/>
        <w:bottom w:val="none" w:sz="0" w:space="0" w:color="auto"/>
        <w:right w:val="none" w:sz="0" w:space="0" w:color="auto"/>
      </w:divBdr>
    </w:div>
    <w:div w:id="1297446268">
      <w:bodyDiv w:val="1"/>
      <w:marLeft w:val="0"/>
      <w:marRight w:val="0"/>
      <w:marTop w:val="0"/>
      <w:marBottom w:val="0"/>
      <w:divBdr>
        <w:top w:val="none" w:sz="0" w:space="0" w:color="auto"/>
        <w:left w:val="none" w:sz="0" w:space="0" w:color="auto"/>
        <w:bottom w:val="none" w:sz="0" w:space="0" w:color="auto"/>
        <w:right w:val="none" w:sz="0" w:space="0" w:color="auto"/>
      </w:divBdr>
    </w:div>
    <w:div w:id="1378236365">
      <w:bodyDiv w:val="1"/>
      <w:marLeft w:val="0"/>
      <w:marRight w:val="0"/>
      <w:marTop w:val="0"/>
      <w:marBottom w:val="0"/>
      <w:divBdr>
        <w:top w:val="none" w:sz="0" w:space="0" w:color="auto"/>
        <w:left w:val="none" w:sz="0" w:space="0" w:color="auto"/>
        <w:bottom w:val="none" w:sz="0" w:space="0" w:color="auto"/>
        <w:right w:val="none" w:sz="0" w:space="0" w:color="auto"/>
      </w:divBdr>
    </w:div>
    <w:div w:id="1589341666">
      <w:bodyDiv w:val="1"/>
      <w:marLeft w:val="0"/>
      <w:marRight w:val="0"/>
      <w:marTop w:val="0"/>
      <w:marBottom w:val="0"/>
      <w:divBdr>
        <w:top w:val="none" w:sz="0" w:space="0" w:color="auto"/>
        <w:left w:val="none" w:sz="0" w:space="0" w:color="auto"/>
        <w:bottom w:val="none" w:sz="0" w:space="0" w:color="auto"/>
        <w:right w:val="none" w:sz="0" w:space="0" w:color="auto"/>
      </w:divBdr>
    </w:div>
    <w:div w:id="1791583457">
      <w:bodyDiv w:val="1"/>
      <w:marLeft w:val="0"/>
      <w:marRight w:val="0"/>
      <w:marTop w:val="0"/>
      <w:marBottom w:val="0"/>
      <w:divBdr>
        <w:top w:val="none" w:sz="0" w:space="0" w:color="auto"/>
        <w:left w:val="none" w:sz="0" w:space="0" w:color="auto"/>
        <w:bottom w:val="none" w:sz="0" w:space="0" w:color="auto"/>
        <w:right w:val="none" w:sz="0" w:space="0" w:color="auto"/>
      </w:divBdr>
    </w:div>
    <w:div w:id="189176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Car08</b:Tag>
    <b:SourceType>InternetSite</b:SourceType>
    <b:Guid>{21DFC0D8-8675-45E2-AD32-322B3FE6908E}</b:Guid>
    <b:Author>
      <b:Author>
        <b:NameList>
          <b:Person>
            <b:Last>Muñoz</b:Last>
            <b:First>Carlos</b:First>
            <b:Middle>Loranca</b:Middle>
          </b:Person>
        </b:NameList>
      </b:Author>
    </b:Author>
    <b:Title>Archivos jurídicas UNAM</b:Title>
    <b:InternetSiteTitle>Individualización judicial de las penas y medidas de seguridad</b:InternetSiteTitle>
    <b:Year>2008</b:Year>
    <b:Month>octubre</b:Month>
    <b:URL>https://archivos.juridicas.unam.mx/www/bjv/libros/11/5230/9.pdf</b:URL>
    <b:YearAccessed>2022</b:YearAccessed>
    <b:MonthAccessed>enero</b:MonthAccessed>
    <b:RefOrder>1</b:RefOrder>
  </b:Source>
  <b:Source>
    <b:Tag>HCo22</b:Tag>
    <b:SourceType>InternetSite</b:SourceType>
    <b:Guid>{303DBDDB-921F-4CFE-9E3F-D407E37B63E7}</b:Guid>
    <b:Title>Reformas Código Penal</b:Title>
    <b:URL>https://www.congresochihuahua2.gob.mx/biblioteca/codigos/archivosCodigos/84.pdf</b:URL>
    <b:Author>
      <b:Author>
        <b:NameList>
          <b:Person>
            <b:Last>Chihuahua</b:Last>
            <b:First>H.</b:First>
            <b:Middle>Congreso del Estado de</b:Middle>
          </b:Person>
        </b:NameList>
      </b:Author>
    </b:Author>
    <b:YearAccessed>2022</b:YearAccessed>
    <b:MonthAccessed>enero</b:MonthAccessed>
    <b:RefOrder>2</b:RefOrder>
  </b:Source>
</b:Sources>
</file>

<file path=customXml/itemProps1.xml><?xml version="1.0" encoding="utf-8"?>
<ds:datastoreItem xmlns:ds="http://schemas.openxmlformats.org/officeDocument/2006/customXml" ds:itemID="{8DC585D6-3BC0-4EB0-B480-8CCE9F49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8</Pages>
  <Words>2287</Words>
  <Characters>12582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Xelipe de Xesus</dc:creator>
  <cp:keywords/>
  <dc:description/>
  <cp:lastModifiedBy>Sara Mejía Velásquez</cp:lastModifiedBy>
  <cp:revision>6</cp:revision>
  <dcterms:created xsi:type="dcterms:W3CDTF">2022-01-31T22:09:00Z</dcterms:created>
  <dcterms:modified xsi:type="dcterms:W3CDTF">2022-04-18T16:25:00Z</dcterms:modified>
</cp:coreProperties>
</file>