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29" w:rsidRPr="00CA16A7" w:rsidRDefault="008E0229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H. CONGRESO DEL ESTADO DE CHIHUAHUA</w:t>
      </w:r>
    </w:p>
    <w:p w:rsidR="008E0229" w:rsidRPr="00CA16A7" w:rsidRDefault="008E0229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P R E S E N T E. </w:t>
      </w:r>
    </w:p>
    <w:p w:rsidR="008E0229" w:rsidRPr="00CA16A7" w:rsidRDefault="008E0229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CA16A7">
        <w:rPr>
          <w:rFonts w:ascii="Century Gothic" w:eastAsia="Century Gothic" w:hAnsi="Century Gothic" w:cs="Century Gothic"/>
          <w:sz w:val="24"/>
          <w:szCs w:val="24"/>
        </w:rPr>
        <w:t>L</w:t>
      </w:r>
      <w:r w:rsidR="00D9008B">
        <w:rPr>
          <w:rFonts w:ascii="Century Gothic" w:eastAsia="Century Gothic" w:hAnsi="Century Gothic" w:cs="Century Gothic"/>
          <w:sz w:val="24"/>
          <w:szCs w:val="24"/>
        </w:rPr>
        <w:t>as y l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 xml:space="preserve">os que suscriben 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Leticia Ortega Máynez, </w:t>
      </w:r>
      <w:proofErr w:type="spellStart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Edin</w:t>
      </w:r>
      <w:proofErr w:type="spellEnd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 Cuauhtémoc Estrada Sotelo, Óscar Daniel </w:t>
      </w:r>
      <w:proofErr w:type="spellStart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Avitia</w:t>
      </w:r>
      <w:proofErr w:type="spellEnd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proofErr w:type="spellStart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Arellan</w:t>
      </w:r>
      <w:r w:rsidR="00F31571">
        <w:rPr>
          <w:rFonts w:ascii="Century Gothic" w:eastAsia="Century Gothic" w:hAnsi="Century Gothic" w:cs="Century Gothic"/>
          <w:b/>
          <w:sz w:val="24"/>
          <w:szCs w:val="24"/>
        </w:rPr>
        <w:t>es</w:t>
      </w:r>
      <w:proofErr w:type="spellEnd"/>
      <w:r w:rsidR="00F31571">
        <w:rPr>
          <w:rFonts w:ascii="Century Gothic" w:eastAsia="Century Gothic" w:hAnsi="Century Gothic" w:cs="Century Gothic"/>
          <w:b/>
          <w:sz w:val="24"/>
          <w:szCs w:val="24"/>
        </w:rPr>
        <w:t>, Rosana Díaz Reyes, Gustavo d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e la Rosa </w:t>
      </w:r>
      <w:proofErr w:type="spellStart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Hickerson</w:t>
      </w:r>
      <w:proofErr w:type="spellEnd"/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, Magdalena Rentería Pérez, María Antonieta Pérez Reyes, Adriana Terrazas Porras, Benjamín Carrera Chávez y David Óscar Castrejón Rivas, 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>en nuestro carácter de Diputadas y Diputados de la Sexagésima Séptima Legislatura del Honorable Congreso del Estado de Chihuahua e integrantes de</w:t>
      </w:r>
      <w:r w:rsidR="00F31571">
        <w:rPr>
          <w:rFonts w:ascii="Century Gothic" w:eastAsia="Century Gothic" w:hAnsi="Century Gothic" w:cs="Century Gothic"/>
          <w:sz w:val="24"/>
          <w:szCs w:val="24"/>
        </w:rPr>
        <w:t>l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31571">
        <w:rPr>
          <w:rFonts w:ascii="Century Gothic" w:eastAsia="Century Gothic" w:hAnsi="Century Gothic" w:cs="Century Gothic"/>
          <w:b/>
          <w:sz w:val="24"/>
          <w:szCs w:val="24"/>
        </w:rPr>
        <w:t>Grupo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 Parlamentario de MORENA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 xml:space="preserve"> con fundamento en lo dispuesto por los artículos 68 fracción I, de la Constitución Política del Estado de Chihuahua;167 fracción I, de la Ley Orgánica del Poder Legislativo; así como los numerales 75 y 77 del Reglamento Interior de Prácticas Parlamentarias del Poder Legislativo; todos ordenamientos del Estado de Chihuahua, acudimos ante esta Honorable Asamblea Legislativa, a fin de someter a consideración del Pleno el siguiente proyecto con 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carácter de DECRETO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por medio del cual se modifican los artículos 28, fracciones XXII y XXIII y 32 fracciones XIV y XV de la Ley Estatal del Derecho de las Mujeres a una Vida Libre de Violencia </w:t>
      </w:r>
      <w:r w:rsidRPr="00CA16A7">
        <w:rPr>
          <w:rFonts w:ascii="Century Gothic" w:eastAsia="Century Gothic" w:hAnsi="Century Gothic" w:cs="Century Gothic"/>
          <w:sz w:val="24"/>
          <w:szCs w:val="24"/>
        </w:rPr>
        <w:t>con sustento en la siguiente:</w:t>
      </w:r>
    </w:p>
    <w:p w:rsidR="00CA16A7" w:rsidRPr="00CA16A7" w:rsidRDefault="00CA16A7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FE7E68" w:rsidRDefault="00BF3138" w:rsidP="008E0229">
      <w:pPr>
        <w:spacing w:line="360" w:lineRule="auto"/>
        <w:ind w:left="709"/>
        <w:jc w:val="center"/>
        <w:rPr>
          <w:rFonts w:ascii="Century Gothic" w:hAnsi="Century Gothic"/>
          <w:b/>
          <w:sz w:val="24"/>
          <w:szCs w:val="24"/>
        </w:rPr>
      </w:pPr>
      <w:r w:rsidRPr="00CA16A7">
        <w:rPr>
          <w:rFonts w:ascii="Century Gothic" w:hAnsi="Century Gothic"/>
          <w:b/>
          <w:sz w:val="24"/>
          <w:szCs w:val="24"/>
        </w:rPr>
        <w:t xml:space="preserve">EXPOSICIÓN DE MOTIVOS </w:t>
      </w:r>
    </w:p>
    <w:p w:rsidR="009E7D60" w:rsidRPr="00CA16A7" w:rsidRDefault="009E7D60" w:rsidP="008E0229">
      <w:pPr>
        <w:spacing w:line="360" w:lineRule="auto"/>
        <w:ind w:left="709"/>
        <w:jc w:val="center"/>
        <w:rPr>
          <w:rFonts w:ascii="Century Gothic" w:hAnsi="Century Gothic"/>
          <w:b/>
          <w:sz w:val="24"/>
          <w:szCs w:val="24"/>
        </w:rPr>
      </w:pPr>
    </w:p>
    <w:p w:rsidR="00BF3138" w:rsidRPr="00CA16A7" w:rsidRDefault="00A7397E" w:rsidP="008E0229">
      <w:pPr>
        <w:spacing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>L</w:t>
      </w:r>
      <w:r w:rsidR="00BF3138" w:rsidRPr="00CA16A7">
        <w:rPr>
          <w:rFonts w:ascii="Century Gothic" w:hAnsi="Century Gothic" w:cs="Arial"/>
          <w:sz w:val="24"/>
          <w:szCs w:val="24"/>
        </w:rPr>
        <w:t xml:space="preserve">a violencia contra la mujer </w:t>
      </w:r>
      <w:r w:rsidRPr="00CA16A7">
        <w:rPr>
          <w:rFonts w:ascii="Century Gothic" w:hAnsi="Century Gothic" w:cs="Arial"/>
          <w:sz w:val="24"/>
          <w:szCs w:val="24"/>
        </w:rPr>
        <w:t xml:space="preserve">es </w:t>
      </w:r>
      <w:r w:rsidR="00BF3138" w:rsidRPr="00CA16A7">
        <w:rPr>
          <w:rFonts w:ascii="Century Gothic" w:hAnsi="Century Gothic" w:cs="Arial"/>
          <w:sz w:val="24"/>
          <w:szCs w:val="24"/>
        </w:rPr>
        <w:t>todo acto de violencia de género que resulte, o pueda tener como resultado un daño físico, sexual o psicológico para la mujer, inclusive</w:t>
      </w:r>
      <w:r w:rsidR="00FC2E36">
        <w:rPr>
          <w:rFonts w:ascii="Century Gothic" w:hAnsi="Century Gothic" w:cs="Arial"/>
          <w:sz w:val="24"/>
          <w:szCs w:val="24"/>
        </w:rPr>
        <w:t xml:space="preserve"> también es considerada violencia</w:t>
      </w:r>
      <w:r w:rsidR="00BF3138" w:rsidRPr="00CA16A7">
        <w:rPr>
          <w:rFonts w:ascii="Century Gothic" w:hAnsi="Century Gothic" w:cs="Arial"/>
          <w:sz w:val="24"/>
          <w:szCs w:val="24"/>
        </w:rPr>
        <w:t xml:space="preserve"> </w:t>
      </w:r>
      <w:r w:rsidR="00BF3138" w:rsidRPr="00CA16A7">
        <w:rPr>
          <w:rFonts w:ascii="Century Gothic" w:hAnsi="Century Gothic" w:cs="Arial"/>
          <w:sz w:val="24"/>
          <w:szCs w:val="24"/>
        </w:rPr>
        <w:lastRenderedPageBreak/>
        <w:t>las amenazas de tales actos, la coacción o la privación arbitraria de libertad, tanto si se producen en la vida pública como en la privada</w:t>
      </w:r>
      <w:r w:rsidRPr="00CA16A7">
        <w:rPr>
          <w:rFonts w:ascii="Century Gothic" w:hAnsi="Century Gothic" w:cs="Arial"/>
          <w:sz w:val="24"/>
          <w:szCs w:val="24"/>
        </w:rPr>
        <w:t>, de acuerdo con</w:t>
      </w:r>
      <w:r w:rsidR="00FC2E36">
        <w:rPr>
          <w:rFonts w:ascii="Century Gothic" w:hAnsi="Century Gothic" w:cs="Arial"/>
          <w:sz w:val="24"/>
          <w:szCs w:val="24"/>
        </w:rPr>
        <w:t xml:space="preserve"> las Naciones U</w:t>
      </w:r>
      <w:r w:rsidRPr="00CA16A7">
        <w:rPr>
          <w:rFonts w:ascii="Century Gothic" w:hAnsi="Century Gothic" w:cs="Arial"/>
          <w:sz w:val="24"/>
          <w:szCs w:val="24"/>
        </w:rPr>
        <w:t>nidas.</w:t>
      </w:r>
    </w:p>
    <w:p w:rsidR="005124C3" w:rsidRPr="00CA16A7" w:rsidRDefault="00A7397E" w:rsidP="008E0229">
      <w:pPr>
        <w:spacing w:line="360" w:lineRule="auto"/>
        <w:ind w:left="709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CA16A7">
        <w:rPr>
          <w:rFonts w:ascii="Century Gothic" w:hAnsi="Century Gothic" w:cs="Arial"/>
          <w:sz w:val="24"/>
          <w:szCs w:val="24"/>
        </w:rPr>
        <w:t>Estas agres</w:t>
      </w:r>
      <w:r w:rsidR="005124C3" w:rsidRPr="00CA16A7">
        <w:rPr>
          <w:rFonts w:ascii="Century Gothic" w:hAnsi="Century Gothic" w:cs="Arial"/>
          <w:sz w:val="24"/>
          <w:szCs w:val="24"/>
        </w:rPr>
        <w:t xml:space="preserve">iones llegan a provocar en las mujeres graves problemas de salud física, </w:t>
      </w:r>
      <w:r w:rsidR="00BF3138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mental, sexual y reproductiva a corto</w:t>
      </w:r>
      <w:r w:rsidR="005124C3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, mediano</w:t>
      </w:r>
      <w:r w:rsidR="00BF3138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y largo plazo. </w:t>
      </w:r>
      <w:r w:rsidR="005124C3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Generando un elevado costo social y económico para las mujeres, sus familias y la sociedad. </w:t>
      </w:r>
    </w:p>
    <w:p w:rsidR="005124C3" w:rsidRPr="00CA16A7" w:rsidRDefault="005124C3" w:rsidP="008E0229">
      <w:pPr>
        <w:spacing w:line="360" w:lineRule="auto"/>
        <w:ind w:left="709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Asimismo, la violencia puede causar </w:t>
      </w:r>
      <w:r w:rsidR="00BF3138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depresión, estrés postraumático y otros trastornos de ansiedad, i</w:t>
      </w: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nsomnio, trastornos alimenticios</w:t>
      </w:r>
      <w:r w:rsidR="00BF3138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e intentos de suicidio. </w:t>
      </w: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Está comprobado que la violencia sexual, sobre todo en la infancia, in</w:t>
      </w:r>
      <w:r w:rsidR="00D9008B">
        <w:rPr>
          <w:rFonts w:ascii="Century Gothic" w:eastAsia="Times New Roman" w:hAnsi="Century Gothic" w:cs="Arial"/>
          <w:sz w:val="24"/>
          <w:szCs w:val="24"/>
          <w:lang w:eastAsia="es-MX"/>
        </w:rPr>
        <w:t>crementa además</w:t>
      </w:r>
      <w:r w:rsidR="00FC2E36">
        <w:rPr>
          <w:rFonts w:ascii="Century Gothic" w:eastAsia="Times New Roman" w:hAnsi="Century Gothic" w:cs="Arial"/>
          <w:sz w:val="24"/>
          <w:szCs w:val="24"/>
          <w:lang w:eastAsia="es-MX"/>
        </w:rPr>
        <w:t>,</w:t>
      </w:r>
      <w:r w:rsidR="00D9008B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el consumo de tabac</w:t>
      </w: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o y drogas. </w:t>
      </w:r>
    </w:p>
    <w:p w:rsidR="005124C3" w:rsidRPr="00CA16A7" w:rsidRDefault="005124C3" w:rsidP="008E0229">
      <w:pPr>
        <w:spacing w:line="360" w:lineRule="auto"/>
        <w:ind w:left="709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Existe también una repercusión fuerte en los niños y niñas que crecen en familias donde se presenta la violencia intrafamiliar, pudiendo sufrir trastorno</w:t>
      </w:r>
      <w:r w:rsidR="004262B9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s conductuales y emocionales </w:t>
      </w:r>
      <w:r w:rsidR="00FC2E3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que incluso </w:t>
      </w:r>
      <w:r w:rsidR="004262B9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pueden reflejarse en su vida adulta. </w:t>
      </w:r>
    </w:p>
    <w:p w:rsidR="00A7397E" w:rsidRPr="00CA16A7" w:rsidRDefault="00A7397E" w:rsidP="008E0229">
      <w:pPr>
        <w:spacing w:line="360" w:lineRule="auto"/>
        <w:ind w:left="709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CA16A7">
        <w:rPr>
          <w:rFonts w:ascii="Century Gothic" w:hAnsi="Century Gothic" w:cs="Arial"/>
          <w:sz w:val="24"/>
          <w:szCs w:val="24"/>
          <w:shd w:val="clear" w:color="auto" w:fill="FFFFFF"/>
        </w:rPr>
        <w:t>En</w:t>
      </w:r>
      <w:r w:rsidR="004262B9" w:rsidRPr="00CA16A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el estado de Chihuahua, hasta finales de febrero del año 2022 la Fiscalía Especializada de la Mujer integró más de </w:t>
      </w:r>
      <w:r w:rsidRPr="00CA16A7">
        <w:rPr>
          <w:rFonts w:ascii="Century Gothic" w:hAnsi="Century Gothic" w:cs="Arial"/>
          <w:sz w:val="24"/>
          <w:szCs w:val="24"/>
          <w:shd w:val="clear" w:color="auto" w:fill="FFFFFF"/>
        </w:rPr>
        <w:t>2 mil</w:t>
      </w:r>
      <w:r w:rsidR="004262B9" w:rsidRPr="00CA16A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carpetas de</w:t>
      </w:r>
      <w:r w:rsidRPr="00CA16A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 delitos en contra de mujeres</w:t>
      </w:r>
      <w:r w:rsidR="004262B9" w:rsidRPr="00CA16A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. Teniendo como </w:t>
      </w:r>
      <w:r w:rsidRPr="00CA16A7">
        <w:rPr>
          <w:rFonts w:ascii="Century Gothic" w:hAnsi="Century Gothic" w:cs="Arial"/>
          <w:sz w:val="24"/>
          <w:szCs w:val="24"/>
          <w:shd w:val="clear" w:color="auto" w:fill="FFFFFF"/>
        </w:rPr>
        <w:t>principal delito la violencia familiar, que en el 2021, contabilizó 12 mi</w:t>
      </w:r>
      <w:r w:rsidR="004262B9" w:rsidRPr="00CA16A7">
        <w:rPr>
          <w:rFonts w:ascii="Century Gothic" w:hAnsi="Century Gothic" w:cs="Arial"/>
          <w:sz w:val="24"/>
          <w:szCs w:val="24"/>
          <w:shd w:val="clear" w:color="auto" w:fill="FFFFFF"/>
        </w:rPr>
        <w:t xml:space="preserve">l 545 carpetas de investigación. </w:t>
      </w:r>
    </w:p>
    <w:p w:rsidR="004262B9" w:rsidRPr="00CA16A7" w:rsidRDefault="00BF3138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Los costos sociales y económicos de la violencia </w:t>
      </w:r>
      <w:r w:rsidR="004262B9"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>contra la mujer, sobretodo la familiar y sexual,</w:t>
      </w: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son enormes y tienen un efecto dominó en toda la sociedad. </w:t>
      </w:r>
    </w:p>
    <w:p w:rsidR="004262B9" w:rsidRPr="00CA16A7" w:rsidRDefault="00BF3138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CA16A7">
        <w:rPr>
          <w:rFonts w:ascii="Century Gothic" w:eastAsia="Times New Roman" w:hAnsi="Century Gothic" w:cs="Arial"/>
          <w:sz w:val="24"/>
          <w:szCs w:val="24"/>
          <w:lang w:eastAsia="es-MX"/>
        </w:rPr>
        <w:lastRenderedPageBreak/>
        <w:t>Las mujeres pueden llegar a encontrarse aisladas e incapacitadas para trabajar, perder su sueldo, dejar de participar en actividades cotidianas y ver menguadas sus fuerzas para cuidar de sí mismas y de sus hijos.</w:t>
      </w:r>
    </w:p>
    <w:p w:rsidR="004262B9" w:rsidRPr="00CA16A7" w:rsidRDefault="004262B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 xml:space="preserve">Es por esto, que el Estado debe atender de forma integral a las mujeres víctimas del delito, dando cumplimiento a lo que establece el marco jurídico internacional, así como nuestra legislación </w:t>
      </w:r>
      <w:r w:rsidR="0022530A">
        <w:rPr>
          <w:rFonts w:ascii="Century Gothic" w:hAnsi="Century Gothic" w:cs="Arial"/>
          <w:sz w:val="24"/>
          <w:szCs w:val="24"/>
        </w:rPr>
        <w:t>estatal y federal.</w:t>
      </w:r>
      <w:r w:rsidRPr="00CA16A7">
        <w:rPr>
          <w:rFonts w:ascii="Century Gothic" w:hAnsi="Century Gothic" w:cs="Arial"/>
          <w:sz w:val="24"/>
          <w:szCs w:val="24"/>
        </w:rPr>
        <w:t xml:space="preserve"> </w:t>
      </w:r>
    </w:p>
    <w:p w:rsidR="004262B9" w:rsidRPr="00CA16A7" w:rsidRDefault="004262B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>La Constitución Política de los Estados Unidos Mexicanos establece</w:t>
      </w:r>
      <w:r w:rsidR="009C1999" w:rsidRPr="00CA16A7">
        <w:rPr>
          <w:rFonts w:ascii="Century Gothic" w:hAnsi="Century Gothic" w:cs="Arial"/>
          <w:sz w:val="24"/>
          <w:szCs w:val="24"/>
        </w:rPr>
        <w:t xml:space="preserve"> en la fracción IV del inciso c) del artículo 20,</w:t>
      </w:r>
      <w:r w:rsidRPr="00CA16A7">
        <w:rPr>
          <w:rFonts w:ascii="Century Gothic" w:hAnsi="Century Gothic" w:cs="Arial"/>
          <w:sz w:val="24"/>
          <w:szCs w:val="24"/>
        </w:rPr>
        <w:t xml:space="preserve"> la reparación de</w:t>
      </w:r>
      <w:r w:rsidR="009C1999" w:rsidRPr="00CA16A7">
        <w:rPr>
          <w:rFonts w:ascii="Century Gothic" w:hAnsi="Century Gothic" w:cs="Arial"/>
          <w:sz w:val="24"/>
          <w:szCs w:val="24"/>
        </w:rPr>
        <w:t>l daño como derecho de la víctima u ofendido</w:t>
      </w:r>
      <w:r w:rsidRPr="00CA16A7">
        <w:rPr>
          <w:rFonts w:ascii="Century Gothic" w:hAnsi="Century Gothic" w:cs="Arial"/>
          <w:sz w:val="24"/>
          <w:szCs w:val="24"/>
        </w:rPr>
        <w:t xml:space="preserve">, </w:t>
      </w:r>
      <w:r w:rsidR="009C1999" w:rsidRPr="00CA16A7">
        <w:rPr>
          <w:rFonts w:ascii="Century Gothic" w:hAnsi="Century Gothic" w:cs="Arial"/>
          <w:sz w:val="24"/>
          <w:szCs w:val="24"/>
        </w:rPr>
        <w:t xml:space="preserve">mencionando lo siguiente: </w:t>
      </w:r>
    </w:p>
    <w:p w:rsidR="004262B9" w:rsidRPr="00CA16A7" w:rsidRDefault="009C199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i/>
          <w:sz w:val="24"/>
          <w:szCs w:val="24"/>
        </w:rPr>
      </w:pPr>
      <w:r w:rsidRPr="00CA16A7">
        <w:rPr>
          <w:rFonts w:ascii="Century Gothic" w:hAnsi="Century Gothic" w:cs="Arial"/>
          <w:i/>
          <w:sz w:val="24"/>
          <w:szCs w:val="24"/>
        </w:rPr>
        <w:t>…</w:t>
      </w:r>
      <w:r w:rsidR="004262B9" w:rsidRPr="00CA16A7">
        <w:rPr>
          <w:rFonts w:ascii="Century Gothic" w:hAnsi="Century Gothic" w:cs="Arial"/>
          <w:i/>
          <w:sz w:val="24"/>
          <w:szCs w:val="24"/>
        </w:rPr>
        <w:t>En los casos en que sea procedente, el Ministerio Público estará obligado a solicitar la reparación del daño, sin menoscabo de que la víctima u ofendido lo pueda solicitar directamente, y el juzgador no podrá absolver al sentenciado de dicha reparación si ha emitido una sentencia condenatoria. La ley fijará procedimientos ágiles para ejecutar las sentencias en materia de reparación del daño;</w:t>
      </w:r>
    </w:p>
    <w:p w:rsidR="009C1999" w:rsidRPr="00CA16A7" w:rsidRDefault="009C199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>De igual manera, la Ley general para el acceso a una vida libre de violencia establece en su artículo 20 que: p</w:t>
      </w:r>
      <w:r w:rsidRPr="00CA16A7">
        <w:rPr>
          <w:rFonts w:ascii="Century Gothic" w:hAnsi="Century Gothic" w:cs="Arial"/>
          <w:i/>
          <w:sz w:val="24"/>
          <w:szCs w:val="24"/>
        </w:rPr>
        <w:t xml:space="preserve">ara cumplir con su obligación de garantizar el derecho de las mujeres a una vida libre de violencia, los tres órdenes de gobierno deben prevenir, atender, investigar, sancionar y </w:t>
      </w:r>
      <w:r w:rsidRPr="0022530A">
        <w:rPr>
          <w:rFonts w:ascii="Century Gothic" w:hAnsi="Century Gothic" w:cs="Arial"/>
          <w:b/>
          <w:i/>
          <w:sz w:val="24"/>
          <w:szCs w:val="24"/>
        </w:rPr>
        <w:t>reparar el daño</w:t>
      </w:r>
      <w:r w:rsidRPr="00CA16A7">
        <w:rPr>
          <w:rFonts w:ascii="Century Gothic" w:hAnsi="Century Gothic" w:cs="Arial"/>
          <w:i/>
          <w:sz w:val="24"/>
          <w:szCs w:val="24"/>
        </w:rPr>
        <w:t xml:space="preserve"> que les inflige</w:t>
      </w:r>
      <w:r w:rsidRPr="00CA16A7">
        <w:rPr>
          <w:rFonts w:ascii="Century Gothic" w:hAnsi="Century Gothic" w:cs="Arial"/>
          <w:sz w:val="24"/>
          <w:szCs w:val="24"/>
        </w:rPr>
        <w:t>.</w:t>
      </w:r>
    </w:p>
    <w:p w:rsidR="009C1999" w:rsidRPr="00CA16A7" w:rsidRDefault="009C199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 xml:space="preserve">Y el artículo 26 de la misma Ley señala la obligación del Estado mexicano de resarcir el daño ante la violencia </w:t>
      </w:r>
      <w:proofErr w:type="spellStart"/>
      <w:r w:rsidRPr="00CA16A7">
        <w:rPr>
          <w:rFonts w:ascii="Century Gothic" w:hAnsi="Century Gothic" w:cs="Arial"/>
          <w:sz w:val="24"/>
          <w:szCs w:val="24"/>
        </w:rPr>
        <w:t>feminicida</w:t>
      </w:r>
      <w:proofErr w:type="spellEnd"/>
      <w:r w:rsidRPr="00CA16A7">
        <w:rPr>
          <w:rFonts w:ascii="Century Gothic" w:hAnsi="Century Gothic" w:cs="Arial"/>
          <w:sz w:val="24"/>
          <w:szCs w:val="24"/>
        </w:rPr>
        <w:t xml:space="preserve">, conforme a los parámetros establecidos en el Derecho Internacional de los </w:t>
      </w:r>
      <w:r w:rsidRPr="00CA16A7">
        <w:rPr>
          <w:rFonts w:ascii="Century Gothic" w:hAnsi="Century Gothic" w:cs="Arial"/>
          <w:sz w:val="24"/>
          <w:szCs w:val="24"/>
        </w:rPr>
        <w:lastRenderedPageBreak/>
        <w:t xml:space="preserve">Derechos Humanos, considerando como reparación: el derecho a la justicia pronta, expedita e imparcial, </w:t>
      </w:r>
      <w:r w:rsidRPr="0022530A">
        <w:rPr>
          <w:rFonts w:ascii="Century Gothic" w:hAnsi="Century Gothic" w:cs="Arial"/>
          <w:b/>
          <w:sz w:val="24"/>
          <w:szCs w:val="24"/>
        </w:rPr>
        <w:t>la rehabilitación y la satisfacción</w:t>
      </w:r>
      <w:r w:rsidRPr="00CA16A7">
        <w:rPr>
          <w:rFonts w:ascii="Century Gothic" w:hAnsi="Century Gothic" w:cs="Arial"/>
          <w:sz w:val="24"/>
          <w:szCs w:val="24"/>
        </w:rPr>
        <w:t xml:space="preserve">. </w:t>
      </w:r>
    </w:p>
    <w:p w:rsidR="009C1999" w:rsidRPr="00CA16A7" w:rsidRDefault="009C199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 xml:space="preserve">Según los principios y directrices básicos de la Organización de </w:t>
      </w:r>
      <w:r w:rsidR="0022530A">
        <w:rPr>
          <w:rFonts w:ascii="Century Gothic" w:hAnsi="Century Gothic" w:cs="Arial"/>
          <w:sz w:val="24"/>
          <w:szCs w:val="24"/>
        </w:rPr>
        <w:t xml:space="preserve">las </w:t>
      </w:r>
      <w:r w:rsidRPr="00CA16A7">
        <w:rPr>
          <w:rFonts w:ascii="Century Gothic" w:hAnsi="Century Gothic" w:cs="Arial"/>
          <w:sz w:val="24"/>
          <w:szCs w:val="24"/>
        </w:rPr>
        <w:t>Naciones Unidas (ONU), la reparación “plena y efectiva” se expresa bajo las siguientes formas: restitución, indemnización, rehabilitación, satisfacción y garantías de no repetición.</w:t>
      </w:r>
    </w:p>
    <w:p w:rsidR="007442E1" w:rsidRPr="00CA16A7" w:rsidRDefault="007442E1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 xml:space="preserve">Uno de los trabajos más importantes y con mayor compromiso para el Estado es </w:t>
      </w:r>
      <w:r w:rsidR="0022530A">
        <w:rPr>
          <w:rFonts w:ascii="Century Gothic" w:hAnsi="Century Gothic" w:cs="Arial"/>
          <w:sz w:val="24"/>
          <w:szCs w:val="24"/>
        </w:rPr>
        <w:t>conseguir</w:t>
      </w:r>
      <w:r w:rsidRPr="00CA16A7">
        <w:rPr>
          <w:rFonts w:ascii="Century Gothic" w:hAnsi="Century Gothic" w:cs="Arial"/>
          <w:sz w:val="24"/>
          <w:szCs w:val="24"/>
        </w:rPr>
        <w:t xml:space="preserve"> que esta reparación del daño sea efectiva, </w:t>
      </w:r>
      <w:r w:rsidR="0022530A">
        <w:rPr>
          <w:rFonts w:ascii="Century Gothic" w:hAnsi="Century Gothic" w:cs="Arial"/>
          <w:sz w:val="24"/>
          <w:szCs w:val="24"/>
        </w:rPr>
        <w:t>lograr la</w:t>
      </w:r>
      <w:r w:rsidRPr="00CA16A7">
        <w:rPr>
          <w:rFonts w:ascii="Century Gothic" w:hAnsi="Century Gothic" w:cs="Arial"/>
          <w:sz w:val="24"/>
          <w:szCs w:val="24"/>
        </w:rPr>
        <w:t xml:space="preserve"> resiliencia, </w:t>
      </w:r>
      <w:r w:rsidR="0022530A" w:rsidRPr="00CA16A7">
        <w:rPr>
          <w:rFonts w:ascii="Century Gothic" w:hAnsi="Century Gothic" w:cs="Arial"/>
          <w:sz w:val="24"/>
          <w:szCs w:val="24"/>
        </w:rPr>
        <w:t>devolverle</w:t>
      </w:r>
      <w:r w:rsidR="0022530A">
        <w:rPr>
          <w:rFonts w:ascii="Century Gothic" w:hAnsi="Century Gothic" w:cs="Arial"/>
          <w:sz w:val="24"/>
          <w:szCs w:val="24"/>
        </w:rPr>
        <w:t>s</w:t>
      </w:r>
      <w:r w:rsidR="0022530A" w:rsidRPr="00CA16A7">
        <w:rPr>
          <w:rFonts w:ascii="Century Gothic" w:hAnsi="Century Gothic" w:cs="Arial"/>
          <w:sz w:val="24"/>
          <w:szCs w:val="24"/>
        </w:rPr>
        <w:t xml:space="preserve"> a las mujeres</w:t>
      </w:r>
      <w:r w:rsidR="0022530A">
        <w:rPr>
          <w:rFonts w:ascii="Century Gothic" w:hAnsi="Century Gothic" w:cs="Arial"/>
          <w:sz w:val="24"/>
          <w:szCs w:val="24"/>
        </w:rPr>
        <w:t xml:space="preserve"> su seguridad</w:t>
      </w:r>
      <w:r w:rsidR="0022530A" w:rsidRPr="00CA16A7">
        <w:rPr>
          <w:rFonts w:ascii="Century Gothic" w:hAnsi="Century Gothic" w:cs="Arial"/>
          <w:sz w:val="24"/>
          <w:szCs w:val="24"/>
        </w:rPr>
        <w:t>,</w:t>
      </w:r>
      <w:r w:rsidR="0022530A">
        <w:rPr>
          <w:rFonts w:ascii="Century Gothic" w:hAnsi="Century Gothic" w:cs="Arial"/>
          <w:sz w:val="24"/>
          <w:szCs w:val="24"/>
        </w:rPr>
        <w:t xml:space="preserve"> para que </w:t>
      </w:r>
      <w:r w:rsidRPr="00CA16A7">
        <w:rPr>
          <w:rFonts w:ascii="Century Gothic" w:hAnsi="Century Gothic" w:cs="Arial"/>
          <w:sz w:val="24"/>
          <w:szCs w:val="24"/>
        </w:rPr>
        <w:t xml:space="preserve">sean ellas las que puedan volver a tomar su camino, trabajar en sus metas y </w:t>
      </w:r>
      <w:r w:rsidR="0022530A">
        <w:rPr>
          <w:rFonts w:ascii="Century Gothic" w:hAnsi="Century Gothic" w:cs="Arial"/>
          <w:sz w:val="24"/>
          <w:szCs w:val="24"/>
        </w:rPr>
        <w:t xml:space="preserve">en </w:t>
      </w:r>
      <w:r w:rsidRPr="00CA16A7">
        <w:rPr>
          <w:rFonts w:ascii="Century Gothic" w:hAnsi="Century Gothic" w:cs="Arial"/>
          <w:sz w:val="24"/>
          <w:szCs w:val="24"/>
        </w:rPr>
        <w:t xml:space="preserve">su plan de vida. </w:t>
      </w:r>
    </w:p>
    <w:p w:rsidR="007442E1" w:rsidRPr="00CA16A7" w:rsidRDefault="007442E1" w:rsidP="00686723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>Es</w:t>
      </w:r>
      <w:r w:rsidR="009C1999" w:rsidRPr="00CA16A7">
        <w:rPr>
          <w:rFonts w:ascii="Century Gothic" w:hAnsi="Century Gothic" w:cs="Arial"/>
          <w:sz w:val="24"/>
          <w:szCs w:val="24"/>
        </w:rPr>
        <w:t xml:space="preserve"> evidente que</w:t>
      </w:r>
      <w:r w:rsidRPr="00CA16A7">
        <w:rPr>
          <w:rFonts w:ascii="Century Gothic" w:hAnsi="Century Gothic" w:cs="Arial"/>
          <w:sz w:val="24"/>
          <w:szCs w:val="24"/>
        </w:rPr>
        <w:t xml:space="preserve"> en este camino</w:t>
      </w:r>
      <w:r w:rsidR="009C1999" w:rsidRPr="00CA16A7">
        <w:rPr>
          <w:rFonts w:ascii="Century Gothic" w:hAnsi="Century Gothic" w:cs="Arial"/>
          <w:sz w:val="24"/>
          <w:szCs w:val="24"/>
        </w:rPr>
        <w:t xml:space="preserve"> las muje</w:t>
      </w:r>
      <w:r w:rsidRPr="00CA16A7">
        <w:rPr>
          <w:rFonts w:ascii="Century Gothic" w:hAnsi="Century Gothic" w:cs="Arial"/>
          <w:sz w:val="24"/>
          <w:szCs w:val="24"/>
        </w:rPr>
        <w:t xml:space="preserve">res no deben ser </w:t>
      </w:r>
      <w:proofErr w:type="spellStart"/>
      <w:r w:rsidR="0022530A">
        <w:rPr>
          <w:rFonts w:ascii="Century Gothic" w:hAnsi="Century Gothic" w:cs="Arial"/>
          <w:sz w:val="24"/>
          <w:szCs w:val="24"/>
        </w:rPr>
        <w:t>re</w:t>
      </w:r>
      <w:r w:rsidR="0022530A" w:rsidRPr="00CA16A7">
        <w:rPr>
          <w:rFonts w:ascii="Century Gothic" w:hAnsi="Century Gothic" w:cs="Arial"/>
          <w:sz w:val="24"/>
          <w:szCs w:val="24"/>
        </w:rPr>
        <w:t>victimizadas</w:t>
      </w:r>
      <w:proofErr w:type="spellEnd"/>
      <w:r w:rsidRPr="00CA16A7">
        <w:rPr>
          <w:rFonts w:ascii="Century Gothic" w:hAnsi="Century Gothic" w:cs="Arial"/>
          <w:sz w:val="24"/>
          <w:szCs w:val="24"/>
        </w:rPr>
        <w:t xml:space="preserve">, </w:t>
      </w:r>
      <w:r w:rsidR="009C1999" w:rsidRPr="00CA16A7">
        <w:rPr>
          <w:rFonts w:ascii="Century Gothic" w:hAnsi="Century Gothic" w:cs="Arial"/>
          <w:sz w:val="24"/>
          <w:szCs w:val="24"/>
        </w:rPr>
        <w:t>por el contrario, deben ser garantiz</w:t>
      </w:r>
      <w:r w:rsidR="00686723">
        <w:rPr>
          <w:rFonts w:ascii="Century Gothic" w:hAnsi="Century Gothic" w:cs="Arial"/>
          <w:sz w:val="24"/>
          <w:szCs w:val="24"/>
        </w:rPr>
        <w:t xml:space="preserve">ados sus derechos por el Estado. Uno de los aspectos que consideramos importante para lograr esto, es que </w:t>
      </w:r>
      <w:r w:rsidR="009C1999" w:rsidRPr="00CA16A7">
        <w:rPr>
          <w:rFonts w:ascii="Century Gothic" w:hAnsi="Century Gothic" w:cs="Arial"/>
          <w:sz w:val="24"/>
          <w:szCs w:val="24"/>
        </w:rPr>
        <w:t>tengan la efectiva posibilidad de culminar</w:t>
      </w:r>
      <w:r w:rsidR="0022530A">
        <w:rPr>
          <w:rFonts w:ascii="Century Gothic" w:hAnsi="Century Gothic" w:cs="Arial"/>
          <w:sz w:val="24"/>
          <w:szCs w:val="24"/>
        </w:rPr>
        <w:t xml:space="preserve"> </w:t>
      </w:r>
      <w:r w:rsidR="009C1999" w:rsidRPr="00CA16A7">
        <w:rPr>
          <w:rFonts w:ascii="Century Gothic" w:hAnsi="Century Gothic" w:cs="Arial"/>
          <w:sz w:val="24"/>
          <w:szCs w:val="24"/>
        </w:rPr>
        <w:t>la educación básica, media superior y en su caso, superior, en razón de que a consecuencia de haber sido violentadas, una gran parte, dejar de estudiar, lo que afecta de manera importante en su desarrollo integral.</w:t>
      </w:r>
    </w:p>
    <w:p w:rsidR="00CA16A7" w:rsidRPr="00CA16A7" w:rsidRDefault="00686723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Estamos convencidas, de que l</w:t>
      </w:r>
      <w:r w:rsidR="00CA16A7" w:rsidRPr="00CA16A7">
        <w:rPr>
          <w:rFonts w:ascii="Century Gothic" w:hAnsi="Century Gothic" w:cs="Arial"/>
          <w:sz w:val="24"/>
          <w:szCs w:val="24"/>
        </w:rPr>
        <w:t>a mejora de los niveles de educación de las mujeres es un factor esencial para su bienestar y sus proyectos de vida; asimismo, dicha mejora guarda relación con las oportunidades de las que podrán disfrutar sus hijas e hijos.</w:t>
      </w:r>
    </w:p>
    <w:p w:rsidR="007442E1" w:rsidRPr="00CA16A7" w:rsidRDefault="007442E1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lastRenderedPageBreak/>
        <w:t xml:space="preserve">La educación empodera a las niñas, adolescentes y mujeres, motivo por el cual, debemos buscar que aquellas que han pasado por una situación de violencia no deserten en su camino de preparación escolar y académica. </w:t>
      </w:r>
    </w:p>
    <w:p w:rsidR="007442E1" w:rsidRPr="00CA16A7" w:rsidRDefault="007442E1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 w:cs="Arial"/>
          <w:sz w:val="24"/>
          <w:szCs w:val="24"/>
        </w:rPr>
      </w:pPr>
      <w:r w:rsidRPr="00CA16A7">
        <w:rPr>
          <w:rFonts w:ascii="Century Gothic" w:hAnsi="Century Gothic" w:cs="Arial"/>
          <w:sz w:val="24"/>
          <w:szCs w:val="24"/>
        </w:rPr>
        <w:t xml:space="preserve">La presente acción legislativa tiene por objeto ejecutar, impulsar y fortalecer, el ejercicio pleno del derecho de las mujeres, para alcanzar la superación personal y profesional en sus ciclos de la educación, a través del ejercicio de acciones afirmativas como lo es el otorgamiento de becas específicas, en virtud de la responsabilidad social que </w:t>
      </w:r>
      <w:r w:rsidR="00686723">
        <w:rPr>
          <w:rFonts w:ascii="Century Gothic" w:hAnsi="Century Gothic" w:cs="Arial"/>
          <w:sz w:val="24"/>
          <w:szCs w:val="24"/>
        </w:rPr>
        <w:t>tenemos</w:t>
      </w:r>
      <w:r w:rsidRPr="00CA16A7">
        <w:rPr>
          <w:rFonts w:ascii="Century Gothic" w:hAnsi="Century Gothic" w:cs="Arial"/>
          <w:sz w:val="24"/>
          <w:szCs w:val="24"/>
        </w:rPr>
        <w:t xml:space="preserve"> con las todas las mujeres que radican en el Estado de Chihuahua.</w:t>
      </w:r>
    </w:p>
    <w:p w:rsidR="008E0229" w:rsidRPr="00CA16A7" w:rsidRDefault="008E0229" w:rsidP="008E0229">
      <w:pPr>
        <w:spacing w:after="120" w:line="360" w:lineRule="auto"/>
        <w:ind w:left="709"/>
        <w:jc w:val="center"/>
        <w:rPr>
          <w:rFonts w:ascii="Century Gothic" w:eastAsia="Century Gothic" w:hAnsi="Century Gothic" w:cs="Century Gothic"/>
          <w:b/>
          <w:sz w:val="24"/>
          <w:szCs w:val="24"/>
          <w:highlight w:val="white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D E C R E T O</w:t>
      </w:r>
    </w:p>
    <w:p w:rsidR="008E0229" w:rsidRPr="00CA16A7" w:rsidRDefault="008E0229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ARTÍCULO PRIMERO</w:t>
      </w:r>
      <w:r w:rsidRPr="00CA16A7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. </w:t>
      </w:r>
      <w:r w:rsidR="00686723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–</w:t>
      </w:r>
      <w:r w:rsidRPr="00CA16A7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  <w:r w:rsidR="00686723">
        <w:rPr>
          <w:rFonts w:ascii="Century Gothic" w:eastAsia="Century Gothic" w:hAnsi="Century Gothic" w:cs="Century Gothic"/>
          <w:b/>
          <w:sz w:val="24"/>
          <w:szCs w:val="24"/>
        </w:rPr>
        <w:t>Se m</w:t>
      </w: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 xml:space="preserve">odifican los artículos 28, fracciones XXII y XXIII y 32 fracciones XIV y XV de la Ley Estatal del Derecho de las Mujeres a una Vida Libre de Violencia </w:t>
      </w:r>
      <w:r w:rsidRPr="00CA16A7">
        <w:rPr>
          <w:rFonts w:ascii="Century Gothic" w:eastAsia="Century Gothic" w:hAnsi="Century Gothic" w:cs="Century Gothic"/>
          <w:b/>
          <w:bCs/>
          <w:sz w:val="24"/>
          <w:szCs w:val="24"/>
        </w:rPr>
        <w:t>para quedar en los siguientes términos:</w:t>
      </w:r>
    </w:p>
    <w:p w:rsidR="00CA16A7" w:rsidRPr="00CA16A7" w:rsidRDefault="00CA16A7" w:rsidP="008E0229">
      <w:pPr>
        <w:spacing w:after="120" w:line="360" w:lineRule="auto"/>
        <w:ind w:left="709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:rsidR="008E0229" w:rsidRPr="00CA16A7" w:rsidRDefault="008E0229" w:rsidP="008E0229">
      <w:pPr>
        <w:spacing w:after="120" w:line="36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bCs/>
          <w:sz w:val="24"/>
          <w:szCs w:val="24"/>
        </w:rPr>
        <w:t>Art</w:t>
      </w:r>
      <w:r w:rsidRPr="00CA16A7">
        <w:rPr>
          <w:rFonts w:ascii="Century Gothic" w:eastAsia="Century Gothic" w:hAnsi="Century Gothic" w:cs="Arial"/>
          <w:b/>
          <w:bCs/>
          <w:sz w:val="24"/>
          <w:szCs w:val="24"/>
        </w:rPr>
        <w:t xml:space="preserve">ículo 28. </w:t>
      </w:r>
      <w:r w:rsidRPr="009E7D60">
        <w:rPr>
          <w:rFonts w:ascii="Century Gothic" w:hAnsi="Century Gothic"/>
          <w:b/>
          <w:sz w:val="24"/>
          <w:szCs w:val="24"/>
        </w:rPr>
        <w:t xml:space="preserve">Corresponde a la Secretaría de Desarrollo </w:t>
      </w:r>
      <w:r w:rsidR="009E7D60" w:rsidRPr="009E7D60">
        <w:rPr>
          <w:rFonts w:ascii="Century Gothic" w:hAnsi="Century Gothic"/>
          <w:b/>
          <w:sz w:val="24"/>
          <w:szCs w:val="24"/>
        </w:rPr>
        <w:t>Humano y Bien Común</w:t>
      </w:r>
      <w:r w:rsidRPr="00CA16A7">
        <w:rPr>
          <w:rFonts w:ascii="Century Gothic" w:hAnsi="Century Gothic"/>
          <w:sz w:val="24"/>
          <w:szCs w:val="24"/>
        </w:rPr>
        <w:t>:</w:t>
      </w:r>
    </w:p>
    <w:p w:rsidR="008E0229" w:rsidRPr="00CA16A7" w:rsidRDefault="008E022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  <w:r w:rsidRPr="00CA16A7">
        <w:rPr>
          <w:rFonts w:ascii="Century Gothic" w:hAnsi="Century Gothic"/>
          <w:b/>
          <w:sz w:val="24"/>
          <w:szCs w:val="24"/>
        </w:rPr>
        <w:t>XXII. Coordinarse con la Secretaría de Educación</w:t>
      </w:r>
      <w:r w:rsidR="009E7D60">
        <w:rPr>
          <w:rFonts w:ascii="Century Gothic" w:hAnsi="Century Gothic"/>
          <w:b/>
          <w:sz w:val="24"/>
          <w:szCs w:val="24"/>
        </w:rPr>
        <w:t xml:space="preserve"> y Deporte</w:t>
      </w:r>
      <w:r w:rsidRPr="00CA16A7">
        <w:rPr>
          <w:rFonts w:ascii="Century Gothic" w:hAnsi="Century Gothic"/>
          <w:b/>
          <w:sz w:val="24"/>
          <w:szCs w:val="24"/>
        </w:rPr>
        <w:t>, para establecer programas de otorgamiento de becas individuales para mujeres víctimas de violencia y/o en situación de peligro; de ser necesario, para sus dependientes económicos, que les permitan desarrollar los ciclos educativos básicos y en su caso, de educación media superior y superior</w:t>
      </w:r>
    </w:p>
    <w:p w:rsidR="008E0229" w:rsidRPr="009E7D60" w:rsidRDefault="008E0229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  <w:r w:rsidRPr="009E7D60">
        <w:rPr>
          <w:rFonts w:ascii="Century Gothic" w:hAnsi="Century Gothic"/>
          <w:b/>
          <w:sz w:val="24"/>
          <w:szCs w:val="24"/>
        </w:rPr>
        <w:lastRenderedPageBreak/>
        <w:t>XXIII. Las demás previstas para el cumplimiento de la presente ley.</w:t>
      </w:r>
    </w:p>
    <w:p w:rsidR="00112A94" w:rsidRDefault="00112A94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</w:p>
    <w:p w:rsidR="008E0229" w:rsidRPr="00CA16A7" w:rsidRDefault="00CA16A7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9E7D60">
        <w:rPr>
          <w:rFonts w:ascii="Century Gothic" w:hAnsi="Century Gothic"/>
          <w:b/>
          <w:sz w:val="24"/>
          <w:szCs w:val="24"/>
        </w:rPr>
        <w:t>Artículo 32. Corresponde a la Secretaría de Educación y Deporte</w:t>
      </w:r>
      <w:r w:rsidRPr="00CA16A7">
        <w:rPr>
          <w:rFonts w:ascii="Century Gothic" w:hAnsi="Century Gothic"/>
          <w:sz w:val="24"/>
          <w:szCs w:val="24"/>
        </w:rPr>
        <w:t xml:space="preserve">: </w:t>
      </w:r>
    </w:p>
    <w:p w:rsidR="00CA16A7" w:rsidRPr="00CA16A7" w:rsidRDefault="00CA16A7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  <w:r w:rsidRPr="00CA16A7">
        <w:rPr>
          <w:rFonts w:ascii="Century Gothic" w:hAnsi="Century Gothic"/>
          <w:b/>
          <w:sz w:val="24"/>
          <w:szCs w:val="24"/>
        </w:rPr>
        <w:t xml:space="preserve">XIV. Coordinarse con la Secretaría </w:t>
      </w:r>
      <w:r w:rsidR="009E7D60" w:rsidRPr="009E7D60">
        <w:rPr>
          <w:rFonts w:ascii="Century Gothic" w:hAnsi="Century Gothic"/>
          <w:b/>
          <w:sz w:val="24"/>
          <w:szCs w:val="24"/>
        </w:rPr>
        <w:t>de Desarrollo Humano y Bien Común</w:t>
      </w:r>
      <w:r w:rsidRPr="00CA16A7">
        <w:rPr>
          <w:rFonts w:ascii="Century Gothic" w:hAnsi="Century Gothic"/>
          <w:b/>
          <w:sz w:val="24"/>
          <w:szCs w:val="24"/>
        </w:rPr>
        <w:t xml:space="preserve">, </w:t>
      </w:r>
      <w:r w:rsidR="009E7D60">
        <w:rPr>
          <w:rFonts w:ascii="Century Gothic" w:hAnsi="Century Gothic"/>
          <w:b/>
          <w:sz w:val="24"/>
          <w:szCs w:val="24"/>
        </w:rPr>
        <w:t xml:space="preserve">así como con instituciones de educación básica, media superior y superior </w:t>
      </w:r>
      <w:r w:rsidRPr="00CA16A7">
        <w:rPr>
          <w:rFonts w:ascii="Century Gothic" w:hAnsi="Century Gothic"/>
          <w:b/>
          <w:sz w:val="24"/>
          <w:szCs w:val="24"/>
        </w:rPr>
        <w:t xml:space="preserve">para elaborar programas de otorgamiento de becas específicas para mujeres víctimas de violencia y/o que se encuentren en contexto de peligro, así como para sus dependientes económicos, </w:t>
      </w:r>
      <w:r w:rsidR="009E7D60">
        <w:rPr>
          <w:rFonts w:ascii="Century Gothic" w:hAnsi="Century Gothic"/>
          <w:b/>
          <w:sz w:val="24"/>
          <w:szCs w:val="24"/>
        </w:rPr>
        <w:t xml:space="preserve">mismas </w:t>
      </w:r>
      <w:r w:rsidRPr="00CA16A7">
        <w:rPr>
          <w:rFonts w:ascii="Century Gothic" w:hAnsi="Century Gothic"/>
          <w:b/>
          <w:sz w:val="24"/>
          <w:szCs w:val="24"/>
        </w:rPr>
        <w:t xml:space="preserve">que les permitan desarrollar </w:t>
      </w:r>
      <w:r w:rsidR="009E7D60">
        <w:rPr>
          <w:rFonts w:ascii="Century Gothic" w:hAnsi="Century Gothic"/>
          <w:b/>
          <w:sz w:val="24"/>
          <w:szCs w:val="24"/>
        </w:rPr>
        <w:t>y culminar sus</w:t>
      </w:r>
      <w:r w:rsidRPr="00CA16A7">
        <w:rPr>
          <w:rFonts w:ascii="Century Gothic" w:hAnsi="Century Gothic"/>
          <w:b/>
          <w:sz w:val="24"/>
          <w:szCs w:val="24"/>
        </w:rPr>
        <w:t xml:space="preserve"> ciclos educativos.</w:t>
      </w:r>
    </w:p>
    <w:p w:rsidR="00CA16A7" w:rsidRPr="009E7D60" w:rsidRDefault="00CA16A7" w:rsidP="008E0229">
      <w:pPr>
        <w:spacing w:before="100" w:beforeAutospacing="1" w:after="100" w:afterAutospacing="1"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  <w:r w:rsidRPr="009E7D60">
        <w:rPr>
          <w:rFonts w:ascii="Century Gothic" w:hAnsi="Century Gothic"/>
          <w:b/>
          <w:sz w:val="24"/>
          <w:szCs w:val="24"/>
        </w:rPr>
        <w:t>XV. Las demás previstas para el cumplimiento de esta Ley</w:t>
      </w:r>
    </w:p>
    <w:p w:rsidR="00CA16A7" w:rsidRPr="00CA16A7" w:rsidRDefault="00CA16A7" w:rsidP="00CA1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</w:pPr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  <w:t xml:space="preserve">T R </w:t>
      </w:r>
      <w:proofErr w:type="gramStart"/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  <w:t>A</w:t>
      </w:r>
      <w:proofErr w:type="gramEnd"/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  <w:t xml:space="preserve"> N S I T O R I O S:</w:t>
      </w:r>
    </w:p>
    <w:p w:rsidR="00CA16A7" w:rsidRPr="00CA16A7" w:rsidRDefault="00CA16A7" w:rsidP="00CA1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ARTÍCULO PRIMERO.  </w:t>
      </w:r>
      <w:r w:rsidRPr="00CA16A7">
        <w:rPr>
          <w:rFonts w:ascii="Century Gothic" w:eastAsia="Century Gothic" w:hAnsi="Century Gothic" w:cs="Century Gothic"/>
          <w:color w:val="000000"/>
          <w:sz w:val="24"/>
          <w:szCs w:val="24"/>
        </w:rPr>
        <w:t>El presente Decreto entrará en vigor al día siguiente de su publicación en el Periódico Oficial del Estado.</w:t>
      </w:r>
    </w:p>
    <w:p w:rsidR="00CA16A7" w:rsidRPr="00CA16A7" w:rsidRDefault="00CA16A7" w:rsidP="00CA1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ECONÓMICO. - </w:t>
      </w:r>
      <w:r w:rsidRPr="00CA16A7">
        <w:rPr>
          <w:rFonts w:ascii="Century Gothic" w:eastAsia="Century Gothic" w:hAnsi="Century Gothic" w:cs="Century Gothic"/>
          <w:color w:val="000000"/>
          <w:sz w:val="24"/>
          <w:szCs w:val="24"/>
        </w:rPr>
        <w:t>Aprobado que sea túrnese a la Secretaría de Asuntos Legislativos y Jurídicos para que elabore la minuta de Decreto en los términos que deba publicarse.</w:t>
      </w:r>
    </w:p>
    <w:p w:rsidR="00CA16A7" w:rsidRPr="00CA16A7" w:rsidRDefault="00CA16A7" w:rsidP="00CA16A7">
      <w:pPr>
        <w:pBdr>
          <w:top w:val="nil"/>
          <w:left w:val="nil"/>
          <w:bottom w:val="nil"/>
          <w:right w:val="nil"/>
          <w:between w:val="nil"/>
        </w:pBdr>
        <w:spacing w:after="192" w:line="360" w:lineRule="auto"/>
        <w:ind w:left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 A D O</w:t>
      </w:r>
      <w:r w:rsidRPr="00CA16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el salón de sesiones del Poder Legislativo a los 12 días del mes de abril del año dos mil veintidós.</w:t>
      </w:r>
    </w:p>
    <w:p w:rsidR="00CA16A7" w:rsidRPr="00CA16A7" w:rsidRDefault="00CA16A7" w:rsidP="00CA16A7">
      <w:pPr>
        <w:spacing w:after="120"/>
        <w:ind w:left="709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A T E N T A M E N T E</w:t>
      </w:r>
    </w:p>
    <w:p w:rsidR="009E7D60" w:rsidRDefault="009E7D60" w:rsidP="00CA16A7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</w:pPr>
    </w:p>
    <w:p w:rsidR="00112A94" w:rsidRDefault="00112A94" w:rsidP="00CA16A7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</w:pPr>
    </w:p>
    <w:p w:rsidR="00112A94" w:rsidRPr="00CA16A7" w:rsidRDefault="00112A94" w:rsidP="00112A94">
      <w:pPr>
        <w:spacing w:after="120"/>
        <w:ind w:left="709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CA16A7">
        <w:rPr>
          <w:rFonts w:ascii="Century Gothic" w:eastAsia="Century Gothic" w:hAnsi="Century Gothic" w:cs="Century Gothic"/>
          <w:b/>
          <w:sz w:val="24"/>
          <w:szCs w:val="24"/>
        </w:rPr>
        <w:t>DIP. LETICIA ORTEGA MÁYNEZ</w:t>
      </w:r>
    </w:p>
    <w:tbl>
      <w:tblPr>
        <w:tblpPr w:leftFromText="141" w:rightFromText="141" w:vertAnchor="page" w:horzAnchor="margin" w:tblpXSpec="center" w:tblpY="1861"/>
        <w:tblW w:w="8036" w:type="dxa"/>
        <w:tblLayout w:type="fixed"/>
        <w:tblLook w:val="0400" w:firstRow="0" w:lastRow="0" w:firstColumn="0" w:lastColumn="0" w:noHBand="0" w:noVBand="1"/>
      </w:tblPr>
      <w:tblGrid>
        <w:gridCol w:w="3827"/>
        <w:gridCol w:w="4209"/>
      </w:tblGrid>
      <w:tr w:rsidR="00112A94" w:rsidRPr="00CA16A7" w:rsidTr="00225B33">
        <w:trPr>
          <w:trHeight w:val="1975"/>
        </w:trPr>
        <w:tc>
          <w:tcPr>
            <w:tcW w:w="3827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lastRenderedPageBreak/>
              <w:t>DIP. EDIN CUAUTHÉMOC ESTRADA SOTELO</w:t>
            </w:r>
          </w:p>
        </w:tc>
        <w:tc>
          <w:tcPr>
            <w:tcW w:w="4209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ÓSCAR DANIEL</w:t>
            </w:r>
          </w:p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AVITIA ARELLANES</w:t>
            </w:r>
          </w:p>
        </w:tc>
      </w:tr>
      <w:tr w:rsidR="00112A94" w:rsidRPr="00CA16A7" w:rsidTr="00225B33">
        <w:trPr>
          <w:trHeight w:val="2414"/>
        </w:trPr>
        <w:tc>
          <w:tcPr>
            <w:tcW w:w="3827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ROSANA DÍAZ</w:t>
            </w:r>
          </w:p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REYES</w:t>
            </w:r>
          </w:p>
        </w:tc>
        <w:tc>
          <w:tcPr>
            <w:tcW w:w="4209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GUSTAVO DE LA ROSA HICKERSON</w:t>
            </w:r>
          </w:p>
        </w:tc>
      </w:tr>
      <w:tr w:rsidR="00112A94" w:rsidRPr="00CA16A7" w:rsidTr="00225B33">
        <w:trPr>
          <w:trHeight w:val="2242"/>
        </w:trPr>
        <w:tc>
          <w:tcPr>
            <w:tcW w:w="3827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MAGDALENA RENTERÍA PÉREZ</w:t>
            </w:r>
          </w:p>
        </w:tc>
        <w:tc>
          <w:tcPr>
            <w:tcW w:w="4209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MARÍA ANTONIETA</w:t>
            </w:r>
          </w:p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PÉREZ REYES</w:t>
            </w:r>
          </w:p>
        </w:tc>
      </w:tr>
      <w:tr w:rsidR="00112A94" w:rsidRPr="00CA16A7" w:rsidTr="00225B33">
        <w:trPr>
          <w:trHeight w:val="2267"/>
        </w:trPr>
        <w:tc>
          <w:tcPr>
            <w:tcW w:w="3827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ADRIANA TERRAZAS PORRAS</w:t>
            </w:r>
          </w:p>
        </w:tc>
        <w:tc>
          <w:tcPr>
            <w:tcW w:w="4209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BENJAMÍN CARRERA CHÁVEZ</w:t>
            </w:r>
          </w:p>
        </w:tc>
      </w:tr>
      <w:tr w:rsidR="00112A94" w:rsidRPr="00CA16A7" w:rsidTr="00225B33">
        <w:trPr>
          <w:trHeight w:val="2243"/>
        </w:trPr>
        <w:tc>
          <w:tcPr>
            <w:tcW w:w="3827" w:type="dxa"/>
            <w:vAlign w:val="bottom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</w:p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</w:p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sz w:val="24"/>
                <w:szCs w:val="24"/>
              </w:rPr>
            </w:pPr>
            <w:r w:rsidRPr="00CA16A7">
              <w:rPr>
                <w:rFonts w:ascii="Century Gothic" w:eastAsia="Century Gothic" w:hAnsi="Century Gothic" w:cs="Arial"/>
                <w:b/>
                <w:sz w:val="24"/>
                <w:szCs w:val="24"/>
              </w:rPr>
              <w:t>DIP. DAVID ÓSCAR CASTREJÓN RIVAS</w:t>
            </w:r>
          </w:p>
        </w:tc>
        <w:tc>
          <w:tcPr>
            <w:tcW w:w="4209" w:type="dxa"/>
          </w:tcPr>
          <w:p w:rsidR="00112A94" w:rsidRPr="00CA16A7" w:rsidRDefault="00112A94" w:rsidP="00112A94">
            <w:pPr>
              <w:spacing w:after="120"/>
              <w:ind w:left="-113"/>
              <w:jc w:val="center"/>
              <w:rPr>
                <w:rFonts w:ascii="Century Gothic" w:eastAsia="Century Gothic" w:hAnsi="Century Gothic" w:cs="Arial"/>
                <w:b/>
                <w:bCs/>
                <w:sz w:val="24"/>
                <w:szCs w:val="24"/>
              </w:rPr>
            </w:pPr>
          </w:p>
        </w:tc>
      </w:tr>
    </w:tbl>
    <w:p w:rsidR="00BF3138" w:rsidRPr="00CA16A7" w:rsidRDefault="00BF3138" w:rsidP="00112A94">
      <w:pPr>
        <w:spacing w:line="36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sectPr w:rsidR="00BF3138" w:rsidRPr="00CA16A7" w:rsidSect="009E7D60">
      <w:headerReference w:type="default" r:id="rId7"/>
      <w:footerReference w:type="default" r:id="rId8"/>
      <w:pgSz w:w="12240" w:h="15840"/>
      <w:pgMar w:top="198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73" w:rsidRDefault="00447373" w:rsidP="00CA16A7">
      <w:pPr>
        <w:spacing w:after="0" w:line="240" w:lineRule="auto"/>
      </w:pPr>
      <w:r>
        <w:separator/>
      </w:r>
    </w:p>
  </w:endnote>
  <w:endnote w:type="continuationSeparator" w:id="0">
    <w:p w:rsidR="00447373" w:rsidRDefault="00447373" w:rsidP="00CA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yon Script">
    <w:altName w:val="Cambria Math"/>
    <w:charset w:val="00"/>
    <w:family w:val="auto"/>
    <w:pitch w:val="variable"/>
    <w:sig w:usb0="00000001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A7" w:rsidRDefault="00CA16A7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25B33" w:rsidRPr="00225B33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:rsidR="00CA16A7" w:rsidRDefault="00CA16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73" w:rsidRDefault="00447373" w:rsidP="00CA16A7">
      <w:pPr>
        <w:spacing w:after="0" w:line="240" w:lineRule="auto"/>
      </w:pPr>
      <w:r>
        <w:separator/>
      </w:r>
    </w:p>
  </w:footnote>
  <w:footnote w:type="continuationSeparator" w:id="0">
    <w:p w:rsidR="00447373" w:rsidRDefault="00447373" w:rsidP="00CA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99" w:rsidRPr="00325B88" w:rsidRDefault="000C2D99" w:rsidP="000C2D99">
    <w:pPr>
      <w:jc w:val="right"/>
      <w:rPr>
        <w:rFonts w:ascii="Pinyon Script" w:eastAsia="Pinyon Script" w:hAnsi="Pinyon Script" w:cs="Pinyon Script"/>
        <w:b/>
        <w:i/>
      </w:rPr>
    </w:pPr>
    <w:r w:rsidRPr="00325B88">
      <w:rPr>
        <w:rFonts w:ascii="Pinyon Script" w:eastAsia="Pinyon Script" w:hAnsi="Pinyon Script" w:cs="Pinyon Script"/>
        <w:b/>
        <w:i/>
      </w:rPr>
      <w:t>2022, Año del Centenario de la llegada de la Comunidad Menonita a Chihuahua”</w:t>
    </w:r>
  </w:p>
  <w:p w:rsidR="000C2D99" w:rsidRDefault="000C2D99" w:rsidP="000C2D9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AD7"/>
    <w:multiLevelType w:val="multilevel"/>
    <w:tmpl w:val="D0A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C2E53"/>
    <w:multiLevelType w:val="multilevel"/>
    <w:tmpl w:val="A31A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F80A12"/>
    <w:multiLevelType w:val="hybridMultilevel"/>
    <w:tmpl w:val="A5984590"/>
    <w:lvl w:ilvl="0" w:tplc="5424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8"/>
    <w:rsid w:val="000523B2"/>
    <w:rsid w:val="000C2D99"/>
    <w:rsid w:val="001024AA"/>
    <w:rsid w:val="00112A94"/>
    <w:rsid w:val="0022530A"/>
    <w:rsid w:val="00225B33"/>
    <w:rsid w:val="002F59D9"/>
    <w:rsid w:val="004262B9"/>
    <w:rsid w:val="00447373"/>
    <w:rsid w:val="0048651A"/>
    <w:rsid w:val="005124C3"/>
    <w:rsid w:val="00686723"/>
    <w:rsid w:val="007442E1"/>
    <w:rsid w:val="008E0229"/>
    <w:rsid w:val="009C1999"/>
    <w:rsid w:val="009E7D60"/>
    <w:rsid w:val="00A51453"/>
    <w:rsid w:val="00A7397E"/>
    <w:rsid w:val="00BF3138"/>
    <w:rsid w:val="00CA16A7"/>
    <w:rsid w:val="00CF7C80"/>
    <w:rsid w:val="00D9008B"/>
    <w:rsid w:val="00E915F1"/>
    <w:rsid w:val="00F31571"/>
    <w:rsid w:val="00FC2E36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AC5B-2488-4060-817E-DBD53BB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3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313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262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1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1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6A7"/>
  </w:style>
  <w:style w:type="paragraph" w:styleId="Piedepgina">
    <w:name w:val="footer"/>
    <w:basedOn w:val="Normal"/>
    <w:link w:val="PiedepginaCar"/>
    <w:uiPriority w:val="99"/>
    <w:unhideWhenUsed/>
    <w:rsid w:val="00CA1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6A7"/>
  </w:style>
  <w:style w:type="paragraph" w:styleId="Textodeglobo">
    <w:name w:val="Balloon Text"/>
    <w:basedOn w:val="Normal"/>
    <w:link w:val="TextodegloboCar"/>
    <w:uiPriority w:val="99"/>
    <w:semiHidden/>
    <w:unhideWhenUsed/>
    <w:rsid w:val="000C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 Santamaria Barraza</dc:creator>
  <cp:keywords/>
  <dc:description/>
  <cp:lastModifiedBy>Raquel Ivonne Santamaria Barraza</cp:lastModifiedBy>
  <cp:revision>9</cp:revision>
  <cp:lastPrinted>2022-04-12T17:04:00Z</cp:lastPrinted>
  <dcterms:created xsi:type="dcterms:W3CDTF">2022-04-11T19:05:00Z</dcterms:created>
  <dcterms:modified xsi:type="dcterms:W3CDTF">2022-04-12T17:07:00Z</dcterms:modified>
</cp:coreProperties>
</file>