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2C81" w14:textId="77777777" w:rsidR="00ED47E7" w:rsidRPr="00011DA7" w:rsidRDefault="00ED47E7" w:rsidP="00011DA7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465EBC32" w14:textId="6F343A37" w:rsidR="00ED47E7" w:rsidRPr="008655A2" w:rsidRDefault="008655A2" w:rsidP="00011DA7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H. CONGRESO DEL ESTADO.</w:t>
      </w:r>
    </w:p>
    <w:p w14:paraId="7E8FF039" w14:textId="444D1E5C" w:rsidR="0076688E" w:rsidRPr="003F66D3" w:rsidRDefault="008655A2" w:rsidP="0076688E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P R E S E N T E.-</w:t>
      </w:r>
    </w:p>
    <w:p w14:paraId="12E172CA" w14:textId="520C1C91" w:rsidR="00562E17" w:rsidRDefault="002F1649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Los suscritos</w:t>
      </w:r>
      <w:r w:rsidR="0076688E">
        <w:rPr>
          <w:rFonts w:ascii="Century Gothic" w:hAnsi="Century Gothic" w:cs="Arial"/>
          <w:lang w:val="es-ES_tradnl"/>
        </w:rPr>
        <w:t>,</w:t>
      </w:r>
      <w:r w:rsidR="0076688E" w:rsidRPr="00ED3A6D">
        <w:rPr>
          <w:rFonts w:ascii="Century Gothic" w:hAnsi="Century Gothic" w:cs="Arial"/>
          <w:lang w:val="es-ES_tradnl"/>
        </w:rPr>
        <w:t xml:space="preserve"> </w:t>
      </w:r>
      <w:r w:rsidRPr="002F1649">
        <w:rPr>
          <w:rFonts w:ascii="Century Gothic" w:hAnsi="Century Gothic" w:cs="Arial"/>
          <w:b/>
          <w:lang w:val="es-ES_tradnl"/>
        </w:rPr>
        <w:t xml:space="preserve">Amelia Deyanira </w:t>
      </w:r>
      <w:proofErr w:type="spellStart"/>
      <w:r w:rsidRPr="002F1649">
        <w:rPr>
          <w:rFonts w:ascii="Century Gothic" w:hAnsi="Century Gothic" w:cs="Arial"/>
          <w:b/>
          <w:lang w:val="es-ES_tradnl"/>
        </w:rPr>
        <w:t>Ozaeta</w:t>
      </w:r>
      <w:proofErr w:type="spellEnd"/>
      <w:r w:rsidRPr="002F1649">
        <w:rPr>
          <w:rFonts w:ascii="Century Gothic" w:hAnsi="Century Gothic" w:cs="Arial"/>
          <w:b/>
          <w:lang w:val="es-ES_tradnl"/>
        </w:rPr>
        <w:t xml:space="preserve"> Díaz</w:t>
      </w:r>
      <w:r w:rsidR="003F66D3">
        <w:rPr>
          <w:rFonts w:ascii="Century Gothic" w:hAnsi="Century Gothic" w:cs="Arial"/>
          <w:b/>
          <w:lang w:val="es-ES_tradnl"/>
        </w:rPr>
        <w:t>, Ilse América García Soto</w:t>
      </w:r>
      <w:r>
        <w:rPr>
          <w:rFonts w:ascii="Century Gothic" w:hAnsi="Century Gothic" w:cs="Arial"/>
          <w:lang w:val="es-ES_tradnl"/>
        </w:rPr>
        <w:t xml:space="preserve"> y </w:t>
      </w:r>
      <w:r w:rsidR="0076688E" w:rsidRPr="00ED7B16">
        <w:rPr>
          <w:rFonts w:ascii="Century Gothic" w:hAnsi="Century Gothic" w:cs="Arial"/>
          <w:b/>
          <w:lang w:val="es-ES_tradnl"/>
        </w:rPr>
        <w:t xml:space="preserve">Benjamín Carrera Chávez, </w:t>
      </w:r>
      <w:r w:rsidR="0076688E" w:rsidRPr="00ED3A6D">
        <w:rPr>
          <w:rFonts w:ascii="Century Gothic" w:hAnsi="Century Gothic" w:cs="Arial"/>
          <w:lang w:val="es-ES_tradnl"/>
        </w:rPr>
        <w:t xml:space="preserve">en </w:t>
      </w:r>
      <w:r>
        <w:rPr>
          <w:rFonts w:ascii="Century Gothic" w:hAnsi="Century Gothic" w:cs="Arial"/>
          <w:lang w:val="es-ES_tradnl"/>
        </w:rPr>
        <w:t>nuestro</w:t>
      </w:r>
      <w:r w:rsidR="0076688E">
        <w:rPr>
          <w:rFonts w:ascii="Century Gothic" w:hAnsi="Century Gothic" w:cs="Arial"/>
          <w:lang w:val="es-ES_tradnl"/>
        </w:rPr>
        <w:t xml:space="preserve"> </w:t>
      </w:r>
      <w:r w:rsidR="0076688E" w:rsidRPr="00243589">
        <w:rPr>
          <w:rFonts w:ascii="Century Gothic" w:hAnsi="Century Gothic" w:cs="Arial"/>
          <w:lang w:val="es-ES_tradnl"/>
        </w:rPr>
        <w:t>carácter de Diputado</w:t>
      </w:r>
      <w:r>
        <w:rPr>
          <w:rFonts w:ascii="Century Gothic" w:hAnsi="Century Gothic" w:cs="Arial"/>
          <w:lang w:val="es-ES_tradnl"/>
        </w:rPr>
        <w:t>s</w:t>
      </w:r>
      <w:r w:rsidR="0076688E" w:rsidRPr="00243589">
        <w:rPr>
          <w:rFonts w:ascii="Century Gothic" w:hAnsi="Century Gothic" w:cs="Arial"/>
          <w:lang w:val="es-ES_tradnl"/>
        </w:rPr>
        <w:t xml:space="preserve"> </w:t>
      </w:r>
      <w:r w:rsidR="0076688E">
        <w:rPr>
          <w:rFonts w:ascii="Century Gothic" w:hAnsi="Century Gothic" w:cs="Arial"/>
          <w:lang w:val="es-ES_tradnl"/>
        </w:rPr>
        <w:t xml:space="preserve">de </w:t>
      </w:r>
      <w:r w:rsidR="0076688E" w:rsidRPr="00243589">
        <w:rPr>
          <w:rFonts w:ascii="Century Gothic" w:hAnsi="Century Gothic" w:cs="Arial"/>
          <w:lang w:val="es-ES_tradnl"/>
        </w:rPr>
        <w:t xml:space="preserve">la Sexagésima </w:t>
      </w:r>
      <w:r w:rsidR="0076688E">
        <w:rPr>
          <w:rFonts w:ascii="Century Gothic" w:hAnsi="Century Gothic" w:cs="Arial"/>
          <w:lang w:val="es-ES_tradnl"/>
        </w:rPr>
        <w:t>Séptima</w:t>
      </w:r>
      <w:r w:rsidR="0076688E" w:rsidRPr="00243589">
        <w:rPr>
          <w:rFonts w:ascii="Century Gothic" w:hAnsi="Century Gothic" w:cs="Arial"/>
          <w:lang w:val="es-ES_tradnl"/>
        </w:rPr>
        <w:t xml:space="preserve"> Legislatura y como integrante</w:t>
      </w:r>
      <w:r>
        <w:rPr>
          <w:rFonts w:ascii="Century Gothic" w:hAnsi="Century Gothic" w:cs="Arial"/>
          <w:lang w:val="es-ES_tradnl"/>
        </w:rPr>
        <w:t xml:space="preserve">s de la </w:t>
      </w:r>
      <w:r w:rsidRPr="002F1649">
        <w:rPr>
          <w:rFonts w:ascii="Century Gothic" w:hAnsi="Century Gothic" w:cs="Arial"/>
          <w:b/>
          <w:lang w:val="es-ES_tradnl"/>
        </w:rPr>
        <w:t>Representación Parlamentaria del Partido del Trabajo</w:t>
      </w:r>
      <w:r w:rsidR="003F66D3">
        <w:rPr>
          <w:rFonts w:ascii="Century Gothic" w:hAnsi="Century Gothic" w:cs="Arial"/>
          <w:lang w:val="es-ES_tradnl"/>
        </w:rPr>
        <w:t xml:space="preserve"> y de los </w:t>
      </w:r>
      <w:r>
        <w:rPr>
          <w:rFonts w:ascii="Century Gothic" w:hAnsi="Century Gothic" w:cs="Arial"/>
          <w:lang w:val="es-ES_tradnl"/>
        </w:rPr>
        <w:t xml:space="preserve"> </w:t>
      </w:r>
      <w:r w:rsidR="0076688E" w:rsidRPr="00ED7B16">
        <w:rPr>
          <w:rFonts w:ascii="Century Gothic" w:hAnsi="Century Gothic" w:cs="Arial"/>
          <w:b/>
          <w:lang w:val="es-ES_tradnl"/>
        </w:rPr>
        <w:t>Grupo</w:t>
      </w:r>
      <w:r w:rsidR="003F66D3">
        <w:rPr>
          <w:rFonts w:ascii="Century Gothic" w:hAnsi="Century Gothic" w:cs="Arial"/>
          <w:b/>
          <w:lang w:val="es-ES_tradnl"/>
        </w:rPr>
        <w:t>s</w:t>
      </w:r>
      <w:r w:rsidR="0076688E" w:rsidRPr="00ED7B16">
        <w:rPr>
          <w:rFonts w:ascii="Century Gothic" w:hAnsi="Century Gothic" w:cs="Arial"/>
          <w:b/>
          <w:lang w:val="es-ES_tradnl"/>
        </w:rPr>
        <w:t xml:space="preserve"> Parlamentario</w:t>
      </w:r>
      <w:r w:rsidR="003F66D3">
        <w:rPr>
          <w:rFonts w:ascii="Century Gothic" w:hAnsi="Century Gothic" w:cs="Arial"/>
          <w:b/>
          <w:lang w:val="es-ES_tradnl"/>
        </w:rPr>
        <w:t>s</w:t>
      </w:r>
      <w:r w:rsidR="0076688E" w:rsidRPr="00ED7B16">
        <w:rPr>
          <w:rFonts w:ascii="Century Gothic" w:hAnsi="Century Gothic" w:cs="Arial"/>
          <w:b/>
          <w:lang w:val="es-ES_tradnl"/>
        </w:rPr>
        <w:t xml:space="preserve"> de </w:t>
      </w:r>
      <w:r w:rsidR="003F66D3" w:rsidRPr="003F66D3">
        <w:rPr>
          <w:rFonts w:ascii="Century Gothic" w:hAnsi="Century Gothic" w:cs="Arial"/>
          <w:b/>
          <w:lang w:val="es-ES_tradnl"/>
        </w:rPr>
        <w:t>Movimiento Ciudadano</w:t>
      </w:r>
      <w:r w:rsidR="003F66D3">
        <w:rPr>
          <w:rFonts w:ascii="Century Gothic" w:hAnsi="Century Gothic" w:cs="Arial"/>
          <w:lang w:val="es-ES_tradnl"/>
        </w:rPr>
        <w:t xml:space="preserve"> y </w:t>
      </w:r>
      <w:r w:rsidR="0076688E" w:rsidRPr="00ED7B16">
        <w:rPr>
          <w:rFonts w:ascii="Century Gothic" w:hAnsi="Century Gothic" w:cs="Arial"/>
          <w:b/>
          <w:lang w:val="es-ES_tradnl"/>
        </w:rPr>
        <w:t>MORENA</w:t>
      </w:r>
      <w:r w:rsidR="003F66D3">
        <w:rPr>
          <w:rFonts w:ascii="Century Gothic" w:hAnsi="Century Gothic" w:cs="Arial"/>
          <w:lang w:val="es-ES_tradnl"/>
        </w:rPr>
        <w:t xml:space="preserve"> respectivamente, </w:t>
      </w:r>
      <w:r w:rsidR="0076688E">
        <w:rPr>
          <w:rFonts w:ascii="Century Gothic" w:hAnsi="Century Gothic" w:cs="Arial"/>
          <w:lang w:val="es-ES_tradnl"/>
        </w:rPr>
        <w:t>acud</w:t>
      </w:r>
      <w:r>
        <w:rPr>
          <w:rFonts w:ascii="Century Gothic" w:hAnsi="Century Gothic" w:cs="Arial"/>
          <w:lang w:val="es-ES_tradnl"/>
        </w:rPr>
        <w:t>imos</w:t>
      </w:r>
      <w:r w:rsidR="0076688E" w:rsidRPr="00243589">
        <w:rPr>
          <w:rFonts w:ascii="Century Gothic" w:hAnsi="Century Gothic" w:cs="Arial"/>
          <w:lang w:val="es-ES_tradnl"/>
        </w:rPr>
        <w:t xml:space="preserve"> ante esta Honorable Representación Popular, en uso de las atribuciones conferidas por lo dispuesto </w:t>
      </w:r>
      <w:r w:rsidR="0076688E">
        <w:rPr>
          <w:rFonts w:ascii="Century Gothic" w:hAnsi="Century Gothic" w:cs="Arial"/>
          <w:lang w:val="es-ES_tradnl"/>
        </w:rPr>
        <w:t xml:space="preserve">en el artículo 64 </w:t>
      </w:r>
      <w:r w:rsidR="0076688E" w:rsidRPr="00243589">
        <w:rPr>
          <w:rFonts w:ascii="Century Gothic" w:hAnsi="Century Gothic" w:cs="Arial"/>
          <w:lang w:val="es-ES_tradnl"/>
        </w:rPr>
        <w:t>de la Constitución Política del Esta</w:t>
      </w:r>
      <w:r w:rsidR="0076688E">
        <w:rPr>
          <w:rFonts w:ascii="Century Gothic" w:hAnsi="Century Gothic" w:cs="Arial"/>
          <w:lang w:val="es-ES_tradnl"/>
        </w:rPr>
        <w:t>do de Chihuahua, así como el 168 y 169</w:t>
      </w:r>
      <w:r w:rsidR="0076688E" w:rsidRPr="00243589">
        <w:rPr>
          <w:rFonts w:ascii="Century Gothic" w:hAnsi="Century Gothic" w:cs="Arial"/>
          <w:lang w:val="es-ES_tradnl"/>
        </w:rPr>
        <w:t xml:space="preserve"> de la Ley Orgánica,</w:t>
      </w:r>
      <w:r w:rsidR="0076688E">
        <w:rPr>
          <w:rFonts w:ascii="Century Gothic" w:hAnsi="Century Gothic" w:cs="Arial"/>
          <w:lang w:val="es-ES_tradnl"/>
        </w:rPr>
        <w:t xml:space="preserve"> </w:t>
      </w:r>
      <w:r w:rsidR="0076688E">
        <w:rPr>
          <w:rFonts w:ascii="Century Gothic" w:hAnsi="Century Gothic" w:cs="Arial"/>
        </w:rPr>
        <w:t>y</w:t>
      </w:r>
      <w:r w:rsidR="0076688E" w:rsidRPr="00243589">
        <w:rPr>
          <w:rFonts w:ascii="Century Gothic" w:hAnsi="Century Gothic" w:cs="Arial"/>
        </w:rPr>
        <w:t xml:space="preserve"> los artículos 13 fracc</w:t>
      </w:r>
      <w:r w:rsidR="0076688E">
        <w:rPr>
          <w:rFonts w:ascii="Century Gothic" w:hAnsi="Century Gothic" w:cs="Arial"/>
        </w:rPr>
        <w:t xml:space="preserve">ión IV, 75, 76 y 77 fracción I </w:t>
      </w:r>
      <w:r w:rsidR="0076688E" w:rsidRPr="00243589">
        <w:rPr>
          <w:rFonts w:ascii="Century Gothic" w:hAnsi="Century Gothic" w:cs="Arial"/>
        </w:rPr>
        <w:t xml:space="preserve"> del  Reglamento Interior y de Prácticas Parlamentarias </w:t>
      </w:r>
      <w:r w:rsidR="0076688E">
        <w:rPr>
          <w:rFonts w:ascii="Century Gothic" w:hAnsi="Century Gothic" w:cs="Arial"/>
        </w:rPr>
        <w:t xml:space="preserve">ambos ordenamientos </w:t>
      </w:r>
      <w:r w:rsidR="0076688E" w:rsidRPr="00243589">
        <w:rPr>
          <w:rFonts w:ascii="Century Gothic" w:hAnsi="Century Gothic" w:cs="Arial"/>
          <w:lang w:val="es-ES_tradnl"/>
        </w:rPr>
        <w:t>del Poder Legislativo del Estado de Chihuahua</w:t>
      </w:r>
      <w:r w:rsidR="0076688E">
        <w:rPr>
          <w:rFonts w:ascii="Century Gothic" w:hAnsi="Century Gothic" w:cs="Arial"/>
        </w:rPr>
        <w:t>,</w:t>
      </w:r>
      <w:r w:rsidR="0076688E" w:rsidRPr="00243589">
        <w:rPr>
          <w:rFonts w:ascii="Century Gothic" w:hAnsi="Century Gothic" w:cs="Arial"/>
          <w:lang w:val="es-ES_tradnl"/>
        </w:rPr>
        <w:t xml:space="preserve"> a fin de someter a su consideración el siguiente </w:t>
      </w:r>
      <w:r w:rsidR="0076688E">
        <w:rPr>
          <w:rFonts w:ascii="Century Gothic" w:hAnsi="Century Gothic" w:cs="Arial"/>
          <w:lang w:val="es-ES_tradnl"/>
        </w:rPr>
        <w:t xml:space="preserve">proyecto con carácter de </w:t>
      </w:r>
      <w:r w:rsidR="00B4393B">
        <w:rPr>
          <w:rFonts w:ascii="Century Gothic" w:hAnsi="Century Gothic" w:cs="Arial"/>
          <w:b/>
          <w:lang w:val="es-ES_tradnl"/>
        </w:rPr>
        <w:t>DECRETO.</w:t>
      </w:r>
    </w:p>
    <w:p w14:paraId="7B98BB33" w14:textId="77777777" w:rsidR="0076688E" w:rsidRPr="00243589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Lo anterior de conformidad con la siguiente:</w:t>
      </w:r>
    </w:p>
    <w:p w14:paraId="59B1F75F" w14:textId="77777777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2D527BE7" w14:textId="2445A153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  <w:r w:rsidRPr="00243589">
        <w:rPr>
          <w:rFonts w:ascii="Century Gothic" w:hAnsi="Century Gothic" w:cs="Arial"/>
          <w:b/>
          <w:lang w:val="es-ES_tradnl"/>
        </w:rPr>
        <w:t>EXPOSICION DE MOTIVOS</w:t>
      </w:r>
      <w:r>
        <w:rPr>
          <w:rFonts w:ascii="Century Gothic" w:hAnsi="Century Gothic" w:cs="Arial"/>
          <w:b/>
          <w:lang w:val="es-ES_tradnl"/>
        </w:rPr>
        <w:t>.</w:t>
      </w:r>
    </w:p>
    <w:p w14:paraId="5626AD19" w14:textId="77777777" w:rsidR="00452267" w:rsidRPr="00B96E99" w:rsidRDefault="00452267" w:rsidP="00B96E99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5D9526EB" w14:textId="5D927CF9" w:rsidR="00B96E99" w:rsidRDefault="00B96E99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El crecimiento de las ciudades así como la legislación encaminada a regular las cuestiones viales abordadas desde las necesidades del transporte movilizado, ha significado conflictos de movilidad tanto para las y los usuarios de este tipo de transporte, como para peatones y  quienes utilizan transporte no motorizado.</w:t>
      </w:r>
      <w:r>
        <w:rPr>
          <w:rFonts w:ascii="Century Gothic" w:eastAsia="Times New Roman" w:hAnsi="Century Gothic" w:cs="Times New Roman"/>
          <w:lang w:eastAsia="es-MX"/>
        </w:rPr>
        <w:t xml:space="preserve">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Por ende, el concepto de movilidad se ha  ampliado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en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sus términos y engloba no sólo aquello que es inherente al transporte desde una perspectiva tradicional entendida como el desplazamiento de personas o bienes entre un origen y un destino consumiendo recursos cuantificabl</w:t>
      </w:r>
      <w:r>
        <w:rPr>
          <w:rFonts w:ascii="Century Gothic" w:eastAsia="Times New Roman" w:hAnsi="Century Gothic" w:cs="Calibri"/>
          <w:color w:val="000000"/>
          <w:lang w:eastAsia="es-MX"/>
        </w:rPr>
        <w:t>es, sino que además incluye todas aquella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s condicionantes, necesidades, motivaciones y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lastRenderedPageBreak/>
        <w:t>percepciones de los individuos, situando al ciudadano y al usuario en el centro de todo el sistema.</w:t>
      </w:r>
    </w:p>
    <w:p w14:paraId="57D13638" w14:textId="77777777" w:rsidR="003F66D3" w:rsidRPr="00B96E99" w:rsidRDefault="003F66D3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</w:p>
    <w:p w14:paraId="4FFEE9C7" w14:textId="77777777" w:rsidR="00B96E99" w:rsidRDefault="00B96E99" w:rsidP="00B96E99">
      <w:pPr>
        <w:spacing w:line="36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Como ya se ha planteado en esta misma tribuna, existe coincidencia en cuanto a la necesidad de regular estas cuestiones en concordancia 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no solo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con los cambios circunstanciales, sino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con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el propio avance legislativo. </w:t>
      </w:r>
    </w:p>
    <w:p w14:paraId="266700FC" w14:textId="77777777" w:rsidR="00B96E99" w:rsidRDefault="00B96E99" w:rsidP="00B96E99">
      <w:pPr>
        <w:spacing w:line="36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14:paraId="13B1F8D2" w14:textId="45FEF91D" w:rsidR="00B96E99" w:rsidRPr="00B96E99" w:rsidRDefault="00B96E99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A manera de ejemplo, el derecho a la ciudad, que pretendemos elevar a rango constitucional a través de la propuesta que acompaña la Ley de Movilidad y Seguridad Vial presentada en días pasados por el de la voz, es un derecho que la propia Ley de Asentamientos Humanos, Ordenamiento Territorial y Desarrollo Urbano reconoce e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n los siguientes términos de acuerdo con su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artículo cuarto:</w:t>
      </w:r>
    </w:p>
    <w:p w14:paraId="2DA34CC2" w14:textId="77777777" w:rsidR="00B96E99" w:rsidRPr="00B96E99" w:rsidRDefault="00B96E99" w:rsidP="003F66D3">
      <w:pPr>
        <w:ind w:left="708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B96E99">
        <w:rPr>
          <w:rFonts w:ascii="Century Gothic" w:eastAsia="Times New Roman" w:hAnsi="Century Gothic" w:cs="Calibri"/>
          <w:i/>
          <w:iCs/>
          <w:color w:val="000000"/>
          <w:sz w:val="20"/>
          <w:szCs w:val="20"/>
          <w:lang w:eastAsia="es-MX"/>
        </w:rPr>
        <w:t>Artículo 4. La planeación, regulación, gestión y evaluación de los asentamientos humanos, el ordenamiento territorial y el desarrollo urbano en la Entidad, se orientará a generar un nuevo modelo de gobernanza territorial, con apego a los siguientes principios de política pública:</w:t>
      </w:r>
    </w:p>
    <w:p w14:paraId="6CC4785A" w14:textId="77777777" w:rsidR="00B96E99" w:rsidRPr="00B96E99" w:rsidRDefault="00B96E99" w:rsidP="003F66D3">
      <w:pPr>
        <w:rPr>
          <w:rFonts w:ascii="Century Gothic" w:eastAsia="Times New Roman" w:hAnsi="Century Gothic" w:cs="Times New Roman"/>
          <w:lang w:eastAsia="es-MX"/>
        </w:rPr>
      </w:pPr>
    </w:p>
    <w:p w14:paraId="484A18A5" w14:textId="77777777" w:rsidR="00B96E99" w:rsidRPr="00B96E99" w:rsidRDefault="00B96E99" w:rsidP="003F66D3">
      <w:pPr>
        <w:ind w:left="708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B96E99">
        <w:rPr>
          <w:rFonts w:ascii="Century Gothic" w:eastAsia="Times New Roman" w:hAnsi="Century Gothic" w:cs="Calibri"/>
          <w:i/>
          <w:iCs/>
          <w:color w:val="000000"/>
          <w:sz w:val="20"/>
          <w:szCs w:val="20"/>
          <w:lang w:eastAsia="es-MX"/>
        </w:rPr>
        <w:t xml:space="preserve">I. </w:t>
      </w:r>
      <w:r w:rsidRPr="00B96E99">
        <w:rPr>
          <w:rFonts w:ascii="Century Gothic" w:eastAsia="Times New Roman" w:hAnsi="Century Gothic" w:cs="Calibri"/>
          <w:b/>
          <w:bCs/>
          <w:i/>
          <w:iCs/>
          <w:color w:val="000000"/>
          <w:sz w:val="20"/>
          <w:szCs w:val="20"/>
          <w:lang w:eastAsia="es-MX"/>
        </w:rPr>
        <w:t>Derecho a la ciudad</w:t>
      </w:r>
      <w:r w:rsidRPr="00B96E99">
        <w:rPr>
          <w:rFonts w:ascii="Century Gothic" w:eastAsia="Times New Roman" w:hAnsi="Century Gothic" w:cs="Calibri"/>
          <w:i/>
          <w:iCs/>
          <w:color w:val="000000"/>
          <w:sz w:val="20"/>
          <w:szCs w:val="20"/>
          <w:lang w:eastAsia="es-MX"/>
        </w:rPr>
        <w:t>.- Garantizar a todas las personas habitantes de un asentamiento humano o centros de población, el acceso a la vivienda, infraestructura, equipamiento y servicios básicos (…).</w:t>
      </w:r>
    </w:p>
    <w:p w14:paraId="5DA046D5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68CA51DD" w14:textId="5CC01BD3" w:rsidR="00B96E99" w:rsidRPr="00B96E99" w:rsidRDefault="00B96E99" w:rsidP="00B96E99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Por otra parte, la reciente aprobación en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lo general en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la Cámara de Diputados de la Ley General de Movilidad y Seguridad Vial, implica estar preparados ante lo que significa esta legislación que distribuirá competencias y funciones entre los tres órdenes de gobierno, bajo el objetiv</w:t>
      </w:r>
      <w:r>
        <w:rPr>
          <w:rFonts w:ascii="Century Gothic" w:eastAsia="Times New Roman" w:hAnsi="Century Gothic" w:cs="Calibri"/>
          <w:color w:val="000000"/>
          <w:lang w:eastAsia="es-MX"/>
        </w:rPr>
        <w:t>o de salvaguardar la vida de las y los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mexicanos en toda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s las modalidades de tránsito, así como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garantizar el derecho a la movilidad segura reconocido tanto en la Constitución Política de los Estados Unidos Mexicanos como en la Constitución local.</w:t>
      </w:r>
    </w:p>
    <w:p w14:paraId="34B3681F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61AE491F" w14:textId="609EF5A6" w:rsidR="00B96E99" w:rsidRPr="00B96E99" w:rsidRDefault="00B96E99" w:rsidP="00B96E99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lastRenderedPageBreak/>
        <w:t xml:space="preserve">En virtud de lo anterior y bajo las circunstancias actuales, el transporte y 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los desplazamientos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en sus diferentes modalidades atraviesan una etapa en la que profundos cambios son necesarios y dicha necesidad se acentuará aún más tomando en cuenta no solo la nueva legislación sino la tecnologías emergentes, los retos medioambientales, y la cada vez mayor concentración de la población en grandes núcleos urbanos.</w:t>
      </w:r>
    </w:p>
    <w:p w14:paraId="76381E9F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61FBBD56" w14:textId="7884724A" w:rsidR="00B96E99" w:rsidRPr="00B96E99" w:rsidRDefault="00B96E99" w:rsidP="00B96E99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Es innegable que se está produciendo una transformación disruptiva en las políticas de movilidad a nivel nacional que va recorriendo a su vez a las entidades y por ende a los municipios; Al respecto, de acuerdo con la Alianza por la Movilidad Segura existen retos de coordinación anticipada que demanda la nueva legislación general y que deben enfrentarse a nivel local con el fin de ejercer de manera efectiva las atri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buciones que se les otorgarán;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Armonización reglamentaria, ajustes y asignación de recursos para priorizar nuevos esquemas de transporte, así como la plena garantía de congruencia y coordinación en instrumentos de planeación de movilidad son por mencionar algunos, los retos que a nivel municipal requieren de atención.</w:t>
      </w:r>
    </w:p>
    <w:p w14:paraId="119B6496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585FEE8C" w14:textId="61A7AE31" w:rsidR="00B96E99" w:rsidRDefault="00B96E99" w:rsidP="00CE7EBF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En este sentido es necesario estipular la coordinación del Estado y los municipios para integrar y administrar el sistema de vialidad, tránsito y transporte, elementos de la movilidad,  en los términos del artículo 115 de la Constitución Política de los Estados Unidos Mexicanos a través de esquemas de c</w:t>
      </w:r>
      <w:r>
        <w:rPr>
          <w:rFonts w:ascii="Century Gothic" w:eastAsia="Times New Roman" w:hAnsi="Century Gothic" w:cs="Calibri"/>
          <w:color w:val="000000"/>
          <w:lang w:eastAsia="es-MX"/>
        </w:rPr>
        <w:t>olaboración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institucional que permitan el  cumplimiento de los </w:t>
      </w:r>
      <w:r w:rsidR="00CE7EBF">
        <w:rPr>
          <w:rFonts w:ascii="Century Gothic" w:eastAsia="Times New Roman" w:hAnsi="Century Gothic" w:cs="Calibri"/>
          <w:color w:val="000000"/>
          <w:lang w:eastAsia="es-MX"/>
        </w:rPr>
        <w:t xml:space="preserve">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objetivos y fines en este rubro, apoyándose de órganos colegiados especializados.</w:t>
      </w:r>
    </w:p>
    <w:p w14:paraId="18E26E8B" w14:textId="77777777" w:rsidR="00CE7EBF" w:rsidRDefault="00CE7EBF" w:rsidP="00CE7EBF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</w:p>
    <w:p w14:paraId="3BD7F80C" w14:textId="1175052F" w:rsidR="00CE7EBF" w:rsidRDefault="00CE7EBF" w:rsidP="00CE7EBF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>
        <w:rPr>
          <w:rFonts w:ascii="Century Gothic" w:eastAsia="Times New Roman" w:hAnsi="Century Gothic" w:cs="Times New Roman"/>
          <w:lang w:eastAsia="es-MX"/>
        </w:rPr>
        <w:t xml:space="preserve">Cabe señalar que </w:t>
      </w:r>
      <w:r w:rsidR="00E164CF">
        <w:rPr>
          <w:rFonts w:ascii="Century Gothic" w:eastAsia="Times New Roman" w:hAnsi="Century Gothic" w:cs="Times New Roman"/>
          <w:lang w:eastAsia="es-MX"/>
        </w:rPr>
        <w:t>en</w:t>
      </w:r>
      <w:r w:rsidRPr="00CE7EBF">
        <w:rPr>
          <w:rFonts w:ascii="Century Gothic" w:eastAsia="Times New Roman" w:hAnsi="Century Gothic" w:cs="Times New Roman"/>
          <w:lang w:eastAsia="es-MX"/>
        </w:rPr>
        <w:t xml:space="preserve"> el recién llevado a cabo Encuentro Nacional de Diputados Locales por la Movilidad se planteó esta propuesta por parte </w:t>
      </w:r>
      <w:r w:rsidRPr="00CE7EBF">
        <w:rPr>
          <w:rFonts w:ascii="Century Gothic" w:eastAsia="Times New Roman" w:hAnsi="Century Gothic" w:cs="Times New Roman"/>
          <w:lang w:eastAsia="es-MX"/>
        </w:rPr>
        <w:lastRenderedPageBreak/>
        <w:t>de la</w:t>
      </w:r>
      <w:r w:rsidR="00E164CF">
        <w:rPr>
          <w:rFonts w:ascii="Century Gothic" w:eastAsia="Times New Roman" w:hAnsi="Century Gothic" w:cs="Times New Roman"/>
          <w:lang w:eastAsia="es-MX"/>
        </w:rPr>
        <w:t xml:space="preserve"> Dirección de Movilidad </w:t>
      </w:r>
      <w:r w:rsidRPr="00CE7EBF">
        <w:rPr>
          <w:rFonts w:ascii="Century Gothic" w:eastAsia="Times New Roman" w:hAnsi="Century Gothic" w:cs="Times New Roman"/>
          <w:lang w:eastAsia="es-MX"/>
        </w:rPr>
        <w:t xml:space="preserve"> Secretaría de Desarrollo Agrario Territorial y Urbano (SEDATU), siendo una de las principales acciones tendientes a garantizar el cumplimiento de la próxima Ley General de Movilida</w:t>
      </w:r>
      <w:r w:rsidR="00331FBE">
        <w:rPr>
          <w:rFonts w:ascii="Century Gothic" w:eastAsia="Times New Roman" w:hAnsi="Century Gothic" w:cs="Times New Roman"/>
          <w:lang w:eastAsia="es-MX"/>
        </w:rPr>
        <w:t>d no solo para Chihuahua sino para todas las entidades del país.</w:t>
      </w:r>
    </w:p>
    <w:p w14:paraId="6451DA9F" w14:textId="77777777" w:rsidR="00E164CF" w:rsidRPr="00B96E99" w:rsidRDefault="00E164CF" w:rsidP="00CE7EBF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</w:p>
    <w:p w14:paraId="46D44576" w14:textId="1019F36A" w:rsidR="00B96E99" w:rsidRDefault="00B96E99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Finalmente, colocar a la movilidad como uno de los temas prioritarios no solo en la agenda legislativa sino a nivel municipal  adoptando la tendencia mundial de sustentabilidad para las ciudades del futuro a través de la planeación inteligente y sostenible permitirá dar cumplimiento a lo establecido en nuestra Carta Magna local colocando a nuestras ciudades en un plano de respeto de derechos humanos y competitividad.</w:t>
      </w:r>
    </w:p>
    <w:p w14:paraId="4E9BE0A8" w14:textId="77777777" w:rsidR="003F66D3" w:rsidRPr="00B96E99" w:rsidRDefault="003F66D3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</w:p>
    <w:p w14:paraId="6984276F" w14:textId="4416315E" w:rsidR="00BB08AD" w:rsidRDefault="00B96E99" w:rsidP="00B96E99">
      <w:pPr>
        <w:spacing w:line="36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Si bien, de manera general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el rubro de movilidad suele colocarse erróneamente en un segundo plano o bien como una extensión de órganos que se especializan en obras públicas, como se observa de la lectura del siguiente artículo del Código </w:t>
      </w:r>
      <w:r w:rsidR="00BB08AD" w:rsidRPr="00B96E99">
        <w:rPr>
          <w:rFonts w:ascii="Century Gothic" w:eastAsia="Times New Roman" w:hAnsi="Century Gothic" w:cs="Calibri"/>
          <w:color w:val="000000"/>
          <w:lang w:eastAsia="es-MX"/>
        </w:rPr>
        <w:t>Municipal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para el Estado, encontramos que en este rubro existen funciones muy específicas que dejan fuera el tema en comento en la presente iniciativa:</w:t>
      </w:r>
    </w:p>
    <w:p w14:paraId="4D065AE2" w14:textId="77777777" w:rsidR="003F66D3" w:rsidRPr="003F66D3" w:rsidRDefault="003F66D3" w:rsidP="00B96E99">
      <w:pPr>
        <w:spacing w:line="36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14:paraId="4E3DED14" w14:textId="77777777" w:rsidR="00B96E99" w:rsidRPr="00B96E99" w:rsidRDefault="00B96E99" w:rsidP="003F66D3">
      <w:pPr>
        <w:ind w:left="708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B96E99">
        <w:rPr>
          <w:rFonts w:ascii="Century Gothic" w:eastAsia="Times New Roman" w:hAnsi="Century Gothic" w:cs="Calibri"/>
          <w:i/>
          <w:iCs/>
          <w:color w:val="000000"/>
          <w:sz w:val="20"/>
          <w:szCs w:val="20"/>
          <w:lang w:eastAsia="es-MX"/>
        </w:rPr>
        <w:t>ARTÍCULO 36. La Comisión de Obras Públicas y Servicios Públicos intervendrá en las cuestiones relativas a la construcción y mantenimiento de obras públicas, aseo, alineamiento de calles y predios, alumbrado público, nomenclatura de calles, pavimentación, mejoramiento ambiental, ornato de calles, plazas, caminos, edificios, monumentos y demás lugares públicos municipales; asimismo, vigilará que la prestación de los servicios públicos municipales se realice eficazmente y que los concesionarios cumplan con las obligaciones pactadas en los contratos de concesión.</w:t>
      </w:r>
    </w:p>
    <w:p w14:paraId="38BCEF8F" w14:textId="77777777" w:rsidR="00B96E99" w:rsidRPr="00B96E99" w:rsidRDefault="00B96E99" w:rsidP="003F66D3">
      <w:pPr>
        <w:ind w:left="708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B96E99">
        <w:rPr>
          <w:rFonts w:ascii="Century Gothic" w:eastAsia="Times New Roman" w:hAnsi="Century Gothic" w:cs="Calibri"/>
          <w:i/>
          <w:iCs/>
          <w:color w:val="000000"/>
          <w:sz w:val="20"/>
          <w:szCs w:val="20"/>
          <w:lang w:eastAsia="es-MX"/>
        </w:rPr>
        <w:t>La Comisión deberá impulsar que las personas concesionarias respeten la igualdad sustantiva y no discriminación en la prestación de los servicios públicos.</w:t>
      </w:r>
    </w:p>
    <w:p w14:paraId="433F0BE1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64B782CA" w14:textId="6BFA142E" w:rsidR="00B96E99" w:rsidRPr="00B96E99" w:rsidRDefault="00B96E99" w:rsidP="00B96E99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En virtud de lo anterior, nuestros municipios, así como muchos otros enfrentan desde su particularidad los retos que a nivel global les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lastRenderedPageBreak/>
        <w:t xml:space="preserve">impactan, lo que  implica una vasta fuente de investigación, innovación, de revisión de teorías y actualización; considerando que los temas  inherentes a la movilidad y la seguridad vial tienen implicaciones en los aspectos </w:t>
      </w:r>
      <w:r w:rsidR="00BB08AD">
        <w:rPr>
          <w:rFonts w:ascii="Century Gothic" w:eastAsia="Times New Roman" w:hAnsi="Century Gothic" w:cs="Calibri"/>
          <w:color w:val="000000"/>
          <w:lang w:eastAsia="es-MX"/>
        </w:rPr>
        <w:t xml:space="preserve">de salud,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económicos, medioambientales, sociales, políticos, tecnológicos, de planeación urbana y gestión del territorio y los sistemas de transporte mismos, la presente propuesta versa en contribuir desde el ámbito local y legislativo a su atención.</w:t>
      </w:r>
    </w:p>
    <w:p w14:paraId="6F21673B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6F823931" w14:textId="77777777" w:rsidR="00B96E99" w:rsidRPr="00B96E99" w:rsidRDefault="00B96E99" w:rsidP="00B96E99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Por ende y partiendo de  que las comisiones edilicias son los  órganos auxiliares del ayuntamiento y coadyuvan con el cumplimiento de sus funciones públicas, además de ser órganos de análisis, consulta y dictamen especializados, es que estimamos conveniente que los municipios cuenten con una comisión cuyos trabajos se orienten de manera exclusiva a las cuestiones de movilidad a  fin de reflejar en la institucionalidad municipal, la importancia de este tema.</w:t>
      </w:r>
    </w:p>
    <w:p w14:paraId="71D90941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73E51162" w14:textId="2270AEAE" w:rsidR="00BB08AD" w:rsidRDefault="00B96E99" w:rsidP="00B96E99">
      <w:pPr>
        <w:spacing w:line="36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Por lo anteriormente expuesto, me permito someter a consideración del Pleno el presente proyecto con carácter de: </w:t>
      </w:r>
    </w:p>
    <w:p w14:paraId="4719B767" w14:textId="77777777" w:rsidR="003F66D3" w:rsidRPr="003F66D3" w:rsidRDefault="003F66D3" w:rsidP="00B96E99">
      <w:pPr>
        <w:spacing w:line="36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14:paraId="2EC7E43E" w14:textId="57EA0048" w:rsidR="00B96E99" w:rsidRPr="00B96E99" w:rsidRDefault="00B96E99" w:rsidP="003F66D3">
      <w:pPr>
        <w:spacing w:line="360" w:lineRule="auto"/>
        <w:jc w:val="center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lang w:eastAsia="es-MX"/>
        </w:rPr>
        <w:t>D E C R E T O.</w:t>
      </w:r>
    </w:p>
    <w:p w14:paraId="458BFD28" w14:textId="23A4B729" w:rsidR="00B96E99" w:rsidRPr="00B96E99" w:rsidRDefault="00B96E99" w:rsidP="00B96E99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lang w:eastAsia="es-MX"/>
        </w:rPr>
        <w:t xml:space="preserve">ARTÍCULO ÚNICO. 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Se reforma el artículo 31 del Código Municipal para el Estado de Chihuahua en </w:t>
      </w:r>
      <w:r w:rsidR="00BB08AD">
        <w:rPr>
          <w:rFonts w:ascii="Century Gothic" w:eastAsia="Times New Roman" w:hAnsi="Century Gothic" w:cs="Calibri"/>
          <w:color w:val="000000"/>
          <w:lang w:eastAsia="es-MX"/>
        </w:rPr>
        <w:t>su fracción VIII recorriendo la subsecuente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,  para quedar redactado de la siguiente manera:</w:t>
      </w:r>
    </w:p>
    <w:p w14:paraId="267BD12F" w14:textId="77777777" w:rsidR="00B96E99" w:rsidRPr="00B96E99" w:rsidRDefault="00B96E99" w:rsidP="00B96E99">
      <w:pPr>
        <w:spacing w:line="360" w:lineRule="auto"/>
        <w:rPr>
          <w:rFonts w:ascii="Century Gothic" w:eastAsia="Times New Roman" w:hAnsi="Century Gothic" w:cs="Times New Roman"/>
          <w:lang w:eastAsia="es-MX"/>
        </w:rPr>
      </w:pPr>
    </w:p>
    <w:p w14:paraId="7714AFE5" w14:textId="77777777" w:rsidR="00B96E99" w:rsidRPr="00B96E99" w:rsidRDefault="00B96E99" w:rsidP="003F66D3">
      <w:pPr>
        <w:spacing w:line="276" w:lineRule="auto"/>
        <w:ind w:left="708"/>
        <w:jc w:val="both"/>
        <w:rPr>
          <w:rFonts w:ascii="Century Gothic" w:eastAsia="Times New Roman" w:hAnsi="Century Gothic" w:cs="Times New Roman"/>
          <w:sz w:val="22"/>
          <w:szCs w:val="22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sz w:val="22"/>
          <w:szCs w:val="22"/>
          <w:lang w:eastAsia="es-MX"/>
        </w:rPr>
        <w:t>ARTÍCULO 31. El día de su instalación, el Ayuntamiento determinará el número de comisiones necesarias para el cumplimiento de sus funciones, así como las y los integrantes de las mismas. Cada Comisión se integrará, por lo menos, por dos integrantes, conforme al Reglamento Interior, reflejarán la composición plural del Ayuntamiento, y serán permanentes. El Ayuntamiento podrá crear comisiones especiales para conocer de un asunto determinado, mismas que serán transitorias.</w:t>
      </w:r>
    </w:p>
    <w:p w14:paraId="6FACCA64" w14:textId="77777777" w:rsidR="00B96E99" w:rsidRPr="00B96E99" w:rsidRDefault="00B96E99" w:rsidP="003F66D3">
      <w:pPr>
        <w:spacing w:line="276" w:lineRule="auto"/>
        <w:rPr>
          <w:rFonts w:ascii="Century Gothic" w:eastAsia="Times New Roman" w:hAnsi="Century Gothic" w:cs="Times New Roman"/>
          <w:sz w:val="22"/>
          <w:szCs w:val="22"/>
          <w:lang w:eastAsia="es-MX"/>
        </w:rPr>
      </w:pPr>
    </w:p>
    <w:p w14:paraId="52DD553D" w14:textId="77777777" w:rsidR="00B96E99" w:rsidRPr="00B96E99" w:rsidRDefault="00B96E99" w:rsidP="003F66D3">
      <w:pPr>
        <w:spacing w:line="276" w:lineRule="auto"/>
        <w:ind w:left="708"/>
        <w:jc w:val="both"/>
        <w:rPr>
          <w:rFonts w:ascii="Century Gothic" w:eastAsia="Times New Roman" w:hAnsi="Century Gothic" w:cs="Times New Roman"/>
          <w:sz w:val="22"/>
          <w:szCs w:val="22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sz w:val="22"/>
          <w:szCs w:val="22"/>
          <w:lang w:eastAsia="es-MX"/>
        </w:rPr>
        <w:t>Las personas titulares de las Regidurías podrán formar parte de una o varias comisiones conforme al reglamento que se expida.</w:t>
      </w:r>
    </w:p>
    <w:p w14:paraId="101BE931" w14:textId="77777777" w:rsidR="00B96E99" w:rsidRPr="00B96E99" w:rsidRDefault="00B96E99" w:rsidP="003F66D3">
      <w:pPr>
        <w:spacing w:line="276" w:lineRule="auto"/>
        <w:rPr>
          <w:rFonts w:ascii="Century Gothic" w:eastAsia="Times New Roman" w:hAnsi="Century Gothic" w:cs="Times New Roman"/>
          <w:sz w:val="22"/>
          <w:szCs w:val="22"/>
          <w:lang w:eastAsia="es-MX"/>
        </w:rPr>
      </w:pPr>
    </w:p>
    <w:p w14:paraId="19CDC316" w14:textId="77777777" w:rsidR="00B96E99" w:rsidRPr="00B96E99" w:rsidRDefault="00B96E99" w:rsidP="003F66D3">
      <w:pPr>
        <w:spacing w:line="276" w:lineRule="auto"/>
        <w:ind w:firstLine="708"/>
        <w:jc w:val="both"/>
        <w:rPr>
          <w:rFonts w:ascii="Century Gothic" w:eastAsia="Times New Roman" w:hAnsi="Century Gothic" w:cs="Times New Roman"/>
          <w:sz w:val="22"/>
          <w:szCs w:val="22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sz w:val="22"/>
          <w:szCs w:val="22"/>
          <w:lang w:eastAsia="es-MX"/>
        </w:rPr>
        <w:t>Las Comisiones serán:</w:t>
      </w:r>
    </w:p>
    <w:p w14:paraId="05C1E502" w14:textId="3F9790E0" w:rsidR="00B96E99" w:rsidRPr="00B96E99" w:rsidRDefault="00B96E99" w:rsidP="003F66D3">
      <w:pPr>
        <w:spacing w:line="276" w:lineRule="auto"/>
        <w:ind w:firstLine="708"/>
        <w:jc w:val="both"/>
        <w:rPr>
          <w:rFonts w:ascii="Century Gothic" w:eastAsia="Times New Roman" w:hAnsi="Century Gothic" w:cs="Times New Roman"/>
          <w:sz w:val="22"/>
          <w:szCs w:val="22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sz w:val="22"/>
          <w:szCs w:val="22"/>
          <w:lang w:eastAsia="es-MX"/>
        </w:rPr>
        <w:t xml:space="preserve">I a la </w:t>
      </w:r>
      <w:r w:rsidR="00BB08AD" w:rsidRPr="00B96E99">
        <w:rPr>
          <w:rFonts w:ascii="Century Gothic" w:eastAsia="Times New Roman" w:hAnsi="Century Gothic" w:cs="Calibri"/>
          <w:color w:val="000000"/>
          <w:sz w:val="22"/>
          <w:szCs w:val="22"/>
          <w:lang w:eastAsia="es-MX"/>
        </w:rPr>
        <w:t>VII…</w:t>
      </w:r>
    </w:p>
    <w:p w14:paraId="7A7B322C" w14:textId="77777777" w:rsidR="00B96E99" w:rsidRPr="00B96E99" w:rsidRDefault="00B96E99" w:rsidP="003F66D3">
      <w:pPr>
        <w:spacing w:line="276" w:lineRule="auto"/>
        <w:ind w:firstLine="708"/>
        <w:jc w:val="both"/>
        <w:rPr>
          <w:rFonts w:ascii="Century Gothic" w:eastAsia="Times New Roman" w:hAnsi="Century Gothic" w:cs="Times New Roman"/>
          <w:sz w:val="22"/>
          <w:szCs w:val="22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MX"/>
        </w:rPr>
        <w:t>VIII. De Movilidad Sustentable y Seguridad Vial.</w:t>
      </w:r>
    </w:p>
    <w:p w14:paraId="4740F35B" w14:textId="06DC8009" w:rsidR="00B96E99" w:rsidRDefault="00B96E99" w:rsidP="003F66D3">
      <w:pPr>
        <w:spacing w:line="276" w:lineRule="auto"/>
        <w:ind w:left="708"/>
        <w:jc w:val="both"/>
        <w:rPr>
          <w:rFonts w:ascii="Century Gothic" w:eastAsia="Times New Roman" w:hAnsi="Century Gothic" w:cs="Times New Roman"/>
          <w:sz w:val="22"/>
          <w:szCs w:val="22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MX"/>
        </w:rPr>
        <w:t>IX.</w:t>
      </w:r>
      <w:r w:rsidRPr="00B96E99">
        <w:rPr>
          <w:rFonts w:ascii="Century Gothic" w:eastAsia="Times New Roman" w:hAnsi="Century Gothic" w:cs="Calibri"/>
          <w:color w:val="000000"/>
          <w:sz w:val="22"/>
          <w:szCs w:val="22"/>
          <w:lang w:eastAsia="es-MX"/>
        </w:rPr>
        <w:t xml:space="preserve"> Además, aquellas otras que determine el Ayuntamiento, de acuerdo a las necesidades del municipio.</w:t>
      </w:r>
    </w:p>
    <w:p w14:paraId="54288194" w14:textId="77777777" w:rsidR="003F66D3" w:rsidRPr="003F66D3" w:rsidRDefault="003F66D3" w:rsidP="003F66D3">
      <w:pPr>
        <w:spacing w:line="276" w:lineRule="auto"/>
        <w:ind w:left="708"/>
        <w:jc w:val="both"/>
        <w:rPr>
          <w:rFonts w:ascii="Century Gothic" w:eastAsia="Times New Roman" w:hAnsi="Century Gothic" w:cs="Times New Roman"/>
          <w:sz w:val="22"/>
          <w:szCs w:val="22"/>
          <w:lang w:eastAsia="es-MX"/>
        </w:rPr>
      </w:pPr>
    </w:p>
    <w:p w14:paraId="14A4BFD7" w14:textId="321D44BE" w:rsidR="00B96E99" w:rsidRPr="00B96E99" w:rsidRDefault="00B96E99" w:rsidP="002F1649">
      <w:pPr>
        <w:spacing w:line="360" w:lineRule="auto"/>
        <w:jc w:val="center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lang w:eastAsia="es-MX"/>
        </w:rPr>
        <w:t>TRANSITORIOS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.</w:t>
      </w:r>
    </w:p>
    <w:p w14:paraId="0087AFB4" w14:textId="58D144AC" w:rsidR="00B96E99" w:rsidRPr="00B96E99" w:rsidRDefault="00B96E99" w:rsidP="00B96E99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lang w:eastAsia="es-MX"/>
        </w:rPr>
        <w:t>ÚNICO.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El presente decreto entrará en vigor al día siguiente de su publicación en el Periódico Oficial del Estado.</w:t>
      </w:r>
    </w:p>
    <w:p w14:paraId="05E901A9" w14:textId="7A529CB7" w:rsidR="00B96E99" w:rsidRDefault="00B96E99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lang w:eastAsia="es-MX"/>
        </w:rPr>
        <w:t>ECONÓMICO.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 xml:space="preserve"> Aprobado que sea túrnese a la Secretaría de Asuntos Legislativos y Jurídicos para que elabore la minuta de Decreto en los términos que deba publicarse.</w:t>
      </w:r>
    </w:p>
    <w:p w14:paraId="4E530E0B" w14:textId="77777777" w:rsidR="003F66D3" w:rsidRPr="00B96E99" w:rsidRDefault="003F66D3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</w:p>
    <w:p w14:paraId="0374CC00" w14:textId="7A440DD1" w:rsidR="00B96E99" w:rsidRPr="00B96E99" w:rsidRDefault="00B96E99" w:rsidP="003F66D3">
      <w:pPr>
        <w:spacing w:line="360" w:lineRule="auto"/>
        <w:jc w:val="both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color w:val="000000"/>
          <w:lang w:eastAsia="es-MX"/>
        </w:rPr>
        <w:t>Dado en el Salón de Sesiones del Poder</w:t>
      </w:r>
      <w:r w:rsidR="00DF1260">
        <w:rPr>
          <w:rFonts w:ascii="Century Gothic" w:eastAsia="Times New Roman" w:hAnsi="Century Gothic" w:cs="Calibri"/>
          <w:color w:val="000000"/>
          <w:lang w:eastAsia="es-MX"/>
        </w:rPr>
        <w:t xml:space="preserve"> Legislativo del Estado, a los 5</w:t>
      </w:r>
      <w:r w:rsidRPr="00B96E99">
        <w:rPr>
          <w:rFonts w:ascii="Century Gothic" w:eastAsia="Times New Roman" w:hAnsi="Century Gothic" w:cs="Calibri"/>
          <w:color w:val="000000"/>
          <w:lang w:eastAsia="es-MX"/>
        </w:rPr>
        <w:t>  días del mes de abril de 2022.</w:t>
      </w:r>
    </w:p>
    <w:p w14:paraId="49619148" w14:textId="6B0C4DA8" w:rsidR="003F66D3" w:rsidRDefault="00B96E99" w:rsidP="003A4F5D">
      <w:pPr>
        <w:spacing w:line="360" w:lineRule="auto"/>
        <w:jc w:val="center"/>
        <w:rPr>
          <w:rFonts w:ascii="Century Gothic" w:eastAsia="Times New Roman" w:hAnsi="Century Gothic" w:cs="Times New Roman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lang w:eastAsia="es-MX"/>
        </w:rPr>
        <w:t>Atentamente,</w:t>
      </w:r>
    </w:p>
    <w:p w14:paraId="7445E724" w14:textId="77777777" w:rsidR="003A4F5D" w:rsidRDefault="003A4F5D" w:rsidP="00B96E99">
      <w:pPr>
        <w:spacing w:after="240" w:line="360" w:lineRule="auto"/>
        <w:rPr>
          <w:rFonts w:ascii="Century Gothic" w:eastAsia="Times New Roman" w:hAnsi="Century Gothic" w:cs="Times New Roman"/>
          <w:lang w:eastAsia="es-MX"/>
        </w:rPr>
      </w:pPr>
    </w:p>
    <w:p w14:paraId="35B0CE4D" w14:textId="77777777" w:rsidR="003A4F5D" w:rsidRDefault="003A4F5D" w:rsidP="00B96E99">
      <w:pPr>
        <w:spacing w:after="240" w:line="360" w:lineRule="auto"/>
        <w:rPr>
          <w:rFonts w:ascii="Century Gothic" w:eastAsia="Times New Roman" w:hAnsi="Century Gothic" w:cs="Times New Roman"/>
          <w:lang w:eastAsia="es-MX"/>
        </w:rPr>
      </w:pPr>
    </w:p>
    <w:p w14:paraId="2C81C9D7" w14:textId="34ADC37D" w:rsidR="003F66D3" w:rsidRPr="003A4F5D" w:rsidRDefault="003F66D3" w:rsidP="003A4F5D">
      <w:pPr>
        <w:spacing w:after="240" w:line="360" w:lineRule="auto"/>
        <w:jc w:val="center"/>
        <w:rPr>
          <w:rFonts w:ascii="Century Gothic" w:eastAsia="Times New Roman" w:hAnsi="Century Gothic" w:cs="Calibri"/>
          <w:b/>
          <w:bCs/>
          <w:color w:val="000000"/>
          <w:lang w:eastAsia="es-MX"/>
        </w:rPr>
      </w:pPr>
      <w:r w:rsidRPr="00B96E99">
        <w:rPr>
          <w:rFonts w:ascii="Century Gothic" w:eastAsia="Times New Roman" w:hAnsi="Century Gothic" w:cs="Calibri"/>
          <w:b/>
          <w:bCs/>
          <w:color w:val="000000"/>
          <w:lang w:eastAsia="es-MX"/>
        </w:rPr>
        <w:t>DIP. BENJAMÍN CARRERA CHÁVEZ.</w:t>
      </w:r>
      <w:bookmarkStart w:id="0" w:name="_GoBack"/>
      <w:bookmarkEnd w:id="0"/>
    </w:p>
    <w:p w14:paraId="5AE741D4" w14:textId="77777777" w:rsidR="003A4F5D" w:rsidRPr="00B96E99" w:rsidRDefault="003A4F5D" w:rsidP="003F66D3">
      <w:pPr>
        <w:spacing w:after="240" w:line="360" w:lineRule="auto"/>
        <w:jc w:val="center"/>
        <w:rPr>
          <w:rFonts w:ascii="Century Gothic" w:eastAsia="Times New Roman" w:hAnsi="Century Gothic" w:cs="Times New Roman"/>
          <w:lang w:eastAsia="es-MX"/>
        </w:rPr>
      </w:pPr>
    </w:p>
    <w:p w14:paraId="59847E69" w14:textId="0B2F7BD2" w:rsidR="008A3281" w:rsidRDefault="002F1649" w:rsidP="003F66D3">
      <w:pPr>
        <w:spacing w:line="360" w:lineRule="auto"/>
        <w:ind w:left="4950" w:hanging="4950"/>
        <w:jc w:val="center"/>
        <w:rPr>
          <w:rFonts w:ascii="Century Gothic" w:eastAsia="Times New Roman" w:hAnsi="Century Gothic" w:cs="Calibri"/>
          <w:b/>
          <w:bCs/>
          <w:color w:val="000000"/>
          <w:lang w:eastAsia="es-MX"/>
        </w:rPr>
      </w:pPr>
      <w:r>
        <w:rPr>
          <w:rFonts w:ascii="Century Gothic" w:eastAsia="Times New Roman" w:hAnsi="Century Gothic" w:cs="Calibri"/>
          <w:b/>
          <w:bCs/>
          <w:color w:val="000000"/>
          <w:lang w:eastAsia="es-MX"/>
        </w:rPr>
        <w:t>DIP. AMELIA DEYANIRA OZAETA DÍAZ</w:t>
      </w:r>
    </w:p>
    <w:p w14:paraId="611E8842" w14:textId="77777777" w:rsidR="003F66D3" w:rsidRDefault="003F66D3" w:rsidP="003F66D3">
      <w:pPr>
        <w:spacing w:line="360" w:lineRule="auto"/>
        <w:rPr>
          <w:rFonts w:ascii="Century Gothic" w:eastAsia="Times New Roman" w:hAnsi="Century Gothic" w:cs="Calibri"/>
          <w:b/>
          <w:bCs/>
          <w:color w:val="000000"/>
          <w:lang w:eastAsia="es-MX"/>
        </w:rPr>
      </w:pPr>
    </w:p>
    <w:p w14:paraId="74D54465" w14:textId="77777777" w:rsidR="003A4F5D" w:rsidRDefault="003A4F5D" w:rsidP="003A4F5D">
      <w:pPr>
        <w:spacing w:line="360" w:lineRule="auto"/>
        <w:rPr>
          <w:rFonts w:ascii="Century Gothic" w:eastAsia="Times New Roman" w:hAnsi="Century Gothic" w:cs="Calibri"/>
          <w:b/>
          <w:bCs/>
          <w:color w:val="000000"/>
          <w:lang w:eastAsia="es-MX"/>
        </w:rPr>
      </w:pPr>
    </w:p>
    <w:p w14:paraId="1AD9DB2E" w14:textId="3F8AA0F1" w:rsidR="003F66D3" w:rsidRPr="00F30568" w:rsidRDefault="003F66D3" w:rsidP="002F1649">
      <w:pPr>
        <w:spacing w:line="360" w:lineRule="auto"/>
        <w:ind w:left="4950" w:hanging="4950"/>
        <w:jc w:val="center"/>
        <w:rPr>
          <w:rFonts w:ascii="Century Gothic" w:eastAsia="Times New Roman" w:hAnsi="Century Gothic" w:cs="Times New Roman"/>
          <w:lang w:eastAsia="es-MX"/>
        </w:rPr>
      </w:pPr>
      <w:r>
        <w:rPr>
          <w:rFonts w:ascii="Century Gothic" w:eastAsia="Times New Roman" w:hAnsi="Century Gothic" w:cs="Calibri"/>
          <w:b/>
          <w:bCs/>
          <w:color w:val="000000"/>
          <w:lang w:eastAsia="es-MX"/>
        </w:rPr>
        <w:t>DIP. ILSE AMÉRICA GARCÍA SOTO.</w:t>
      </w:r>
    </w:p>
    <w:p w14:paraId="291AE8BE" w14:textId="5A5C0BF7" w:rsidR="00492673" w:rsidRPr="00492673" w:rsidRDefault="00492673" w:rsidP="004926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</w:p>
    <w:p w14:paraId="5AC8ED9A" w14:textId="77777777" w:rsidR="00603B28" w:rsidRDefault="00603B28" w:rsidP="00011DA7">
      <w:pPr>
        <w:spacing w:line="360" w:lineRule="auto"/>
        <w:jc w:val="both"/>
        <w:rPr>
          <w:rFonts w:ascii="Century Gothic" w:hAnsi="Century Gothic"/>
        </w:rPr>
      </w:pPr>
    </w:p>
    <w:p w14:paraId="1C4C19E3" w14:textId="5E304B79" w:rsidR="003C0509" w:rsidRPr="00011DA7" w:rsidRDefault="003C0509" w:rsidP="00011DA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3C0509" w:rsidRPr="00011DA7" w:rsidSect="005F111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BB43" w14:textId="77777777" w:rsidR="00462A8E" w:rsidRDefault="00462A8E" w:rsidP="008655A2">
      <w:r>
        <w:separator/>
      </w:r>
    </w:p>
  </w:endnote>
  <w:endnote w:type="continuationSeparator" w:id="0">
    <w:p w14:paraId="5D14EA50" w14:textId="77777777" w:rsidR="00462A8E" w:rsidRDefault="00462A8E" w:rsidP="008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badi">
    <w:altName w:val="HP Simplifi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112376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B7A9A1" w14:textId="3BEF4287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7CB1A4" w14:textId="77777777" w:rsidR="0095674C" w:rsidRDefault="0095674C" w:rsidP="00956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646315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EB439" w14:textId="7DF94E90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A4F5D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1FEBB8D6" w14:textId="77777777" w:rsidR="0095674C" w:rsidRDefault="0095674C" w:rsidP="00956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AE2E2" w14:textId="77777777" w:rsidR="00462A8E" w:rsidRDefault="00462A8E" w:rsidP="008655A2">
      <w:r>
        <w:separator/>
      </w:r>
    </w:p>
  </w:footnote>
  <w:footnote w:type="continuationSeparator" w:id="0">
    <w:p w14:paraId="562907BB" w14:textId="77777777" w:rsidR="00462A8E" w:rsidRDefault="00462A8E" w:rsidP="0086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54EA" w14:textId="21D466F5" w:rsidR="008655A2" w:rsidRPr="008655A2" w:rsidRDefault="008655A2" w:rsidP="008655A2">
    <w:pPr>
      <w:jc w:val="right"/>
      <w:rPr>
        <w:rFonts w:ascii="Edwardian Script ITC" w:eastAsia="Brush Script MT" w:hAnsi="Edwardian Script ITC" w:cs="Brush Script MT"/>
        <w:b/>
        <w:bCs/>
        <w:i/>
        <w:sz w:val="22"/>
        <w:szCs w:val="22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"2022, Año del Centenario de la llegada de la Comunidad Menonita a Chihuahua”</w:t>
    </w:r>
  </w:p>
  <w:p w14:paraId="5FB2AF8F" w14:textId="3CA0DBFF" w:rsidR="008655A2" w:rsidRDefault="008655A2">
    <w:pPr>
      <w:pStyle w:val="Encabezado"/>
    </w:pPr>
  </w:p>
  <w:p w14:paraId="02248C4C" w14:textId="19220767" w:rsidR="008655A2" w:rsidRPr="008655A2" w:rsidRDefault="008655A2" w:rsidP="008655A2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2C6279" w14:textId="77777777" w:rsidR="008655A2" w:rsidRDefault="00865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0ECF" w14:textId="1FB18E94" w:rsidR="005C23F9" w:rsidRPr="00C01466" w:rsidRDefault="005C23F9" w:rsidP="005C23F9">
    <w:pPr>
      <w:jc w:val="right"/>
      <w:rPr>
        <w:rFonts w:ascii="Edwardian Script ITC" w:eastAsia="Brush Script MT" w:hAnsi="Edwardian Script ITC" w:cs="Brush Script MT"/>
        <w:b/>
        <w:bCs/>
        <w:i/>
        <w:sz w:val="28"/>
        <w:szCs w:val="28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 xml:space="preserve">2022, Año del Centenario de la llegada de la </w:t>
    </w:r>
    <w:r w:rsid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C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omunidad Menonita a Chihuahua”</w:t>
    </w:r>
  </w:p>
  <w:p w14:paraId="1CE7F963" w14:textId="77777777" w:rsidR="005C23F9" w:rsidRDefault="005C23F9" w:rsidP="005C23F9">
    <w:pPr>
      <w:pStyle w:val="Encabezado"/>
    </w:pPr>
  </w:p>
  <w:p w14:paraId="0A570ACF" w14:textId="77777777" w:rsidR="005C23F9" w:rsidRPr="008655A2" w:rsidRDefault="005C23F9" w:rsidP="005C23F9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465162" w14:textId="77777777" w:rsidR="005C23F9" w:rsidRDefault="005C23F9" w:rsidP="005C23F9">
    <w:pPr>
      <w:pStyle w:val="Encabezado"/>
    </w:pPr>
  </w:p>
  <w:p w14:paraId="7B72798E" w14:textId="77777777" w:rsidR="005C23F9" w:rsidRDefault="005C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2A8"/>
    <w:multiLevelType w:val="multilevel"/>
    <w:tmpl w:val="445AA2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349E"/>
    <w:multiLevelType w:val="multilevel"/>
    <w:tmpl w:val="9E78D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547C"/>
    <w:multiLevelType w:val="multilevel"/>
    <w:tmpl w:val="A2FE618C"/>
    <w:lvl w:ilvl="0">
      <w:start w:val="3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01AD4"/>
    <w:multiLevelType w:val="multilevel"/>
    <w:tmpl w:val="E0001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2531B"/>
    <w:multiLevelType w:val="multilevel"/>
    <w:tmpl w:val="F1F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7E8D"/>
    <w:multiLevelType w:val="multilevel"/>
    <w:tmpl w:val="5D1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C34CC"/>
    <w:multiLevelType w:val="multilevel"/>
    <w:tmpl w:val="4C16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F081F"/>
    <w:multiLevelType w:val="hybridMultilevel"/>
    <w:tmpl w:val="10FA9214"/>
    <w:lvl w:ilvl="0" w:tplc="5F4C3A3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B5"/>
    <w:rsid w:val="00006791"/>
    <w:rsid w:val="00011DA7"/>
    <w:rsid w:val="000316B1"/>
    <w:rsid w:val="000323ED"/>
    <w:rsid w:val="000507EA"/>
    <w:rsid w:val="00055B8D"/>
    <w:rsid w:val="000641DB"/>
    <w:rsid w:val="0007031A"/>
    <w:rsid w:val="00072470"/>
    <w:rsid w:val="00093F41"/>
    <w:rsid w:val="000B0BB1"/>
    <w:rsid w:val="000C17A6"/>
    <w:rsid w:val="000D783D"/>
    <w:rsid w:val="00100D3C"/>
    <w:rsid w:val="00135CE4"/>
    <w:rsid w:val="00145EB2"/>
    <w:rsid w:val="00155C60"/>
    <w:rsid w:val="00174F8D"/>
    <w:rsid w:val="00181B68"/>
    <w:rsid w:val="001A10EF"/>
    <w:rsid w:val="001A64FC"/>
    <w:rsid w:val="001B29CE"/>
    <w:rsid w:val="001B5EEB"/>
    <w:rsid w:val="001C1038"/>
    <w:rsid w:val="001C1678"/>
    <w:rsid w:val="001E55AC"/>
    <w:rsid w:val="001F1C0B"/>
    <w:rsid w:val="001F3DCE"/>
    <w:rsid w:val="00200E7B"/>
    <w:rsid w:val="00220A79"/>
    <w:rsid w:val="002440A2"/>
    <w:rsid w:val="00246E1D"/>
    <w:rsid w:val="002611A6"/>
    <w:rsid w:val="00291BBD"/>
    <w:rsid w:val="002A2D7D"/>
    <w:rsid w:val="002A2F7D"/>
    <w:rsid w:val="002A629E"/>
    <w:rsid w:val="002B0D67"/>
    <w:rsid w:val="002B5C3E"/>
    <w:rsid w:val="002C6144"/>
    <w:rsid w:val="002F0D04"/>
    <w:rsid w:val="002F1649"/>
    <w:rsid w:val="00314DA9"/>
    <w:rsid w:val="003172BF"/>
    <w:rsid w:val="00321124"/>
    <w:rsid w:val="00331FBE"/>
    <w:rsid w:val="00351523"/>
    <w:rsid w:val="00355351"/>
    <w:rsid w:val="00355EEE"/>
    <w:rsid w:val="003A4F5D"/>
    <w:rsid w:val="003A58F4"/>
    <w:rsid w:val="003C0509"/>
    <w:rsid w:val="003C541A"/>
    <w:rsid w:val="003D7A65"/>
    <w:rsid w:val="003E2B12"/>
    <w:rsid w:val="003E3F2B"/>
    <w:rsid w:val="003F2CD0"/>
    <w:rsid w:val="003F3039"/>
    <w:rsid w:val="003F66D3"/>
    <w:rsid w:val="003F6B52"/>
    <w:rsid w:val="00406AC0"/>
    <w:rsid w:val="00410AC8"/>
    <w:rsid w:val="0041424D"/>
    <w:rsid w:val="00415160"/>
    <w:rsid w:val="004234F0"/>
    <w:rsid w:val="00433C92"/>
    <w:rsid w:val="004521BD"/>
    <w:rsid w:val="00452267"/>
    <w:rsid w:val="00462A8E"/>
    <w:rsid w:val="00464FE4"/>
    <w:rsid w:val="00484BFA"/>
    <w:rsid w:val="00486338"/>
    <w:rsid w:val="00492673"/>
    <w:rsid w:val="004A7719"/>
    <w:rsid w:val="004C0227"/>
    <w:rsid w:val="004D713B"/>
    <w:rsid w:val="004E6466"/>
    <w:rsid w:val="0052362A"/>
    <w:rsid w:val="00524D8D"/>
    <w:rsid w:val="00525235"/>
    <w:rsid w:val="00531C67"/>
    <w:rsid w:val="0054303C"/>
    <w:rsid w:val="00553F0A"/>
    <w:rsid w:val="00554854"/>
    <w:rsid w:val="00560FB8"/>
    <w:rsid w:val="00562E17"/>
    <w:rsid w:val="005666EB"/>
    <w:rsid w:val="00592B1A"/>
    <w:rsid w:val="005C23F9"/>
    <w:rsid w:val="005C24D4"/>
    <w:rsid w:val="005E7320"/>
    <w:rsid w:val="005F1118"/>
    <w:rsid w:val="00603B28"/>
    <w:rsid w:val="00611E18"/>
    <w:rsid w:val="00636174"/>
    <w:rsid w:val="006422B0"/>
    <w:rsid w:val="00667CD4"/>
    <w:rsid w:val="00672986"/>
    <w:rsid w:val="00681CB8"/>
    <w:rsid w:val="00681DE4"/>
    <w:rsid w:val="00682F17"/>
    <w:rsid w:val="006A1C48"/>
    <w:rsid w:val="006C626E"/>
    <w:rsid w:val="006D0A8C"/>
    <w:rsid w:val="006E5A4E"/>
    <w:rsid w:val="006F262F"/>
    <w:rsid w:val="00706423"/>
    <w:rsid w:val="00716871"/>
    <w:rsid w:val="0073011D"/>
    <w:rsid w:val="00753D5E"/>
    <w:rsid w:val="0076688E"/>
    <w:rsid w:val="007934C9"/>
    <w:rsid w:val="00794CBA"/>
    <w:rsid w:val="007D61D3"/>
    <w:rsid w:val="00801B30"/>
    <w:rsid w:val="008138F2"/>
    <w:rsid w:val="00813EA4"/>
    <w:rsid w:val="00863255"/>
    <w:rsid w:val="008655A2"/>
    <w:rsid w:val="00874857"/>
    <w:rsid w:val="008A23EA"/>
    <w:rsid w:val="008A3281"/>
    <w:rsid w:val="008A33E3"/>
    <w:rsid w:val="008B1A03"/>
    <w:rsid w:val="008B5BC5"/>
    <w:rsid w:val="008C2F26"/>
    <w:rsid w:val="008E4D96"/>
    <w:rsid w:val="00914DB2"/>
    <w:rsid w:val="0091716E"/>
    <w:rsid w:val="009255CC"/>
    <w:rsid w:val="00933207"/>
    <w:rsid w:val="0095674C"/>
    <w:rsid w:val="0096281D"/>
    <w:rsid w:val="00966022"/>
    <w:rsid w:val="0097685E"/>
    <w:rsid w:val="0098795C"/>
    <w:rsid w:val="00990F90"/>
    <w:rsid w:val="00991A03"/>
    <w:rsid w:val="009A7277"/>
    <w:rsid w:val="009C79B5"/>
    <w:rsid w:val="009E3146"/>
    <w:rsid w:val="009F3CD2"/>
    <w:rsid w:val="00A04516"/>
    <w:rsid w:val="00A11FB6"/>
    <w:rsid w:val="00A21660"/>
    <w:rsid w:val="00A224A8"/>
    <w:rsid w:val="00A25B01"/>
    <w:rsid w:val="00A336DA"/>
    <w:rsid w:val="00A54346"/>
    <w:rsid w:val="00A92D7E"/>
    <w:rsid w:val="00AB338B"/>
    <w:rsid w:val="00AC106C"/>
    <w:rsid w:val="00B169B6"/>
    <w:rsid w:val="00B4393B"/>
    <w:rsid w:val="00B55506"/>
    <w:rsid w:val="00B63780"/>
    <w:rsid w:val="00B900B2"/>
    <w:rsid w:val="00B92032"/>
    <w:rsid w:val="00B961CA"/>
    <w:rsid w:val="00B96E99"/>
    <w:rsid w:val="00BA317D"/>
    <w:rsid w:val="00BB08AD"/>
    <w:rsid w:val="00BB5C03"/>
    <w:rsid w:val="00BD742D"/>
    <w:rsid w:val="00C01466"/>
    <w:rsid w:val="00C05CF5"/>
    <w:rsid w:val="00C05CF7"/>
    <w:rsid w:val="00C15E50"/>
    <w:rsid w:val="00C25C01"/>
    <w:rsid w:val="00C34775"/>
    <w:rsid w:val="00C40273"/>
    <w:rsid w:val="00C46E44"/>
    <w:rsid w:val="00C53604"/>
    <w:rsid w:val="00C54126"/>
    <w:rsid w:val="00C547E8"/>
    <w:rsid w:val="00C63299"/>
    <w:rsid w:val="00C6500F"/>
    <w:rsid w:val="00CA3602"/>
    <w:rsid w:val="00CB0909"/>
    <w:rsid w:val="00CC4886"/>
    <w:rsid w:val="00CE7B76"/>
    <w:rsid w:val="00CE7EBF"/>
    <w:rsid w:val="00CF48A3"/>
    <w:rsid w:val="00D032D2"/>
    <w:rsid w:val="00D14B5E"/>
    <w:rsid w:val="00D26B93"/>
    <w:rsid w:val="00D470E4"/>
    <w:rsid w:val="00D759D6"/>
    <w:rsid w:val="00D8763B"/>
    <w:rsid w:val="00D916D3"/>
    <w:rsid w:val="00DA354D"/>
    <w:rsid w:val="00DD4423"/>
    <w:rsid w:val="00DD6F54"/>
    <w:rsid w:val="00DE0C89"/>
    <w:rsid w:val="00DE0FF8"/>
    <w:rsid w:val="00DE18F7"/>
    <w:rsid w:val="00DE5534"/>
    <w:rsid w:val="00DF1260"/>
    <w:rsid w:val="00DF2607"/>
    <w:rsid w:val="00DF434B"/>
    <w:rsid w:val="00E06C8F"/>
    <w:rsid w:val="00E13237"/>
    <w:rsid w:val="00E164CF"/>
    <w:rsid w:val="00E3686F"/>
    <w:rsid w:val="00E51899"/>
    <w:rsid w:val="00E61687"/>
    <w:rsid w:val="00E6351E"/>
    <w:rsid w:val="00E9111D"/>
    <w:rsid w:val="00EC6244"/>
    <w:rsid w:val="00ED47E7"/>
    <w:rsid w:val="00F02214"/>
    <w:rsid w:val="00F103E0"/>
    <w:rsid w:val="00F111D6"/>
    <w:rsid w:val="00F25D97"/>
    <w:rsid w:val="00F30568"/>
    <w:rsid w:val="00F4210A"/>
    <w:rsid w:val="00F77A5E"/>
    <w:rsid w:val="00F83F22"/>
    <w:rsid w:val="00F9192F"/>
    <w:rsid w:val="00FA1E32"/>
    <w:rsid w:val="00FA3384"/>
    <w:rsid w:val="00FA4FCF"/>
    <w:rsid w:val="00FC4064"/>
    <w:rsid w:val="00FC423D"/>
    <w:rsid w:val="00FC56FE"/>
    <w:rsid w:val="00FC67E6"/>
    <w:rsid w:val="00FE3410"/>
    <w:rsid w:val="00FF145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0610"/>
  <w15:chartTrackingRefBased/>
  <w15:docId w15:val="{CEB5D746-B6DE-9847-BB38-EC14B90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022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2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2214"/>
    <w:rPr>
      <w:rFonts w:ascii="Times New Roman" w:eastAsia="Times New Roman" w:hAnsi="Times New Roman" w:cs="Times New Roman"/>
      <w:b/>
      <w:bCs/>
      <w:lang w:eastAsia="es-MX"/>
    </w:rPr>
  </w:style>
  <w:style w:type="character" w:styleId="Textoennegrita">
    <w:name w:val="Strong"/>
    <w:basedOn w:val="Fuentedeprrafopredeter"/>
    <w:uiPriority w:val="22"/>
    <w:qFormat/>
    <w:rsid w:val="00F0221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5A2"/>
  </w:style>
  <w:style w:type="paragraph" w:styleId="Piedepgina">
    <w:name w:val="footer"/>
    <w:basedOn w:val="Normal"/>
    <w:link w:val="Piedepgina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A2"/>
  </w:style>
  <w:style w:type="character" w:styleId="Nmerodepgina">
    <w:name w:val="page number"/>
    <w:basedOn w:val="Fuentedeprrafopredeter"/>
    <w:uiPriority w:val="99"/>
    <w:semiHidden/>
    <w:unhideWhenUsed/>
    <w:rsid w:val="0095674C"/>
  </w:style>
  <w:style w:type="paragraph" w:styleId="Prrafodelista">
    <w:name w:val="List Paragraph"/>
    <w:basedOn w:val="Normal"/>
    <w:uiPriority w:val="34"/>
    <w:qFormat/>
    <w:rsid w:val="008A32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16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3E63E5-8F30-499B-95EC-A4F3DC4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González</dc:creator>
  <cp:keywords/>
  <dc:description/>
  <cp:lastModifiedBy>Laura Lorena González García</cp:lastModifiedBy>
  <cp:revision>3</cp:revision>
  <cp:lastPrinted>2022-04-05T19:20:00Z</cp:lastPrinted>
  <dcterms:created xsi:type="dcterms:W3CDTF">2022-04-05T17:53:00Z</dcterms:created>
  <dcterms:modified xsi:type="dcterms:W3CDTF">2022-04-05T19:54:00Z</dcterms:modified>
</cp:coreProperties>
</file>