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42C81" w14:textId="77777777" w:rsidR="00ED47E7" w:rsidRPr="00011DA7" w:rsidRDefault="00ED47E7" w:rsidP="00011DA7">
      <w:pPr>
        <w:spacing w:line="360" w:lineRule="auto"/>
        <w:jc w:val="both"/>
        <w:rPr>
          <w:rFonts w:ascii="Century Gothic" w:hAnsi="Century Gothic"/>
          <w:lang w:val="es-ES"/>
        </w:rPr>
      </w:pPr>
    </w:p>
    <w:p w14:paraId="465EBC32" w14:textId="6F343A37" w:rsidR="00ED47E7" w:rsidRPr="008655A2" w:rsidRDefault="008655A2" w:rsidP="00011DA7">
      <w:pPr>
        <w:spacing w:line="360" w:lineRule="auto"/>
        <w:jc w:val="both"/>
        <w:rPr>
          <w:rFonts w:ascii="Century Gothic" w:hAnsi="Century Gothic"/>
          <w:b/>
          <w:bCs/>
        </w:rPr>
      </w:pPr>
      <w:r w:rsidRPr="008655A2">
        <w:rPr>
          <w:rFonts w:ascii="Century Gothic" w:hAnsi="Century Gothic"/>
          <w:b/>
          <w:bCs/>
        </w:rPr>
        <w:t>H. CONGRESO DEL ESTADO.</w:t>
      </w:r>
    </w:p>
    <w:p w14:paraId="7E8FF039" w14:textId="444D1E5C" w:rsidR="0076688E" w:rsidRPr="003F66D3" w:rsidRDefault="008655A2" w:rsidP="0076688E">
      <w:pPr>
        <w:spacing w:line="360" w:lineRule="auto"/>
        <w:jc w:val="both"/>
        <w:rPr>
          <w:rFonts w:ascii="Century Gothic" w:hAnsi="Century Gothic"/>
          <w:b/>
          <w:bCs/>
        </w:rPr>
      </w:pPr>
      <w:r w:rsidRPr="008655A2">
        <w:rPr>
          <w:rFonts w:ascii="Century Gothic" w:hAnsi="Century Gothic"/>
          <w:b/>
          <w:bCs/>
        </w:rPr>
        <w:t>P R E S E N T E.-</w:t>
      </w:r>
    </w:p>
    <w:p w14:paraId="12E172CA" w14:textId="520C1C91" w:rsidR="00562E17" w:rsidRDefault="002F1649" w:rsidP="0076688E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>
        <w:rPr>
          <w:rFonts w:ascii="Century Gothic" w:hAnsi="Century Gothic" w:cs="Arial"/>
          <w:lang w:val="es-ES_tradnl"/>
        </w:rPr>
        <w:t>Los suscritos</w:t>
      </w:r>
      <w:r w:rsidR="0076688E">
        <w:rPr>
          <w:rFonts w:ascii="Century Gothic" w:hAnsi="Century Gothic" w:cs="Arial"/>
          <w:lang w:val="es-ES_tradnl"/>
        </w:rPr>
        <w:t>,</w:t>
      </w:r>
      <w:r w:rsidR="0076688E" w:rsidRPr="00ED3A6D">
        <w:rPr>
          <w:rFonts w:ascii="Century Gothic" w:hAnsi="Century Gothic" w:cs="Arial"/>
          <w:lang w:val="es-ES_tradnl"/>
        </w:rPr>
        <w:t xml:space="preserve"> </w:t>
      </w:r>
      <w:r w:rsidRPr="002F1649">
        <w:rPr>
          <w:rFonts w:ascii="Century Gothic" w:hAnsi="Century Gothic" w:cs="Arial"/>
          <w:b/>
          <w:lang w:val="es-ES_tradnl"/>
        </w:rPr>
        <w:t xml:space="preserve">Amelia Deyanira </w:t>
      </w:r>
      <w:proofErr w:type="spellStart"/>
      <w:r w:rsidRPr="002F1649">
        <w:rPr>
          <w:rFonts w:ascii="Century Gothic" w:hAnsi="Century Gothic" w:cs="Arial"/>
          <w:b/>
          <w:lang w:val="es-ES_tradnl"/>
        </w:rPr>
        <w:t>Ozaeta</w:t>
      </w:r>
      <w:proofErr w:type="spellEnd"/>
      <w:r w:rsidRPr="002F1649">
        <w:rPr>
          <w:rFonts w:ascii="Century Gothic" w:hAnsi="Century Gothic" w:cs="Arial"/>
          <w:b/>
          <w:lang w:val="es-ES_tradnl"/>
        </w:rPr>
        <w:t xml:space="preserve"> Díaz</w:t>
      </w:r>
      <w:r w:rsidR="003F66D3">
        <w:rPr>
          <w:rFonts w:ascii="Century Gothic" w:hAnsi="Century Gothic" w:cs="Arial"/>
          <w:b/>
          <w:lang w:val="es-ES_tradnl"/>
        </w:rPr>
        <w:t>, Ilse América García Soto</w:t>
      </w:r>
      <w:r>
        <w:rPr>
          <w:rFonts w:ascii="Century Gothic" w:hAnsi="Century Gothic" w:cs="Arial"/>
          <w:lang w:val="es-ES_tradnl"/>
        </w:rPr>
        <w:t xml:space="preserve"> y </w:t>
      </w:r>
      <w:r w:rsidR="0076688E" w:rsidRPr="00ED7B16">
        <w:rPr>
          <w:rFonts w:ascii="Century Gothic" w:hAnsi="Century Gothic" w:cs="Arial"/>
          <w:b/>
          <w:lang w:val="es-ES_tradnl"/>
        </w:rPr>
        <w:t xml:space="preserve">Benjamín Carrera Chávez, </w:t>
      </w:r>
      <w:r w:rsidR="0076688E" w:rsidRPr="00ED3A6D">
        <w:rPr>
          <w:rFonts w:ascii="Century Gothic" w:hAnsi="Century Gothic" w:cs="Arial"/>
          <w:lang w:val="es-ES_tradnl"/>
        </w:rPr>
        <w:t xml:space="preserve">en </w:t>
      </w:r>
      <w:r>
        <w:rPr>
          <w:rFonts w:ascii="Century Gothic" w:hAnsi="Century Gothic" w:cs="Arial"/>
          <w:lang w:val="es-ES_tradnl"/>
        </w:rPr>
        <w:t>nuestro</w:t>
      </w:r>
      <w:r w:rsidR="0076688E">
        <w:rPr>
          <w:rFonts w:ascii="Century Gothic" w:hAnsi="Century Gothic" w:cs="Arial"/>
          <w:lang w:val="es-ES_tradnl"/>
        </w:rPr>
        <w:t xml:space="preserve"> </w:t>
      </w:r>
      <w:r w:rsidR="0076688E" w:rsidRPr="00243589">
        <w:rPr>
          <w:rFonts w:ascii="Century Gothic" w:hAnsi="Century Gothic" w:cs="Arial"/>
          <w:lang w:val="es-ES_tradnl"/>
        </w:rPr>
        <w:t>carácter de Diputado</w:t>
      </w:r>
      <w:r>
        <w:rPr>
          <w:rFonts w:ascii="Century Gothic" w:hAnsi="Century Gothic" w:cs="Arial"/>
          <w:lang w:val="es-ES_tradnl"/>
        </w:rPr>
        <w:t>s</w:t>
      </w:r>
      <w:r w:rsidR="0076688E" w:rsidRPr="00243589">
        <w:rPr>
          <w:rFonts w:ascii="Century Gothic" w:hAnsi="Century Gothic" w:cs="Arial"/>
          <w:lang w:val="es-ES_tradnl"/>
        </w:rPr>
        <w:t xml:space="preserve"> </w:t>
      </w:r>
      <w:r w:rsidR="0076688E">
        <w:rPr>
          <w:rFonts w:ascii="Century Gothic" w:hAnsi="Century Gothic" w:cs="Arial"/>
          <w:lang w:val="es-ES_tradnl"/>
        </w:rPr>
        <w:t xml:space="preserve">de </w:t>
      </w:r>
      <w:r w:rsidR="0076688E" w:rsidRPr="00243589">
        <w:rPr>
          <w:rFonts w:ascii="Century Gothic" w:hAnsi="Century Gothic" w:cs="Arial"/>
          <w:lang w:val="es-ES_tradnl"/>
        </w:rPr>
        <w:t xml:space="preserve">la Sexagésima </w:t>
      </w:r>
      <w:r w:rsidR="0076688E">
        <w:rPr>
          <w:rFonts w:ascii="Century Gothic" w:hAnsi="Century Gothic" w:cs="Arial"/>
          <w:lang w:val="es-ES_tradnl"/>
        </w:rPr>
        <w:t>Séptima</w:t>
      </w:r>
      <w:r w:rsidR="0076688E" w:rsidRPr="00243589">
        <w:rPr>
          <w:rFonts w:ascii="Century Gothic" w:hAnsi="Century Gothic" w:cs="Arial"/>
          <w:lang w:val="es-ES_tradnl"/>
        </w:rPr>
        <w:t xml:space="preserve"> Legislatura y como integrante</w:t>
      </w:r>
      <w:r>
        <w:rPr>
          <w:rFonts w:ascii="Century Gothic" w:hAnsi="Century Gothic" w:cs="Arial"/>
          <w:lang w:val="es-ES_tradnl"/>
        </w:rPr>
        <w:t xml:space="preserve">s de la </w:t>
      </w:r>
      <w:r w:rsidRPr="002F1649">
        <w:rPr>
          <w:rFonts w:ascii="Century Gothic" w:hAnsi="Century Gothic" w:cs="Arial"/>
          <w:b/>
          <w:lang w:val="es-ES_tradnl"/>
        </w:rPr>
        <w:t>Representación Parlamentaria del Partido del Trabajo</w:t>
      </w:r>
      <w:r w:rsidR="003F66D3">
        <w:rPr>
          <w:rFonts w:ascii="Century Gothic" w:hAnsi="Century Gothic" w:cs="Arial"/>
          <w:lang w:val="es-ES_tradnl"/>
        </w:rPr>
        <w:t xml:space="preserve"> y de los </w:t>
      </w:r>
      <w:r>
        <w:rPr>
          <w:rFonts w:ascii="Century Gothic" w:hAnsi="Century Gothic" w:cs="Arial"/>
          <w:lang w:val="es-ES_tradnl"/>
        </w:rPr>
        <w:t xml:space="preserve"> </w:t>
      </w:r>
      <w:r w:rsidR="0076688E" w:rsidRPr="00ED7B16">
        <w:rPr>
          <w:rFonts w:ascii="Century Gothic" w:hAnsi="Century Gothic" w:cs="Arial"/>
          <w:b/>
          <w:lang w:val="es-ES_tradnl"/>
        </w:rPr>
        <w:t>Grupo</w:t>
      </w:r>
      <w:r w:rsidR="003F66D3">
        <w:rPr>
          <w:rFonts w:ascii="Century Gothic" w:hAnsi="Century Gothic" w:cs="Arial"/>
          <w:b/>
          <w:lang w:val="es-ES_tradnl"/>
        </w:rPr>
        <w:t>s</w:t>
      </w:r>
      <w:r w:rsidR="0076688E" w:rsidRPr="00ED7B16">
        <w:rPr>
          <w:rFonts w:ascii="Century Gothic" w:hAnsi="Century Gothic" w:cs="Arial"/>
          <w:b/>
          <w:lang w:val="es-ES_tradnl"/>
        </w:rPr>
        <w:t xml:space="preserve"> Parlamentario</w:t>
      </w:r>
      <w:r w:rsidR="003F66D3">
        <w:rPr>
          <w:rFonts w:ascii="Century Gothic" w:hAnsi="Century Gothic" w:cs="Arial"/>
          <w:b/>
          <w:lang w:val="es-ES_tradnl"/>
        </w:rPr>
        <w:t>s</w:t>
      </w:r>
      <w:r w:rsidR="0076688E" w:rsidRPr="00ED7B16">
        <w:rPr>
          <w:rFonts w:ascii="Century Gothic" w:hAnsi="Century Gothic" w:cs="Arial"/>
          <w:b/>
          <w:lang w:val="es-ES_tradnl"/>
        </w:rPr>
        <w:t xml:space="preserve"> de </w:t>
      </w:r>
      <w:r w:rsidR="003F66D3" w:rsidRPr="003F66D3">
        <w:rPr>
          <w:rFonts w:ascii="Century Gothic" w:hAnsi="Century Gothic" w:cs="Arial"/>
          <w:b/>
          <w:lang w:val="es-ES_tradnl"/>
        </w:rPr>
        <w:t>Movimiento Ciudadano</w:t>
      </w:r>
      <w:r w:rsidR="003F66D3">
        <w:rPr>
          <w:rFonts w:ascii="Century Gothic" w:hAnsi="Century Gothic" w:cs="Arial"/>
          <w:lang w:val="es-ES_tradnl"/>
        </w:rPr>
        <w:t xml:space="preserve"> y </w:t>
      </w:r>
      <w:r w:rsidR="0076688E" w:rsidRPr="00ED7B16">
        <w:rPr>
          <w:rFonts w:ascii="Century Gothic" w:hAnsi="Century Gothic" w:cs="Arial"/>
          <w:b/>
          <w:lang w:val="es-ES_tradnl"/>
        </w:rPr>
        <w:t>MORENA</w:t>
      </w:r>
      <w:r w:rsidR="003F66D3">
        <w:rPr>
          <w:rFonts w:ascii="Century Gothic" w:hAnsi="Century Gothic" w:cs="Arial"/>
          <w:lang w:val="es-ES_tradnl"/>
        </w:rPr>
        <w:t xml:space="preserve"> respectivamente, </w:t>
      </w:r>
      <w:r w:rsidR="0076688E">
        <w:rPr>
          <w:rFonts w:ascii="Century Gothic" w:hAnsi="Century Gothic" w:cs="Arial"/>
          <w:lang w:val="es-ES_tradnl"/>
        </w:rPr>
        <w:t>acud</w:t>
      </w:r>
      <w:r>
        <w:rPr>
          <w:rFonts w:ascii="Century Gothic" w:hAnsi="Century Gothic" w:cs="Arial"/>
          <w:lang w:val="es-ES_tradnl"/>
        </w:rPr>
        <w:t>imos</w:t>
      </w:r>
      <w:r w:rsidR="0076688E" w:rsidRPr="00243589">
        <w:rPr>
          <w:rFonts w:ascii="Century Gothic" w:hAnsi="Century Gothic" w:cs="Arial"/>
          <w:lang w:val="es-ES_tradnl"/>
        </w:rPr>
        <w:t xml:space="preserve"> ante esta Honorable Representación Popular, en uso de las atribuciones conferidas por lo dispuesto </w:t>
      </w:r>
      <w:r w:rsidR="0076688E">
        <w:rPr>
          <w:rFonts w:ascii="Century Gothic" w:hAnsi="Century Gothic" w:cs="Arial"/>
          <w:lang w:val="es-ES_tradnl"/>
        </w:rPr>
        <w:t xml:space="preserve">en el artículo 64 </w:t>
      </w:r>
      <w:r w:rsidR="0076688E" w:rsidRPr="00243589">
        <w:rPr>
          <w:rFonts w:ascii="Century Gothic" w:hAnsi="Century Gothic" w:cs="Arial"/>
          <w:lang w:val="es-ES_tradnl"/>
        </w:rPr>
        <w:t>de la Constitución Política del Esta</w:t>
      </w:r>
      <w:r w:rsidR="0076688E">
        <w:rPr>
          <w:rFonts w:ascii="Century Gothic" w:hAnsi="Century Gothic" w:cs="Arial"/>
          <w:lang w:val="es-ES_tradnl"/>
        </w:rPr>
        <w:t>do de Chihuahua, así como el 168 y 169</w:t>
      </w:r>
      <w:r w:rsidR="0076688E" w:rsidRPr="00243589">
        <w:rPr>
          <w:rFonts w:ascii="Century Gothic" w:hAnsi="Century Gothic" w:cs="Arial"/>
          <w:lang w:val="es-ES_tradnl"/>
        </w:rPr>
        <w:t xml:space="preserve"> de la Ley Orgánica,</w:t>
      </w:r>
      <w:r w:rsidR="0076688E">
        <w:rPr>
          <w:rFonts w:ascii="Century Gothic" w:hAnsi="Century Gothic" w:cs="Arial"/>
          <w:lang w:val="es-ES_tradnl"/>
        </w:rPr>
        <w:t xml:space="preserve"> </w:t>
      </w:r>
      <w:r w:rsidR="0076688E">
        <w:rPr>
          <w:rFonts w:ascii="Century Gothic" w:hAnsi="Century Gothic" w:cs="Arial"/>
        </w:rPr>
        <w:t>y</w:t>
      </w:r>
      <w:r w:rsidR="0076688E" w:rsidRPr="00243589">
        <w:rPr>
          <w:rFonts w:ascii="Century Gothic" w:hAnsi="Century Gothic" w:cs="Arial"/>
        </w:rPr>
        <w:t xml:space="preserve"> los artículos 13 fracc</w:t>
      </w:r>
      <w:r w:rsidR="0076688E">
        <w:rPr>
          <w:rFonts w:ascii="Century Gothic" w:hAnsi="Century Gothic" w:cs="Arial"/>
        </w:rPr>
        <w:t xml:space="preserve">ión IV, 75, 76 y 77 fracción I </w:t>
      </w:r>
      <w:r w:rsidR="0076688E" w:rsidRPr="00243589">
        <w:rPr>
          <w:rFonts w:ascii="Century Gothic" w:hAnsi="Century Gothic" w:cs="Arial"/>
        </w:rPr>
        <w:t xml:space="preserve"> del  Reglamento Interior y de Prácticas Parlamentarias </w:t>
      </w:r>
      <w:r w:rsidR="0076688E">
        <w:rPr>
          <w:rFonts w:ascii="Century Gothic" w:hAnsi="Century Gothic" w:cs="Arial"/>
        </w:rPr>
        <w:t xml:space="preserve">ambos ordenamientos </w:t>
      </w:r>
      <w:r w:rsidR="0076688E" w:rsidRPr="00243589">
        <w:rPr>
          <w:rFonts w:ascii="Century Gothic" w:hAnsi="Century Gothic" w:cs="Arial"/>
          <w:lang w:val="es-ES_tradnl"/>
        </w:rPr>
        <w:t>del Poder Legislativo del Estado de Chihuahua</w:t>
      </w:r>
      <w:r w:rsidR="0076688E">
        <w:rPr>
          <w:rFonts w:ascii="Century Gothic" w:hAnsi="Century Gothic" w:cs="Arial"/>
        </w:rPr>
        <w:t>,</w:t>
      </w:r>
      <w:r w:rsidR="0076688E" w:rsidRPr="00243589">
        <w:rPr>
          <w:rFonts w:ascii="Century Gothic" w:hAnsi="Century Gothic" w:cs="Arial"/>
          <w:lang w:val="es-ES_tradnl"/>
        </w:rPr>
        <w:t xml:space="preserve"> a fin de someter a su consideración el siguiente </w:t>
      </w:r>
      <w:r w:rsidR="0076688E">
        <w:rPr>
          <w:rFonts w:ascii="Century Gothic" w:hAnsi="Century Gothic" w:cs="Arial"/>
          <w:lang w:val="es-ES_tradnl"/>
        </w:rPr>
        <w:t xml:space="preserve">proyecto con carácter de </w:t>
      </w:r>
      <w:r w:rsidR="00B4393B">
        <w:rPr>
          <w:rFonts w:ascii="Century Gothic" w:hAnsi="Century Gothic" w:cs="Arial"/>
          <w:b/>
          <w:lang w:val="es-ES_tradnl"/>
        </w:rPr>
        <w:t>DECRETO.</w:t>
      </w:r>
    </w:p>
    <w:p w14:paraId="7B98BB33" w14:textId="77777777" w:rsidR="0076688E" w:rsidRPr="00243589" w:rsidRDefault="0076688E" w:rsidP="0076688E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>
        <w:rPr>
          <w:rFonts w:ascii="Century Gothic" w:hAnsi="Century Gothic" w:cs="Arial"/>
          <w:lang w:val="es-ES_tradnl"/>
        </w:rPr>
        <w:t>Lo anterior de conformidad con la siguiente:</w:t>
      </w:r>
    </w:p>
    <w:p w14:paraId="59B1F75F" w14:textId="77777777" w:rsidR="0076688E" w:rsidRDefault="0076688E" w:rsidP="0076688E">
      <w:pPr>
        <w:spacing w:line="360" w:lineRule="auto"/>
        <w:jc w:val="center"/>
        <w:rPr>
          <w:rFonts w:ascii="Century Gothic" w:hAnsi="Century Gothic" w:cs="Arial"/>
          <w:b/>
          <w:lang w:val="es-ES_tradnl"/>
        </w:rPr>
      </w:pPr>
    </w:p>
    <w:p w14:paraId="2D527BE7" w14:textId="2445A153" w:rsidR="0076688E" w:rsidRDefault="0076688E" w:rsidP="0076688E">
      <w:pPr>
        <w:spacing w:line="360" w:lineRule="auto"/>
        <w:jc w:val="center"/>
        <w:rPr>
          <w:rFonts w:ascii="Century Gothic" w:hAnsi="Century Gothic" w:cs="Arial"/>
          <w:b/>
          <w:lang w:val="es-ES_tradnl"/>
        </w:rPr>
      </w:pPr>
      <w:r w:rsidRPr="00243589">
        <w:rPr>
          <w:rFonts w:ascii="Century Gothic" w:hAnsi="Century Gothic" w:cs="Arial"/>
          <w:b/>
          <w:lang w:val="es-ES_tradnl"/>
        </w:rPr>
        <w:t>EXPOSICION DE MOTIVOS</w:t>
      </w:r>
      <w:r>
        <w:rPr>
          <w:rFonts w:ascii="Century Gothic" w:hAnsi="Century Gothic" w:cs="Arial"/>
          <w:b/>
          <w:lang w:val="es-ES_tradnl"/>
        </w:rPr>
        <w:t>.</w:t>
      </w:r>
    </w:p>
    <w:p w14:paraId="5626AD19" w14:textId="77777777" w:rsidR="00452267" w:rsidRPr="00B96E99" w:rsidRDefault="00452267" w:rsidP="00B96E99">
      <w:pPr>
        <w:spacing w:line="360" w:lineRule="auto"/>
        <w:jc w:val="center"/>
        <w:rPr>
          <w:rFonts w:ascii="Century Gothic" w:hAnsi="Century Gothic" w:cs="Arial"/>
          <w:b/>
          <w:lang w:val="es-ES_tradnl"/>
        </w:rPr>
      </w:pPr>
    </w:p>
    <w:p w14:paraId="5D9526EB" w14:textId="5D927CF9" w:rsidR="00B96E99" w:rsidRDefault="00B96E99" w:rsidP="003F66D3">
      <w:pPr>
        <w:spacing w:line="360" w:lineRule="auto"/>
        <w:jc w:val="both"/>
        <w:rPr>
          <w:rFonts w:ascii="Century Gothic" w:eastAsia="Times New Roman" w:hAnsi="Century Gothic" w:cs="Times New Roman"/>
          <w:lang w:eastAsia="es-MX"/>
        </w:rPr>
      </w:pPr>
      <w:r w:rsidRPr="00B96E99">
        <w:rPr>
          <w:rFonts w:ascii="Century Gothic" w:eastAsia="Times New Roman" w:hAnsi="Century Gothic" w:cs="Calibri"/>
          <w:color w:val="000000"/>
          <w:lang w:eastAsia="es-MX"/>
        </w:rPr>
        <w:t>El crecimiento de las ciudades así como la legislación encaminada a regular las cuestiones viales abordadas desde las necesidades del transporte movilizado, ha significado conflictos de movilidad tanto para las y los usuarios de este tipo de transporte, como para peatones y  quienes utilizan transporte no motorizado.</w:t>
      </w:r>
      <w:r>
        <w:rPr>
          <w:rFonts w:ascii="Century Gothic" w:eastAsia="Times New Roman" w:hAnsi="Century Gothic" w:cs="Times New Roman"/>
          <w:lang w:eastAsia="es-MX"/>
        </w:rPr>
        <w:t xml:space="preserve"> </w:t>
      </w:r>
      <w:r w:rsidRPr="00B96E99">
        <w:rPr>
          <w:rFonts w:ascii="Century Gothic" w:eastAsia="Times New Roman" w:hAnsi="Century Gothic" w:cs="Calibri"/>
          <w:color w:val="000000"/>
          <w:lang w:eastAsia="es-MX"/>
        </w:rPr>
        <w:t>Por ende, el concepto de movilidad se ha  ampliado</w:t>
      </w:r>
      <w:r>
        <w:rPr>
          <w:rFonts w:ascii="Century Gothic" w:eastAsia="Times New Roman" w:hAnsi="Century Gothic" w:cs="Calibri"/>
          <w:color w:val="000000"/>
          <w:lang w:eastAsia="es-MX"/>
        </w:rPr>
        <w:t xml:space="preserve"> en</w:t>
      </w:r>
      <w:r w:rsidRPr="00B96E99">
        <w:rPr>
          <w:rFonts w:ascii="Century Gothic" w:eastAsia="Times New Roman" w:hAnsi="Century Gothic" w:cs="Calibri"/>
          <w:color w:val="000000"/>
          <w:lang w:eastAsia="es-MX"/>
        </w:rPr>
        <w:t xml:space="preserve"> sus términos y engloba no sólo aquello que es inherente al transporte desde una perspectiva tradicional entendida como el desplazamiento de personas o bienes entre un origen y un destino consumiendo recursos cuantificabl</w:t>
      </w:r>
      <w:r>
        <w:rPr>
          <w:rFonts w:ascii="Century Gothic" w:eastAsia="Times New Roman" w:hAnsi="Century Gothic" w:cs="Calibri"/>
          <w:color w:val="000000"/>
          <w:lang w:eastAsia="es-MX"/>
        </w:rPr>
        <w:t>es, sino que además incluye todas aquella</w:t>
      </w:r>
      <w:r w:rsidRPr="00B96E99">
        <w:rPr>
          <w:rFonts w:ascii="Century Gothic" w:eastAsia="Times New Roman" w:hAnsi="Century Gothic" w:cs="Calibri"/>
          <w:color w:val="000000"/>
          <w:lang w:eastAsia="es-MX"/>
        </w:rPr>
        <w:t xml:space="preserve">s condicionantes, necesidades, motivaciones y </w:t>
      </w:r>
      <w:r w:rsidRPr="00B96E99">
        <w:rPr>
          <w:rFonts w:ascii="Century Gothic" w:eastAsia="Times New Roman" w:hAnsi="Century Gothic" w:cs="Calibri"/>
          <w:color w:val="000000"/>
          <w:lang w:eastAsia="es-MX"/>
        </w:rPr>
        <w:lastRenderedPageBreak/>
        <w:t>percepciones de los individuos, situando al ciudadano y al usuario en el centro de todo el sistema.</w:t>
      </w:r>
    </w:p>
    <w:p w14:paraId="57D13638" w14:textId="77777777" w:rsidR="003F66D3" w:rsidRPr="00B96E99" w:rsidRDefault="003F66D3" w:rsidP="003F66D3">
      <w:pPr>
        <w:spacing w:line="360" w:lineRule="auto"/>
        <w:jc w:val="both"/>
        <w:rPr>
          <w:rFonts w:ascii="Century Gothic" w:eastAsia="Times New Roman" w:hAnsi="Century Gothic" w:cs="Times New Roman"/>
          <w:lang w:eastAsia="es-MX"/>
        </w:rPr>
      </w:pPr>
    </w:p>
    <w:p w14:paraId="4FFEE9C7" w14:textId="77777777" w:rsidR="00B96E99" w:rsidRDefault="00B96E99" w:rsidP="00B96E99">
      <w:pPr>
        <w:spacing w:line="360" w:lineRule="auto"/>
        <w:jc w:val="both"/>
        <w:rPr>
          <w:rFonts w:ascii="Century Gothic" w:eastAsia="Times New Roman" w:hAnsi="Century Gothic" w:cs="Calibri"/>
          <w:color w:val="000000"/>
          <w:lang w:eastAsia="es-MX"/>
        </w:rPr>
      </w:pPr>
      <w:r w:rsidRPr="00B96E99">
        <w:rPr>
          <w:rFonts w:ascii="Century Gothic" w:eastAsia="Times New Roman" w:hAnsi="Century Gothic" w:cs="Calibri"/>
          <w:color w:val="000000"/>
          <w:lang w:eastAsia="es-MX"/>
        </w:rPr>
        <w:t xml:space="preserve">Como ya se ha planteado en esta misma tribuna, existe coincidencia en cuanto a la necesidad de regular estas cuestiones en concordancia </w:t>
      </w:r>
      <w:r>
        <w:rPr>
          <w:rFonts w:ascii="Century Gothic" w:eastAsia="Times New Roman" w:hAnsi="Century Gothic" w:cs="Calibri"/>
          <w:color w:val="000000"/>
          <w:lang w:eastAsia="es-MX"/>
        </w:rPr>
        <w:t xml:space="preserve">no solo </w:t>
      </w:r>
      <w:r w:rsidRPr="00B96E99">
        <w:rPr>
          <w:rFonts w:ascii="Century Gothic" w:eastAsia="Times New Roman" w:hAnsi="Century Gothic" w:cs="Calibri"/>
          <w:color w:val="000000"/>
          <w:lang w:eastAsia="es-MX"/>
        </w:rPr>
        <w:t>con los cambios circunstanciales, sino</w:t>
      </w:r>
      <w:r>
        <w:rPr>
          <w:rFonts w:ascii="Century Gothic" w:eastAsia="Times New Roman" w:hAnsi="Century Gothic" w:cs="Calibri"/>
          <w:color w:val="000000"/>
          <w:lang w:eastAsia="es-MX"/>
        </w:rPr>
        <w:t xml:space="preserve"> con</w:t>
      </w:r>
      <w:r w:rsidRPr="00B96E99">
        <w:rPr>
          <w:rFonts w:ascii="Century Gothic" w:eastAsia="Times New Roman" w:hAnsi="Century Gothic" w:cs="Calibri"/>
          <w:color w:val="000000"/>
          <w:lang w:eastAsia="es-MX"/>
        </w:rPr>
        <w:t xml:space="preserve"> el propio avance legislativo. </w:t>
      </w:r>
    </w:p>
    <w:p w14:paraId="266700FC" w14:textId="77777777" w:rsidR="00B96E99" w:rsidRDefault="00B96E99" w:rsidP="00B96E99">
      <w:pPr>
        <w:spacing w:line="360" w:lineRule="auto"/>
        <w:jc w:val="both"/>
        <w:rPr>
          <w:rFonts w:ascii="Century Gothic" w:eastAsia="Times New Roman" w:hAnsi="Century Gothic" w:cs="Calibri"/>
          <w:color w:val="000000"/>
          <w:lang w:eastAsia="es-MX"/>
        </w:rPr>
      </w:pPr>
    </w:p>
    <w:p w14:paraId="13B1F8D2" w14:textId="45FEF91D" w:rsidR="00B96E99" w:rsidRPr="00B96E99" w:rsidRDefault="00B96E99" w:rsidP="003F66D3">
      <w:pPr>
        <w:spacing w:line="360" w:lineRule="auto"/>
        <w:jc w:val="both"/>
        <w:rPr>
          <w:rFonts w:ascii="Century Gothic" w:eastAsia="Times New Roman" w:hAnsi="Century Gothic" w:cs="Times New Roman"/>
          <w:lang w:eastAsia="es-MX"/>
        </w:rPr>
      </w:pPr>
      <w:r w:rsidRPr="00B96E99">
        <w:rPr>
          <w:rFonts w:ascii="Century Gothic" w:eastAsia="Times New Roman" w:hAnsi="Century Gothic" w:cs="Calibri"/>
          <w:color w:val="000000"/>
          <w:lang w:eastAsia="es-MX"/>
        </w:rPr>
        <w:t>A manera de ejemplo, el derecho a la ciudad, que pretendemos elevar a rango constitucional a través de la propuesta que acompaña la Ley de Movilidad y Seguridad Vial presentada en días pasados por el de la voz, es un derecho que la propia Ley de Asentamientos Humanos, Ordenamiento Territorial y Desarrollo Urbano reconoce e</w:t>
      </w:r>
      <w:r>
        <w:rPr>
          <w:rFonts w:ascii="Century Gothic" w:eastAsia="Times New Roman" w:hAnsi="Century Gothic" w:cs="Calibri"/>
          <w:color w:val="000000"/>
          <w:lang w:eastAsia="es-MX"/>
        </w:rPr>
        <w:t xml:space="preserve">n los siguientes términos de acuerdo con su </w:t>
      </w:r>
      <w:r w:rsidRPr="00B96E99">
        <w:rPr>
          <w:rFonts w:ascii="Century Gothic" w:eastAsia="Times New Roman" w:hAnsi="Century Gothic" w:cs="Calibri"/>
          <w:color w:val="000000"/>
          <w:lang w:eastAsia="es-MX"/>
        </w:rPr>
        <w:t>artículo cuarto:</w:t>
      </w:r>
    </w:p>
    <w:p w14:paraId="2DA34CC2" w14:textId="77777777" w:rsidR="00B96E99" w:rsidRPr="00B96E99" w:rsidRDefault="00B96E99" w:rsidP="003F66D3">
      <w:pPr>
        <w:ind w:left="708"/>
        <w:jc w:val="both"/>
        <w:rPr>
          <w:rFonts w:ascii="Century Gothic" w:eastAsia="Times New Roman" w:hAnsi="Century Gothic" w:cs="Times New Roman"/>
          <w:sz w:val="20"/>
          <w:szCs w:val="20"/>
          <w:lang w:eastAsia="es-MX"/>
        </w:rPr>
      </w:pPr>
      <w:r w:rsidRPr="00B96E99">
        <w:rPr>
          <w:rFonts w:ascii="Century Gothic" w:eastAsia="Times New Roman" w:hAnsi="Century Gothic" w:cs="Calibri"/>
          <w:i/>
          <w:iCs/>
          <w:color w:val="000000"/>
          <w:sz w:val="20"/>
          <w:szCs w:val="20"/>
          <w:lang w:eastAsia="es-MX"/>
        </w:rPr>
        <w:t>Artículo 4. La planeación, regulación, gestión y evaluación de los asentamientos humanos, el ordenamiento territorial y el desarrollo urbano en la Entidad, se orientará a generar un nuevo modelo de gobernanza territorial, con apego a los siguientes principios de política pública:</w:t>
      </w:r>
    </w:p>
    <w:p w14:paraId="6CC4785A" w14:textId="77777777" w:rsidR="00B96E99" w:rsidRPr="00B96E99" w:rsidRDefault="00B96E99" w:rsidP="003F66D3">
      <w:pPr>
        <w:rPr>
          <w:rFonts w:ascii="Century Gothic" w:eastAsia="Times New Roman" w:hAnsi="Century Gothic" w:cs="Times New Roman"/>
          <w:lang w:eastAsia="es-MX"/>
        </w:rPr>
      </w:pPr>
    </w:p>
    <w:p w14:paraId="484A18A5" w14:textId="77777777" w:rsidR="00B96E99" w:rsidRPr="00B96E99" w:rsidRDefault="00B96E99" w:rsidP="003F66D3">
      <w:pPr>
        <w:ind w:left="708"/>
        <w:jc w:val="both"/>
        <w:rPr>
          <w:rFonts w:ascii="Century Gothic" w:eastAsia="Times New Roman" w:hAnsi="Century Gothic" w:cs="Times New Roman"/>
          <w:sz w:val="20"/>
          <w:szCs w:val="20"/>
          <w:lang w:eastAsia="es-MX"/>
        </w:rPr>
      </w:pPr>
      <w:r w:rsidRPr="00B96E99">
        <w:rPr>
          <w:rFonts w:ascii="Century Gothic" w:eastAsia="Times New Roman" w:hAnsi="Century Gothic" w:cs="Calibri"/>
          <w:i/>
          <w:iCs/>
          <w:color w:val="000000"/>
          <w:sz w:val="20"/>
          <w:szCs w:val="20"/>
          <w:lang w:eastAsia="es-MX"/>
        </w:rPr>
        <w:t xml:space="preserve">I. </w:t>
      </w:r>
      <w:r w:rsidRPr="00B96E99">
        <w:rPr>
          <w:rFonts w:ascii="Century Gothic" w:eastAsia="Times New Roman" w:hAnsi="Century Gothic" w:cs="Calibri"/>
          <w:b/>
          <w:bCs/>
          <w:i/>
          <w:iCs/>
          <w:color w:val="000000"/>
          <w:sz w:val="20"/>
          <w:szCs w:val="20"/>
          <w:lang w:eastAsia="es-MX"/>
        </w:rPr>
        <w:t>Derecho a la ciudad</w:t>
      </w:r>
      <w:r w:rsidRPr="00B96E99">
        <w:rPr>
          <w:rFonts w:ascii="Century Gothic" w:eastAsia="Times New Roman" w:hAnsi="Century Gothic" w:cs="Calibri"/>
          <w:i/>
          <w:iCs/>
          <w:color w:val="000000"/>
          <w:sz w:val="20"/>
          <w:szCs w:val="20"/>
          <w:lang w:eastAsia="es-MX"/>
        </w:rPr>
        <w:t>.- Garantizar a todas las personas habitantes de un asentamiento humano o centros de población, el acceso a la vivienda, infraestructura, equipamiento y servicios básicos (…).</w:t>
      </w:r>
    </w:p>
    <w:p w14:paraId="5DA046D5" w14:textId="77777777" w:rsidR="00B96E99" w:rsidRPr="00B96E99" w:rsidRDefault="00B96E99" w:rsidP="00B96E99">
      <w:pPr>
        <w:spacing w:line="360" w:lineRule="auto"/>
        <w:rPr>
          <w:rFonts w:ascii="Century Gothic" w:eastAsia="Times New Roman" w:hAnsi="Century Gothic" w:cs="Times New Roman"/>
          <w:lang w:eastAsia="es-MX"/>
        </w:rPr>
      </w:pPr>
    </w:p>
    <w:p w14:paraId="68CA51DD" w14:textId="5CC01BD3" w:rsidR="00B96E99" w:rsidRPr="00B96E99" w:rsidRDefault="00B96E99" w:rsidP="00B96E99">
      <w:pPr>
        <w:spacing w:line="360" w:lineRule="auto"/>
        <w:jc w:val="both"/>
        <w:rPr>
          <w:rFonts w:ascii="Century Gothic" w:eastAsia="Times New Roman" w:hAnsi="Century Gothic" w:cs="Times New Roman"/>
          <w:lang w:eastAsia="es-MX"/>
        </w:rPr>
      </w:pPr>
      <w:r w:rsidRPr="00B96E99">
        <w:rPr>
          <w:rFonts w:ascii="Century Gothic" w:eastAsia="Times New Roman" w:hAnsi="Century Gothic" w:cs="Calibri"/>
          <w:color w:val="000000"/>
          <w:lang w:eastAsia="es-MX"/>
        </w:rPr>
        <w:t>Por otra parte, la reciente aprobación en</w:t>
      </w:r>
      <w:r>
        <w:rPr>
          <w:rFonts w:ascii="Century Gothic" w:eastAsia="Times New Roman" w:hAnsi="Century Gothic" w:cs="Calibri"/>
          <w:color w:val="000000"/>
          <w:lang w:eastAsia="es-MX"/>
        </w:rPr>
        <w:t xml:space="preserve"> lo general en </w:t>
      </w:r>
      <w:r w:rsidRPr="00B96E99">
        <w:rPr>
          <w:rFonts w:ascii="Century Gothic" w:eastAsia="Times New Roman" w:hAnsi="Century Gothic" w:cs="Calibri"/>
          <w:color w:val="000000"/>
          <w:lang w:eastAsia="es-MX"/>
        </w:rPr>
        <w:t xml:space="preserve"> la Cámara de Diputados de la Ley General de Movilidad y Seguridad Vial, implica estar preparados ante lo que significa esta legislación que distribuirá competencias y funciones entre los tres órdenes de gobierno, bajo el objetiv</w:t>
      </w:r>
      <w:r>
        <w:rPr>
          <w:rFonts w:ascii="Century Gothic" w:eastAsia="Times New Roman" w:hAnsi="Century Gothic" w:cs="Calibri"/>
          <w:color w:val="000000"/>
          <w:lang w:eastAsia="es-MX"/>
        </w:rPr>
        <w:t>o de salvaguardar la vida de las y los</w:t>
      </w:r>
      <w:r w:rsidRPr="00B96E99">
        <w:rPr>
          <w:rFonts w:ascii="Century Gothic" w:eastAsia="Times New Roman" w:hAnsi="Century Gothic" w:cs="Calibri"/>
          <w:color w:val="000000"/>
          <w:lang w:eastAsia="es-MX"/>
        </w:rPr>
        <w:t xml:space="preserve"> mexicanos en toda</w:t>
      </w:r>
      <w:r>
        <w:rPr>
          <w:rFonts w:ascii="Century Gothic" w:eastAsia="Times New Roman" w:hAnsi="Century Gothic" w:cs="Calibri"/>
          <w:color w:val="000000"/>
          <w:lang w:eastAsia="es-MX"/>
        </w:rPr>
        <w:t xml:space="preserve">s las modalidades de tránsito, así como </w:t>
      </w:r>
      <w:r w:rsidRPr="00B96E99">
        <w:rPr>
          <w:rFonts w:ascii="Century Gothic" w:eastAsia="Times New Roman" w:hAnsi="Century Gothic" w:cs="Calibri"/>
          <w:color w:val="000000"/>
          <w:lang w:eastAsia="es-MX"/>
        </w:rPr>
        <w:t>garantizar el derecho a la movilidad segura reconocido tanto en la Constitución Política de los Estados Unidos Mexicanos como en la Constitución local.</w:t>
      </w:r>
    </w:p>
    <w:p w14:paraId="34B3681F" w14:textId="77777777" w:rsidR="00B96E99" w:rsidRPr="00B96E99" w:rsidRDefault="00B96E99" w:rsidP="00B96E99">
      <w:pPr>
        <w:spacing w:line="360" w:lineRule="auto"/>
        <w:rPr>
          <w:rFonts w:ascii="Century Gothic" w:eastAsia="Times New Roman" w:hAnsi="Century Gothic" w:cs="Times New Roman"/>
          <w:lang w:eastAsia="es-MX"/>
        </w:rPr>
      </w:pPr>
    </w:p>
    <w:p w14:paraId="61AE491F" w14:textId="609EF5A6" w:rsidR="00B96E99" w:rsidRPr="00B96E99" w:rsidRDefault="00B96E99" w:rsidP="00B96E99">
      <w:pPr>
        <w:spacing w:line="360" w:lineRule="auto"/>
        <w:jc w:val="both"/>
        <w:rPr>
          <w:rFonts w:ascii="Century Gothic" w:eastAsia="Times New Roman" w:hAnsi="Century Gothic" w:cs="Times New Roman"/>
          <w:lang w:eastAsia="es-MX"/>
        </w:rPr>
      </w:pPr>
      <w:r w:rsidRPr="00B96E99">
        <w:rPr>
          <w:rFonts w:ascii="Century Gothic" w:eastAsia="Times New Roman" w:hAnsi="Century Gothic" w:cs="Calibri"/>
          <w:color w:val="000000"/>
          <w:lang w:eastAsia="es-MX"/>
        </w:rPr>
        <w:lastRenderedPageBreak/>
        <w:t xml:space="preserve">En virtud de lo anterior y bajo las circunstancias actuales, el transporte y </w:t>
      </w:r>
      <w:r>
        <w:rPr>
          <w:rFonts w:ascii="Century Gothic" w:eastAsia="Times New Roman" w:hAnsi="Century Gothic" w:cs="Calibri"/>
          <w:color w:val="000000"/>
          <w:lang w:eastAsia="es-MX"/>
        </w:rPr>
        <w:t xml:space="preserve">los desplazamientos </w:t>
      </w:r>
      <w:r w:rsidRPr="00B96E99">
        <w:rPr>
          <w:rFonts w:ascii="Century Gothic" w:eastAsia="Times New Roman" w:hAnsi="Century Gothic" w:cs="Calibri"/>
          <w:color w:val="000000"/>
          <w:lang w:eastAsia="es-MX"/>
        </w:rPr>
        <w:t>en sus diferentes modalidades atraviesan una etapa en la que profundos cambios son necesarios y dicha necesidad se acentuará aún más tomando en cuenta no solo la nueva legislación sino la tecnologías emergentes, los retos medioambientales, y la cada vez mayor concentración de la población en grandes núcleos urbanos.</w:t>
      </w:r>
    </w:p>
    <w:p w14:paraId="76381E9F" w14:textId="77777777" w:rsidR="00B96E99" w:rsidRPr="00B96E99" w:rsidRDefault="00B96E99" w:rsidP="00B96E99">
      <w:pPr>
        <w:spacing w:line="360" w:lineRule="auto"/>
        <w:rPr>
          <w:rFonts w:ascii="Century Gothic" w:eastAsia="Times New Roman" w:hAnsi="Century Gothic" w:cs="Times New Roman"/>
          <w:lang w:eastAsia="es-MX"/>
        </w:rPr>
      </w:pPr>
    </w:p>
    <w:p w14:paraId="61FBBD56" w14:textId="7884724A" w:rsidR="00B96E99" w:rsidRPr="00B96E99" w:rsidRDefault="00B96E99" w:rsidP="00B96E99">
      <w:pPr>
        <w:spacing w:line="360" w:lineRule="auto"/>
        <w:jc w:val="both"/>
        <w:rPr>
          <w:rFonts w:ascii="Century Gothic" w:eastAsia="Times New Roman" w:hAnsi="Century Gothic" w:cs="Times New Roman"/>
          <w:lang w:eastAsia="es-MX"/>
        </w:rPr>
      </w:pPr>
      <w:r w:rsidRPr="00B96E99">
        <w:rPr>
          <w:rFonts w:ascii="Century Gothic" w:eastAsia="Times New Roman" w:hAnsi="Century Gothic" w:cs="Calibri"/>
          <w:color w:val="000000"/>
          <w:lang w:eastAsia="es-MX"/>
        </w:rPr>
        <w:t>Es innegable que se está produciendo una transformación disruptiva en las políticas de movilidad a nivel nacional que va recorriendo a su vez a las entidades y por ende a los municipios; Al respecto, de acuerdo con la Alianza por la Movilidad Segura existen retos de coordinación anticipada que demanda la nueva legislación general y que deben enfrentarse a nivel local con el fin de ejercer de manera efectiva las atri</w:t>
      </w:r>
      <w:r>
        <w:rPr>
          <w:rFonts w:ascii="Century Gothic" w:eastAsia="Times New Roman" w:hAnsi="Century Gothic" w:cs="Calibri"/>
          <w:color w:val="000000"/>
          <w:lang w:eastAsia="es-MX"/>
        </w:rPr>
        <w:t xml:space="preserve">buciones que se les otorgarán; </w:t>
      </w:r>
      <w:r w:rsidRPr="00B96E99">
        <w:rPr>
          <w:rFonts w:ascii="Century Gothic" w:eastAsia="Times New Roman" w:hAnsi="Century Gothic" w:cs="Calibri"/>
          <w:color w:val="000000"/>
          <w:lang w:eastAsia="es-MX"/>
        </w:rPr>
        <w:t>Armonización reglamentaria, ajustes y asignación de recursos para priorizar nuevos esquemas de transporte, así como la plena garantía de congruencia y coordinación en instrumentos de planeación de movilidad son por mencionar algunos, los retos que a nivel municipal requieren de atención.</w:t>
      </w:r>
    </w:p>
    <w:p w14:paraId="119B6496" w14:textId="77777777" w:rsidR="00B96E99" w:rsidRPr="00B96E99" w:rsidRDefault="00B96E99" w:rsidP="00B96E99">
      <w:pPr>
        <w:spacing w:line="360" w:lineRule="auto"/>
        <w:rPr>
          <w:rFonts w:ascii="Century Gothic" w:eastAsia="Times New Roman" w:hAnsi="Century Gothic" w:cs="Times New Roman"/>
          <w:lang w:eastAsia="es-MX"/>
        </w:rPr>
      </w:pPr>
    </w:p>
    <w:p w14:paraId="585FEE8C" w14:textId="61A7AE31" w:rsidR="00B96E99" w:rsidRDefault="00B96E99" w:rsidP="00CE7EBF">
      <w:pPr>
        <w:spacing w:line="360" w:lineRule="auto"/>
        <w:jc w:val="both"/>
        <w:rPr>
          <w:rFonts w:ascii="Century Gothic" w:eastAsia="Times New Roman" w:hAnsi="Century Gothic" w:cs="Times New Roman"/>
          <w:lang w:eastAsia="es-MX"/>
        </w:rPr>
      </w:pPr>
      <w:r w:rsidRPr="00B96E99">
        <w:rPr>
          <w:rFonts w:ascii="Century Gothic" w:eastAsia="Times New Roman" w:hAnsi="Century Gothic" w:cs="Calibri"/>
          <w:color w:val="000000"/>
          <w:lang w:eastAsia="es-MX"/>
        </w:rPr>
        <w:t>En este sentido es necesario estipular la coordinación del Estado y los municipios para integrar y administrar el sistema de vialidad, tránsito y transporte, elementos de la movilidad,  en los términos del artículo 115 de la Constitución Política de los Estados Unidos Mexicanos a través de esquemas de c</w:t>
      </w:r>
      <w:r>
        <w:rPr>
          <w:rFonts w:ascii="Century Gothic" w:eastAsia="Times New Roman" w:hAnsi="Century Gothic" w:cs="Calibri"/>
          <w:color w:val="000000"/>
          <w:lang w:eastAsia="es-MX"/>
        </w:rPr>
        <w:t>olaboración</w:t>
      </w:r>
      <w:r w:rsidRPr="00B96E99">
        <w:rPr>
          <w:rFonts w:ascii="Century Gothic" w:eastAsia="Times New Roman" w:hAnsi="Century Gothic" w:cs="Calibri"/>
          <w:color w:val="000000"/>
          <w:lang w:eastAsia="es-MX"/>
        </w:rPr>
        <w:t xml:space="preserve"> institucional que permitan el  cumplimiento de los </w:t>
      </w:r>
      <w:r w:rsidR="00CE7EBF">
        <w:rPr>
          <w:rFonts w:ascii="Century Gothic" w:eastAsia="Times New Roman" w:hAnsi="Century Gothic" w:cs="Calibri"/>
          <w:color w:val="000000"/>
          <w:lang w:eastAsia="es-MX"/>
        </w:rPr>
        <w:t xml:space="preserve"> </w:t>
      </w:r>
      <w:r w:rsidRPr="00B96E99">
        <w:rPr>
          <w:rFonts w:ascii="Century Gothic" w:eastAsia="Times New Roman" w:hAnsi="Century Gothic" w:cs="Calibri"/>
          <w:color w:val="000000"/>
          <w:lang w:eastAsia="es-MX"/>
        </w:rPr>
        <w:t>objetivos y fines en este rubro, apoyándose de órganos colegiados especializados.</w:t>
      </w:r>
    </w:p>
    <w:p w14:paraId="18E26E8B" w14:textId="77777777" w:rsidR="00CE7EBF" w:rsidRDefault="00CE7EBF" w:rsidP="00CE7EBF">
      <w:pPr>
        <w:spacing w:line="360" w:lineRule="auto"/>
        <w:jc w:val="both"/>
        <w:rPr>
          <w:rFonts w:ascii="Century Gothic" w:eastAsia="Times New Roman" w:hAnsi="Century Gothic" w:cs="Times New Roman"/>
          <w:lang w:eastAsia="es-MX"/>
        </w:rPr>
      </w:pPr>
    </w:p>
    <w:p w14:paraId="3BD7F80C" w14:textId="1175052F" w:rsidR="00CE7EBF" w:rsidRDefault="00CE7EBF" w:rsidP="00CE7EBF">
      <w:pPr>
        <w:spacing w:line="360" w:lineRule="auto"/>
        <w:jc w:val="both"/>
        <w:rPr>
          <w:rFonts w:ascii="Century Gothic" w:eastAsia="Times New Roman" w:hAnsi="Century Gothic" w:cs="Times New Roman"/>
          <w:lang w:eastAsia="es-MX"/>
        </w:rPr>
      </w:pPr>
      <w:r>
        <w:rPr>
          <w:rFonts w:ascii="Century Gothic" w:eastAsia="Times New Roman" w:hAnsi="Century Gothic" w:cs="Times New Roman"/>
          <w:lang w:eastAsia="es-MX"/>
        </w:rPr>
        <w:t xml:space="preserve">Cabe señalar que </w:t>
      </w:r>
      <w:r w:rsidR="00E164CF">
        <w:rPr>
          <w:rFonts w:ascii="Century Gothic" w:eastAsia="Times New Roman" w:hAnsi="Century Gothic" w:cs="Times New Roman"/>
          <w:lang w:eastAsia="es-MX"/>
        </w:rPr>
        <w:t>en</w:t>
      </w:r>
      <w:r w:rsidRPr="00CE7EBF">
        <w:rPr>
          <w:rFonts w:ascii="Century Gothic" w:eastAsia="Times New Roman" w:hAnsi="Century Gothic" w:cs="Times New Roman"/>
          <w:lang w:eastAsia="es-MX"/>
        </w:rPr>
        <w:t xml:space="preserve"> el recién llevado a cabo Encuentro Nacional de Diputados Locales por la Movilidad se planteó esta propuesta por parte </w:t>
      </w:r>
      <w:r w:rsidRPr="00CE7EBF">
        <w:rPr>
          <w:rFonts w:ascii="Century Gothic" w:eastAsia="Times New Roman" w:hAnsi="Century Gothic" w:cs="Times New Roman"/>
          <w:lang w:eastAsia="es-MX"/>
        </w:rPr>
        <w:lastRenderedPageBreak/>
        <w:t>de la</w:t>
      </w:r>
      <w:r w:rsidR="00E164CF">
        <w:rPr>
          <w:rFonts w:ascii="Century Gothic" w:eastAsia="Times New Roman" w:hAnsi="Century Gothic" w:cs="Times New Roman"/>
          <w:lang w:eastAsia="es-MX"/>
        </w:rPr>
        <w:t xml:space="preserve"> Dirección de Movilidad </w:t>
      </w:r>
      <w:r w:rsidRPr="00CE7EBF">
        <w:rPr>
          <w:rFonts w:ascii="Century Gothic" w:eastAsia="Times New Roman" w:hAnsi="Century Gothic" w:cs="Times New Roman"/>
          <w:lang w:eastAsia="es-MX"/>
        </w:rPr>
        <w:t xml:space="preserve"> Secretaría de Desarrollo Agrario Territorial y Urbano (SEDATU), siendo una de las principales acciones tendientes a garantizar el cumplimiento de la próxima Ley General de Movilida</w:t>
      </w:r>
      <w:r w:rsidR="00331FBE">
        <w:rPr>
          <w:rFonts w:ascii="Century Gothic" w:eastAsia="Times New Roman" w:hAnsi="Century Gothic" w:cs="Times New Roman"/>
          <w:lang w:eastAsia="es-MX"/>
        </w:rPr>
        <w:t>d no solo para Chihuahua sino para todas las entidades del país.</w:t>
      </w:r>
    </w:p>
    <w:p w14:paraId="6451DA9F" w14:textId="77777777" w:rsidR="00E164CF" w:rsidRPr="00B96E99" w:rsidRDefault="00E164CF" w:rsidP="00CE7EBF">
      <w:pPr>
        <w:spacing w:line="360" w:lineRule="auto"/>
        <w:jc w:val="both"/>
        <w:rPr>
          <w:rFonts w:ascii="Century Gothic" w:eastAsia="Times New Roman" w:hAnsi="Century Gothic" w:cs="Times New Roman"/>
          <w:lang w:eastAsia="es-MX"/>
        </w:rPr>
      </w:pPr>
    </w:p>
    <w:p w14:paraId="46D44576" w14:textId="1019F36A" w:rsidR="00B96E99" w:rsidRDefault="00B96E99" w:rsidP="003F66D3">
      <w:pPr>
        <w:spacing w:line="360" w:lineRule="auto"/>
        <w:jc w:val="both"/>
        <w:rPr>
          <w:rFonts w:ascii="Century Gothic" w:eastAsia="Times New Roman" w:hAnsi="Century Gothic" w:cs="Times New Roman"/>
          <w:lang w:eastAsia="es-MX"/>
        </w:rPr>
      </w:pPr>
      <w:r w:rsidRPr="00B96E99">
        <w:rPr>
          <w:rFonts w:ascii="Century Gothic" w:eastAsia="Times New Roman" w:hAnsi="Century Gothic" w:cs="Calibri"/>
          <w:color w:val="000000"/>
          <w:lang w:eastAsia="es-MX"/>
        </w:rPr>
        <w:t>Finalmente, colocar a la movilidad como uno de los temas prioritarios no solo en la agenda legislativa sino a nivel municipal  adoptando la tendencia mundial de sustentabilidad para las ciudades del futuro a través de la planeación inteligente y sostenible permitirá dar cumplimiento a lo establecido en nuestra Carta Magna local colocando a nuestras ciudades en un plano de respeto de derechos humanos y competitividad.</w:t>
      </w:r>
    </w:p>
    <w:p w14:paraId="4E9BE0A8" w14:textId="77777777" w:rsidR="003F66D3" w:rsidRPr="00B96E99" w:rsidRDefault="003F66D3" w:rsidP="003F66D3">
      <w:pPr>
        <w:spacing w:line="360" w:lineRule="auto"/>
        <w:jc w:val="both"/>
        <w:rPr>
          <w:rFonts w:ascii="Century Gothic" w:eastAsia="Times New Roman" w:hAnsi="Century Gothic" w:cs="Times New Roman"/>
          <w:lang w:eastAsia="es-MX"/>
        </w:rPr>
      </w:pPr>
    </w:p>
    <w:p w14:paraId="6984276F" w14:textId="4416315E" w:rsidR="00BB08AD" w:rsidRDefault="00B96E99" w:rsidP="00B96E99">
      <w:pPr>
        <w:spacing w:line="360" w:lineRule="auto"/>
        <w:jc w:val="both"/>
        <w:rPr>
          <w:rFonts w:ascii="Century Gothic" w:eastAsia="Times New Roman" w:hAnsi="Century Gothic" w:cs="Calibri"/>
          <w:color w:val="000000"/>
          <w:lang w:eastAsia="es-MX"/>
        </w:rPr>
      </w:pPr>
      <w:r>
        <w:rPr>
          <w:rFonts w:ascii="Century Gothic" w:eastAsia="Times New Roman" w:hAnsi="Century Gothic" w:cs="Calibri"/>
          <w:color w:val="000000"/>
          <w:lang w:eastAsia="es-MX"/>
        </w:rPr>
        <w:t>Si bien, de manera general</w:t>
      </w:r>
      <w:r w:rsidRPr="00B96E99">
        <w:rPr>
          <w:rFonts w:ascii="Century Gothic" w:eastAsia="Times New Roman" w:hAnsi="Century Gothic" w:cs="Calibri"/>
          <w:color w:val="000000"/>
          <w:lang w:eastAsia="es-MX"/>
        </w:rPr>
        <w:t xml:space="preserve"> el rubro de movilidad suele colocarse erróneamente en un segundo plano o bien como una extensión de órganos que se especializan en obras públicas, como se observa de la lectura del siguiente artículo del Código </w:t>
      </w:r>
      <w:r w:rsidR="00BB08AD" w:rsidRPr="00B96E99">
        <w:rPr>
          <w:rFonts w:ascii="Century Gothic" w:eastAsia="Times New Roman" w:hAnsi="Century Gothic" w:cs="Calibri"/>
          <w:color w:val="000000"/>
          <w:lang w:eastAsia="es-MX"/>
        </w:rPr>
        <w:t>Municipal</w:t>
      </w:r>
      <w:r w:rsidRPr="00B96E99">
        <w:rPr>
          <w:rFonts w:ascii="Century Gothic" w:eastAsia="Times New Roman" w:hAnsi="Century Gothic" w:cs="Calibri"/>
          <w:color w:val="000000"/>
          <w:lang w:eastAsia="es-MX"/>
        </w:rPr>
        <w:t xml:space="preserve"> para el Estado, encontramos que en este rubro existen funciones muy específicas que dejan fuera el tema en comento en la presente iniciativa:</w:t>
      </w:r>
    </w:p>
    <w:p w14:paraId="4D065AE2" w14:textId="77777777" w:rsidR="003F66D3" w:rsidRPr="003F66D3" w:rsidRDefault="003F66D3" w:rsidP="00B96E99">
      <w:pPr>
        <w:spacing w:line="360" w:lineRule="auto"/>
        <w:jc w:val="both"/>
        <w:rPr>
          <w:rFonts w:ascii="Century Gothic" w:eastAsia="Times New Roman" w:hAnsi="Century Gothic" w:cs="Calibri"/>
          <w:color w:val="000000"/>
          <w:lang w:eastAsia="es-MX"/>
        </w:rPr>
      </w:pPr>
    </w:p>
    <w:p w14:paraId="4E3DED14" w14:textId="77777777" w:rsidR="00B96E99" w:rsidRPr="00B96E99" w:rsidRDefault="00B96E99" w:rsidP="003F66D3">
      <w:pPr>
        <w:ind w:left="708"/>
        <w:jc w:val="both"/>
        <w:rPr>
          <w:rFonts w:ascii="Century Gothic" w:eastAsia="Times New Roman" w:hAnsi="Century Gothic" w:cs="Times New Roman"/>
          <w:sz w:val="20"/>
          <w:szCs w:val="20"/>
          <w:lang w:eastAsia="es-MX"/>
        </w:rPr>
      </w:pPr>
      <w:r w:rsidRPr="00B96E99">
        <w:rPr>
          <w:rFonts w:ascii="Century Gothic" w:eastAsia="Times New Roman" w:hAnsi="Century Gothic" w:cs="Calibri"/>
          <w:i/>
          <w:iCs/>
          <w:color w:val="000000"/>
          <w:sz w:val="20"/>
          <w:szCs w:val="20"/>
          <w:lang w:eastAsia="es-MX"/>
        </w:rPr>
        <w:t>ARTÍCULO 36. La Comisión de Obras Públicas y Servicios Públicos intervendrá en las cuestiones relativas a la construcción y mantenimiento de obras públicas, aseo, alineamiento de calles y predios, alumbrado público, nomenclatura de calles, pavimentación, mejoramiento ambiental, ornato de calles, plazas, caminos, edificios, monumentos y demás lugares públicos municipales; asimismo, vigilará que la prestación de los servicios públicos municipales se realice eficazmente y que los concesionarios cumplan con las obligaciones pactadas en los contratos de concesión.</w:t>
      </w:r>
    </w:p>
    <w:p w14:paraId="38BCEF8F" w14:textId="77777777" w:rsidR="00B96E99" w:rsidRPr="00B96E99" w:rsidRDefault="00B96E99" w:rsidP="003F66D3">
      <w:pPr>
        <w:ind w:left="708"/>
        <w:jc w:val="both"/>
        <w:rPr>
          <w:rFonts w:ascii="Century Gothic" w:eastAsia="Times New Roman" w:hAnsi="Century Gothic" w:cs="Times New Roman"/>
          <w:sz w:val="20"/>
          <w:szCs w:val="20"/>
          <w:lang w:eastAsia="es-MX"/>
        </w:rPr>
      </w:pPr>
      <w:r w:rsidRPr="00B96E99">
        <w:rPr>
          <w:rFonts w:ascii="Century Gothic" w:eastAsia="Times New Roman" w:hAnsi="Century Gothic" w:cs="Calibri"/>
          <w:i/>
          <w:iCs/>
          <w:color w:val="000000"/>
          <w:sz w:val="20"/>
          <w:szCs w:val="20"/>
          <w:lang w:eastAsia="es-MX"/>
        </w:rPr>
        <w:t>La Comisión deberá impulsar que las personas concesionarias respeten la igualdad sustantiva y no discriminación en la prestación de los servicios públicos.</w:t>
      </w:r>
    </w:p>
    <w:p w14:paraId="433F0BE1" w14:textId="77777777" w:rsidR="00B96E99" w:rsidRPr="00B96E99" w:rsidRDefault="00B96E99" w:rsidP="00B96E99">
      <w:pPr>
        <w:spacing w:line="360" w:lineRule="auto"/>
        <w:rPr>
          <w:rFonts w:ascii="Century Gothic" w:eastAsia="Times New Roman" w:hAnsi="Century Gothic" w:cs="Times New Roman"/>
          <w:lang w:eastAsia="es-MX"/>
        </w:rPr>
      </w:pPr>
    </w:p>
    <w:p w14:paraId="64B782CA" w14:textId="6BFA142E" w:rsidR="00B96E99" w:rsidRPr="00B96E99" w:rsidRDefault="00B96E99" w:rsidP="00B96E99">
      <w:pPr>
        <w:spacing w:line="360" w:lineRule="auto"/>
        <w:jc w:val="both"/>
        <w:rPr>
          <w:rFonts w:ascii="Century Gothic" w:eastAsia="Times New Roman" w:hAnsi="Century Gothic" w:cs="Times New Roman"/>
          <w:lang w:eastAsia="es-MX"/>
        </w:rPr>
      </w:pPr>
      <w:r w:rsidRPr="00B96E99">
        <w:rPr>
          <w:rFonts w:ascii="Century Gothic" w:eastAsia="Times New Roman" w:hAnsi="Century Gothic" w:cs="Calibri"/>
          <w:color w:val="000000"/>
          <w:lang w:eastAsia="es-MX"/>
        </w:rPr>
        <w:t xml:space="preserve">En virtud de lo anterior, nuestros municipios, así como muchos otros enfrentan desde su particularidad los retos que a nivel global les </w:t>
      </w:r>
      <w:r w:rsidRPr="00B96E99">
        <w:rPr>
          <w:rFonts w:ascii="Century Gothic" w:eastAsia="Times New Roman" w:hAnsi="Century Gothic" w:cs="Calibri"/>
          <w:color w:val="000000"/>
          <w:lang w:eastAsia="es-MX"/>
        </w:rPr>
        <w:lastRenderedPageBreak/>
        <w:t xml:space="preserve">impactan, lo que  implica una vasta fuente de investigación, innovación, de revisión de teorías y actualización; considerando que los temas  inherentes a la movilidad y la seguridad vial tienen implicaciones en los aspectos </w:t>
      </w:r>
      <w:r w:rsidR="00BB08AD">
        <w:rPr>
          <w:rFonts w:ascii="Century Gothic" w:eastAsia="Times New Roman" w:hAnsi="Century Gothic" w:cs="Calibri"/>
          <w:color w:val="000000"/>
          <w:lang w:eastAsia="es-MX"/>
        </w:rPr>
        <w:t xml:space="preserve">de salud, </w:t>
      </w:r>
      <w:r w:rsidRPr="00B96E99">
        <w:rPr>
          <w:rFonts w:ascii="Century Gothic" w:eastAsia="Times New Roman" w:hAnsi="Century Gothic" w:cs="Calibri"/>
          <w:color w:val="000000"/>
          <w:lang w:eastAsia="es-MX"/>
        </w:rPr>
        <w:t>económicos, medioambientales, sociales, políticos, tecnológicos, de planeación urbana y gestión del territorio y los sistemas de transporte mismos, la presente propuesta versa en contribuir desde el ámbito local y legislativo a su atención.</w:t>
      </w:r>
    </w:p>
    <w:p w14:paraId="6F21673B" w14:textId="77777777" w:rsidR="00B96E99" w:rsidRPr="00B96E99" w:rsidRDefault="00B96E99" w:rsidP="00B96E99">
      <w:pPr>
        <w:spacing w:line="360" w:lineRule="auto"/>
        <w:rPr>
          <w:rFonts w:ascii="Century Gothic" w:eastAsia="Times New Roman" w:hAnsi="Century Gothic" w:cs="Times New Roman"/>
          <w:lang w:eastAsia="es-MX"/>
        </w:rPr>
      </w:pPr>
    </w:p>
    <w:p w14:paraId="6F823931" w14:textId="77777777" w:rsidR="00B96E99" w:rsidRPr="00B96E99" w:rsidRDefault="00B96E99" w:rsidP="00B96E99">
      <w:pPr>
        <w:spacing w:line="360" w:lineRule="auto"/>
        <w:jc w:val="both"/>
        <w:rPr>
          <w:rFonts w:ascii="Century Gothic" w:eastAsia="Times New Roman" w:hAnsi="Century Gothic" w:cs="Times New Roman"/>
          <w:lang w:eastAsia="es-MX"/>
        </w:rPr>
      </w:pPr>
      <w:r w:rsidRPr="00B96E99">
        <w:rPr>
          <w:rFonts w:ascii="Century Gothic" w:eastAsia="Times New Roman" w:hAnsi="Century Gothic" w:cs="Calibri"/>
          <w:color w:val="000000"/>
          <w:lang w:eastAsia="es-MX"/>
        </w:rPr>
        <w:t>Por ende y partiendo de  que las comisiones edilicias son los  órganos auxiliares del ayuntamiento y coadyuvan con el cumplimiento de sus funciones públicas, además de ser órganos de análisis, consulta y dictamen especializados, es que estimamos conveniente que los municipios cuenten con una comisión cuyos trabajos se orienten de manera exclusiva a las cuestiones de movilidad a  fin de reflejar en la institucionalidad municipal, la importancia de este tema.</w:t>
      </w:r>
    </w:p>
    <w:p w14:paraId="71D90941" w14:textId="77777777" w:rsidR="00B96E99" w:rsidRPr="00B96E99" w:rsidRDefault="00B96E99" w:rsidP="00B96E99">
      <w:pPr>
        <w:spacing w:line="360" w:lineRule="auto"/>
        <w:rPr>
          <w:rFonts w:ascii="Century Gothic" w:eastAsia="Times New Roman" w:hAnsi="Century Gothic" w:cs="Times New Roman"/>
          <w:lang w:eastAsia="es-MX"/>
        </w:rPr>
      </w:pPr>
    </w:p>
    <w:p w14:paraId="73E51162" w14:textId="2270AEAE" w:rsidR="00BB08AD" w:rsidRDefault="00B96E99" w:rsidP="00B96E99">
      <w:pPr>
        <w:spacing w:line="360" w:lineRule="auto"/>
        <w:jc w:val="both"/>
        <w:rPr>
          <w:rFonts w:ascii="Century Gothic" w:eastAsia="Times New Roman" w:hAnsi="Century Gothic" w:cs="Calibri"/>
          <w:color w:val="000000"/>
          <w:lang w:eastAsia="es-MX"/>
        </w:rPr>
      </w:pPr>
      <w:r w:rsidRPr="00B96E99">
        <w:rPr>
          <w:rFonts w:ascii="Century Gothic" w:eastAsia="Times New Roman" w:hAnsi="Century Gothic" w:cs="Calibri"/>
          <w:color w:val="000000"/>
          <w:lang w:eastAsia="es-MX"/>
        </w:rPr>
        <w:t>Por lo anteriormente expuesto, me permito someter a consideración del Pleno el presente proyecto con carácter de: </w:t>
      </w:r>
    </w:p>
    <w:p w14:paraId="4719B767" w14:textId="77777777" w:rsidR="003F66D3" w:rsidRPr="003F66D3" w:rsidRDefault="003F66D3" w:rsidP="00B96E99">
      <w:pPr>
        <w:spacing w:line="360" w:lineRule="auto"/>
        <w:jc w:val="both"/>
        <w:rPr>
          <w:rFonts w:ascii="Century Gothic" w:eastAsia="Times New Roman" w:hAnsi="Century Gothic" w:cs="Calibri"/>
          <w:color w:val="000000"/>
          <w:lang w:eastAsia="es-MX"/>
        </w:rPr>
      </w:pPr>
    </w:p>
    <w:p w14:paraId="2EC7E43E" w14:textId="57EA0048" w:rsidR="00B96E99" w:rsidRPr="00B96E99" w:rsidRDefault="00B96E99" w:rsidP="003F66D3">
      <w:pPr>
        <w:spacing w:line="360" w:lineRule="auto"/>
        <w:jc w:val="center"/>
        <w:rPr>
          <w:rFonts w:ascii="Century Gothic" w:eastAsia="Times New Roman" w:hAnsi="Century Gothic" w:cs="Times New Roman"/>
          <w:lang w:eastAsia="es-MX"/>
        </w:rPr>
      </w:pPr>
      <w:r w:rsidRPr="00B96E99">
        <w:rPr>
          <w:rFonts w:ascii="Century Gothic" w:eastAsia="Times New Roman" w:hAnsi="Century Gothic" w:cs="Calibri"/>
          <w:b/>
          <w:bCs/>
          <w:color w:val="000000"/>
          <w:lang w:eastAsia="es-MX"/>
        </w:rPr>
        <w:t>D E C R E T O.</w:t>
      </w:r>
    </w:p>
    <w:p w14:paraId="458BFD28" w14:textId="23A4B729" w:rsidR="00B96E99" w:rsidRPr="00B96E99" w:rsidRDefault="00B96E99" w:rsidP="00B96E99">
      <w:pPr>
        <w:spacing w:line="360" w:lineRule="auto"/>
        <w:jc w:val="both"/>
        <w:rPr>
          <w:rFonts w:ascii="Century Gothic" w:eastAsia="Times New Roman" w:hAnsi="Century Gothic" w:cs="Times New Roman"/>
          <w:lang w:eastAsia="es-MX"/>
        </w:rPr>
      </w:pPr>
      <w:r w:rsidRPr="00B96E99">
        <w:rPr>
          <w:rFonts w:ascii="Century Gothic" w:eastAsia="Times New Roman" w:hAnsi="Century Gothic" w:cs="Calibri"/>
          <w:b/>
          <w:bCs/>
          <w:color w:val="000000"/>
          <w:lang w:eastAsia="es-MX"/>
        </w:rPr>
        <w:t xml:space="preserve">ARTÍCULO ÚNICO. </w:t>
      </w:r>
      <w:r w:rsidRPr="00B96E99">
        <w:rPr>
          <w:rFonts w:ascii="Century Gothic" w:eastAsia="Times New Roman" w:hAnsi="Century Gothic" w:cs="Calibri"/>
          <w:color w:val="000000"/>
          <w:lang w:eastAsia="es-MX"/>
        </w:rPr>
        <w:t xml:space="preserve">Se reforma el artículo 31 del Código Municipal para el Estado de Chihuahua en </w:t>
      </w:r>
      <w:r w:rsidR="00BB08AD">
        <w:rPr>
          <w:rFonts w:ascii="Century Gothic" w:eastAsia="Times New Roman" w:hAnsi="Century Gothic" w:cs="Calibri"/>
          <w:color w:val="000000"/>
          <w:lang w:eastAsia="es-MX"/>
        </w:rPr>
        <w:t>su fracción VIII recorriendo la subsecuente</w:t>
      </w:r>
      <w:r w:rsidRPr="00B96E99">
        <w:rPr>
          <w:rFonts w:ascii="Century Gothic" w:eastAsia="Times New Roman" w:hAnsi="Century Gothic" w:cs="Calibri"/>
          <w:color w:val="000000"/>
          <w:lang w:eastAsia="es-MX"/>
        </w:rPr>
        <w:t>,  para quedar redactado de la siguiente manera:</w:t>
      </w:r>
    </w:p>
    <w:p w14:paraId="267BD12F" w14:textId="77777777" w:rsidR="00B96E99" w:rsidRPr="00B96E99" w:rsidRDefault="00B96E99" w:rsidP="00B96E99">
      <w:pPr>
        <w:spacing w:line="360" w:lineRule="auto"/>
        <w:rPr>
          <w:rFonts w:ascii="Century Gothic" w:eastAsia="Times New Roman" w:hAnsi="Century Gothic" w:cs="Times New Roman"/>
          <w:lang w:eastAsia="es-MX"/>
        </w:rPr>
      </w:pPr>
    </w:p>
    <w:p w14:paraId="7714AFE5" w14:textId="77777777" w:rsidR="00B96E99" w:rsidRPr="00B96E99" w:rsidRDefault="00B96E99" w:rsidP="003F66D3">
      <w:pPr>
        <w:spacing w:line="276" w:lineRule="auto"/>
        <w:ind w:left="708"/>
        <w:jc w:val="both"/>
        <w:rPr>
          <w:rFonts w:ascii="Century Gothic" w:eastAsia="Times New Roman" w:hAnsi="Century Gothic" w:cs="Times New Roman"/>
          <w:sz w:val="22"/>
          <w:szCs w:val="22"/>
          <w:lang w:eastAsia="es-MX"/>
        </w:rPr>
      </w:pPr>
      <w:r w:rsidRPr="00B96E99">
        <w:rPr>
          <w:rFonts w:ascii="Century Gothic" w:eastAsia="Times New Roman" w:hAnsi="Century Gothic" w:cs="Calibri"/>
          <w:color w:val="000000"/>
          <w:sz w:val="22"/>
          <w:szCs w:val="22"/>
          <w:lang w:eastAsia="es-MX"/>
        </w:rPr>
        <w:t>ARTÍCULO 31. El día de su instalación, el Ayuntamiento determinará el número de comisiones necesarias para el cumplimiento de sus funciones, así como las y los integrantes de las mismas. Cada Comisión se integrará, por lo menos, por dos integrantes, conforme al Reglamento Interior, reflejarán la composición plural del Ayuntamiento, y serán permanentes. El Ayuntamiento podrá crear comisiones especiales para conocer de un asunto determinado, mismas que serán transitorias.</w:t>
      </w:r>
    </w:p>
    <w:p w14:paraId="6FACCA64" w14:textId="77777777" w:rsidR="00B96E99" w:rsidRPr="00B96E99" w:rsidRDefault="00B96E99" w:rsidP="003F66D3">
      <w:pPr>
        <w:spacing w:line="276" w:lineRule="auto"/>
        <w:rPr>
          <w:rFonts w:ascii="Century Gothic" w:eastAsia="Times New Roman" w:hAnsi="Century Gothic" w:cs="Times New Roman"/>
          <w:sz w:val="22"/>
          <w:szCs w:val="22"/>
          <w:lang w:eastAsia="es-MX"/>
        </w:rPr>
      </w:pPr>
    </w:p>
    <w:p w14:paraId="52DD553D" w14:textId="77777777" w:rsidR="00B96E99" w:rsidRPr="00B96E99" w:rsidRDefault="00B96E99" w:rsidP="003F66D3">
      <w:pPr>
        <w:spacing w:line="276" w:lineRule="auto"/>
        <w:ind w:left="708"/>
        <w:jc w:val="both"/>
        <w:rPr>
          <w:rFonts w:ascii="Century Gothic" w:eastAsia="Times New Roman" w:hAnsi="Century Gothic" w:cs="Times New Roman"/>
          <w:sz w:val="22"/>
          <w:szCs w:val="22"/>
          <w:lang w:eastAsia="es-MX"/>
        </w:rPr>
      </w:pPr>
      <w:r w:rsidRPr="00B96E99">
        <w:rPr>
          <w:rFonts w:ascii="Century Gothic" w:eastAsia="Times New Roman" w:hAnsi="Century Gothic" w:cs="Calibri"/>
          <w:color w:val="000000"/>
          <w:sz w:val="22"/>
          <w:szCs w:val="22"/>
          <w:lang w:eastAsia="es-MX"/>
        </w:rPr>
        <w:t>Las personas titulares de las Regidurías podrán formar parte de una o varias comisiones conforme al reglamento que se expida.</w:t>
      </w:r>
    </w:p>
    <w:p w14:paraId="101BE931" w14:textId="77777777" w:rsidR="00B96E99" w:rsidRPr="00B96E99" w:rsidRDefault="00B96E99" w:rsidP="003F66D3">
      <w:pPr>
        <w:spacing w:line="276" w:lineRule="auto"/>
        <w:rPr>
          <w:rFonts w:ascii="Century Gothic" w:eastAsia="Times New Roman" w:hAnsi="Century Gothic" w:cs="Times New Roman"/>
          <w:sz w:val="22"/>
          <w:szCs w:val="22"/>
          <w:lang w:eastAsia="es-MX"/>
        </w:rPr>
      </w:pPr>
    </w:p>
    <w:p w14:paraId="19CDC316" w14:textId="77777777" w:rsidR="00B96E99" w:rsidRPr="00B96E99" w:rsidRDefault="00B96E99" w:rsidP="003F66D3">
      <w:pPr>
        <w:spacing w:line="276" w:lineRule="auto"/>
        <w:ind w:firstLine="708"/>
        <w:jc w:val="both"/>
        <w:rPr>
          <w:rFonts w:ascii="Century Gothic" w:eastAsia="Times New Roman" w:hAnsi="Century Gothic" w:cs="Times New Roman"/>
          <w:sz w:val="22"/>
          <w:szCs w:val="22"/>
          <w:lang w:eastAsia="es-MX"/>
        </w:rPr>
      </w:pPr>
      <w:r w:rsidRPr="00B96E99">
        <w:rPr>
          <w:rFonts w:ascii="Century Gothic" w:eastAsia="Times New Roman" w:hAnsi="Century Gothic" w:cs="Calibri"/>
          <w:color w:val="000000"/>
          <w:sz w:val="22"/>
          <w:szCs w:val="22"/>
          <w:lang w:eastAsia="es-MX"/>
        </w:rPr>
        <w:t>Las Comisiones serán:</w:t>
      </w:r>
    </w:p>
    <w:p w14:paraId="05C1E502" w14:textId="3F9790E0" w:rsidR="00B96E99" w:rsidRPr="00B96E99" w:rsidRDefault="00B96E99" w:rsidP="003F66D3">
      <w:pPr>
        <w:spacing w:line="276" w:lineRule="auto"/>
        <w:ind w:firstLine="708"/>
        <w:jc w:val="both"/>
        <w:rPr>
          <w:rFonts w:ascii="Century Gothic" w:eastAsia="Times New Roman" w:hAnsi="Century Gothic" w:cs="Times New Roman"/>
          <w:sz w:val="22"/>
          <w:szCs w:val="22"/>
          <w:lang w:eastAsia="es-MX"/>
        </w:rPr>
      </w:pPr>
      <w:r w:rsidRPr="00B96E99">
        <w:rPr>
          <w:rFonts w:ascii="Century Gothic" w:eastAsia="Times New Roman" w:hAnsi="Century Gothic" w:cs="Calibri"/>
          <w:color w:val="000000"/>
          <w:sz w:val="22"/>
          <w:szCs w:val="22"/>
          <w:lang w:eastAsia="es-MX"/>
        </w:rPr>
        <w:t xml:space="preserve">I a la </w:t>
      </w:r>
      <w:r w:rsidR="00BB08AD" w:rsidRPr="00B96E99">
        <w:rPr>
          <w:rFonts w:ascii="Century Gothic" w:eastAsia="Times New Roman" w:hAnsi="Century Gothic" w:cs="Calibri"/>
          <w:color w:val="000000"/>
          <w:sz w:val="22"/>
          <w:szCs w:val="22"/>
          <w:lang w:eastAsia="es-MX"/>
        </w:rPr>
        <w:t>VII…</w:t>
      </w:r>
    </w:p>
    <w:p w14:paraId="7A7B322C" w14:textId="77777777" w:rsidR="00B96E99" w:rsidRPr="00B96E99" w:rsidRDefault="00B96E99" w:rsidP="003F66D3">
      <w:pPr>
        <w:spacing w:line="276" w:lineRule="auto"/>
        <w:ind w:firstLine="708"/>
        <w:jc w:val="both"/>
        <w:rPr>
          <w:rFonts w:ascii="Century Gothic" w:eastAsia="Times New Roman" w:hAnsi="Century Gothic" w:cs="Times New Roman"/>
          <w:sz w:val="22"/>
          <w:szCs w:val="22"/>
          <w:lang w:eastAsia="es-MX"/>
        </w:rPr>
      </w:pPr>
      <w:r w:rsidRPr="00B96E99">
        <w:rPr>
          <w:rFonts w:ascii="Century Gothic" w:eastAsia="Times New Roman" w:hAnsi="Century Gothic" w:cs="Calibri"/>
          <w:b/>
          <w:bCs/>
          <w:color w:val="000000"/>
          <w:sz w:val="22"/>
          <w:szCs w:val="22"/>
          <w:lang w:eastAsia="es-MX"/>
        </w:rPr>
        <w:t>VIII. De Movilidad Sustentable y Seguridad Vial.</w:t>
      </w:r>
    </w:p>
    <w:p w14:paraId="4740F35B" w14:textId="06DC8009" w:rsidR="00B96E99" w:rsidRDefault="00B96E99" w:rsidP="003F66D3">
      <w:pPr>
        <w:spacing w:line="276" w:lineRule="auto"/>
        <w:ind w:left="708"/>
        <w:jc w:val="both"/>
        <w:rPr>
          <w:rFonts w:ascii="Century Gothic" w:eastAsia="Times New Roman" w:hAnsi="Century Gothic" w:cs="Times New Roman"/>
          <w:sz w:val="22"/>
          <w:szCs w:val="22"/>
          <w:lang w:eastAsia="es-MX"/>
        </w:rPr>
      </w:pPr>
      <w:r w:rsidRPr="00B96E99">
        <w:rPr>
          <w:rFonts w:ascii="Century Gothic" w:eastAsia="Times New Roman" w:hAnsi="Century Gothic" w:cs="Calibri"/>
          <w:b/>
          <w:bCs/>
          <w:color w:val="000000"/>
          <w:sz w:val="22"/>
          <w:szCs w:val="22"/>
          <w:lang w:eastAsia="es-MX"/>
        </w:rPr>
        <w:t>IX.</w:t>
      </w:r>
      <w:r w:rsidRPr="00B96E99">
        <w:rPr>
          <w:rFonts w:ascii="Century Gothic" w:eastAsia="Times New Roman" w:hAnsi="Century Gothic" w:cs="Calibri"/>
          <w:color w:val="000000"/>
          <w:sz w:val="22"/>
          <w:szCs w:val="22"/>
          <w:lang w:eastAsia="es-MX"/>
        </w:rPr>
        <w:t xml:space="preserve"> Además, aquellas otras que determine el Ayuntamiento, de acuerdo a las necesidades del municipio.</w:t>
      </w:r>
    </w:p>
    <w:p w14:paraId="54288194" w14:textId="77777777" w:rsidR="003F66D3" w:rsidRPr="003F66D3" w:rsidRDefault="003F66D3" w:rsidP="003F66D3">
      <w:pPr>
        <w:spacing w:line="276" w:lineRule="auto"/>
        <w:ind w:left="708"/>
        <w:jc w:val="both"/>
        <w:rPr>
          <w:rFonts w:ascii="Century Gothic" w:eastAsia="Times New Roman" w:hAnsi="Century Gothic" w:cs="Times New Roman"/>
          <w:sz w:val="22"/>
          <w:szCs w:val="22"/>
          <w:lang w:eastAsia="es-MX"/>
        </w:rPr>
      </w:pPr>
    </w:p>
    <w:p w14:paraId="14A4BFD7" w14:textId="321D44BE" w:rsidR="00B96E99" w:rsidRPr="00B96E99" w:rsidRDefault="00B96E99" w:rsidP="002F1649">
      <w:pPr>
        <w:spacing w:line="360" w:lineRule="auto"/>
        <w:jc w:val="center"/>
        <w:rPr>
          <w:rFonts w:ascii="Century Gothic" w:eastAsia="Times New Roman" w:hAnsi="Century Gothic" w:cs="Times New Roman"/>
          <w:lang w:eastAsia="es-MX"/>
        </w:rPr>
      </w:pPr>
      <w:r w:rsidRPr="00B96E99">
        <w:rPr>
          <w:rFonts w:ascii="Century Gothic" w:eastAsia="Times New Roman" w:hAnsi="Century Gothic" w:cs="Calibri"/>
          <w:b/>
          <w:bCs/>
          <w:color w:val="000000"/>
          <w:lang w:eastAsia="es-MX"/>
        </w:rPr>
        <w:t>TRANSITORIOS</w:t>
      </w:r>
      <w:r w:rsidRPr="00B96E99">
        <w:rPr>
          <w:rFonts w:ascii="Century Gothic" w:eastAsia="Times New Roman" w:hAnsi="Century Gothic" w:cs="Calibri"/>
          <w:color w:val="000000"/>
          <w:lang w:eastAsia="es-MX"/>
        </w:rPr>
        <w:t>.</w:t>
      </w:r>
    </w:p>
    <w:p w14:paraId="0087AFB4" w14:textId="58D144AC" w:rsidR="00B96E99" w:rsidRPr="00B96E99" w:rsidRDefault="00B96E99" w:rsidP="00B96E99">
      <w:pPr>
        <w:spacing w:line="360" w:lineRule="auto"/>
        <w:jc w:val="both"/>
        <w:rPr>
          <w:rFonts w:ascii="Century Gothic" w:eastAsia="Times New Roman" w:hAnsi="Century Gothic" w:cs="Times New Roman"/>
          <w:lang w:eastAsia="es-MX"/>
        </w:rPr>
      </w:pPr>
      <w:r w:rsidRPr="00B96E99">
        <w:rPr>
          <w:rFonts w:ascii="Century Gothic" w:eastAsia="Times New Roman" w:hAnsi="Century Gothic" w:cs="Calibri"/>
          <w:b/>
          <w:bCs/>
          <w:color w:val="000000"/>
          <w:lang w:eastAsia="es-MX"/>
        </w:rPr>
        <w:t>ÚNICO.</w:t>
      </w:r>
      <w:r w:rsidRPr="00B96E99">
        <w:rPr>
          <w:rFonts w:ascii="Century Gothic" w:eastAsia="Times New Roman" w:hAnsi="Century Gothic" w:cs="Calibri"/>
          <w:color w:val="000000"/>
          <w:lang w:eastAsia="es-MX"/>
        </w:rPr>
        <w:t xml:space="preserve"> El presente decreto entrará en vigor al día siguiente de su publicación en el Periódico Oficial del Estado.</w:t>
      </w:r>
    </w:p>
    <w:p w14:paraId="05E901A9" w14:textId="7A529CB7" w:rsidR="00B96E99" w:rsidRDefault="00B96E99" w:rsidP="003F66D3">
      <w:pPr>
        <w:spacing w:line="360" w:lineRule="auto"/>
        <w:jc w:val="both"/>
        <w:rPr>
          <w:rFonts w:ascii="Century Gothic" w:eastAsia="Times New Roman" w:hAnsi="Century Gothic" w:cs="Times New Roman"/>
          <w:lang w:eastAsia="es-MX"/>
        </w:rPr>
      </w:pPr>
      <w:r w:rsidRPr="00B96E99">
        <w:rPr>
          <w:rFonts w:ascii="Century Gothic" w:eastAsia="Times New Roman" w:hAnsi="Century Gothic" w:cs="Calibri"/>
          <w:b/>
          <w:bCs/>
          <w:color w:val="000000"/>
          <w:lang w:eastAsia="es-MX"/>
        </w:rPr>
        <w:t>ECONÓMICO.</w:t>
      </w:r>
      <w:r w:rsidRPr="00B96E99">
        <w:rPr>
          <w:rFonts w:ascii="Century Gothic" w:eastAsia="Times New Roman" w:hAnsi="Century Gothic" w:cs="Calibri"/>
          <w:color w:val="000000"/>
          <w:lang w:eastAsia="es-MX"/>
        </w:rPr>
        <w:t xml:space="preserve"> Aprobado que sea túrnese a la Secretaría de Asuntos Legislativos y Jurídicos para que elabore la minuta de Decreto en los términos que deba publicarse.</w:t>
      </w:r>
    </w:p>
    <w:p w14:paraId="4E530E0B" w14:textId="77777777" w:rsidR="003F66D3" w:rsidRPr="00B96E99" w:rsidRDefault="003F66D3" w:rsidP="003F66D3">
      <w:pPr>
        <w:spacing w:line="360" w:lineRule="auto"/>
        <w:jc w:val="both"/>
        <w:rPr>
          <w:rFonts w:ascii="Century Gothic" w:eastAsia="Times New Roman" w:hAnsi="Century Gothic" w:cs="Times New Roman"/>
          <w:lang w:eastAsia="es-MX"/>
        </w:rPr>
      </w:pPr>
    </w:p>
    <w:p w14:paraId="0374CC00" w14:textId="7A440DD1" w:rsidR="00B96E99" w:rsidRPr="00B96E99" w:rsidRDefault="00B96E99" w:rsidP="003F66D3">
      <w:pPr>
        <w:spacing w:line="360" w:lineRule="auto"/>
        <w:jc w:val="both"/>
        <w:rPr>
          <w:rFonts w:ascii="Century Gothic" w:eastAsia="Times New Roman" w:hAnsi="Century Gothic" w:cs="Times New Roman"/>
          <w:lang w:eastAsia="es-MX"/>
        </w:rPr>
      </w:pPr>
      <w:r w:rsidRPr="00B96E99">
        <w:rPr>
          <w:rFonts w:ascii="Century Gothic" w:eastAsia="Times New Roman" w:hAnsi="Century Gothic" w:cs="Calibri"/>
          <w:color w:val="000000"/>
          <w:lang w:eastAsia="es-MX"/>
        </w:rPr>
        <w:t>Dado en el Salón de Sesiones del Poder</w:t>
      </w:r>
      <w:r w:rsidR="00DF1260">
        <w:rPr>
          <w:rFonts w:ascii="Century Gothic" w:eastAsia="Times New Roman" w:hAnsi="Century Gothic" w:cs="Calibri"/>
          <w:color w:val="000000"/>
          <w:lang w:eastAsia="es-MX"/>
        </w:rPr>
        <w:t xml:space="preserve"> Legislativo del Estado, a los 5</w:t>
      </w:r>
      <w:r w:rsidRPr="00B96E99">
        <w:rPr>
          <w:rFonts w:ascii="Century Gothic" w:eastAsia="Times New Roman" w:hAnsi="Century Gothic" w:cs="Calibri"/>
          <w:color w:val="000000"/>
          <w:lang w:eastAsia="es-MX"/>
        </w:rPr>
        <w:t>  días del mes de abril de 2022.</w:t>
      </w:r>
    </w:p>
    <w:p w14:paraId="49619148" w14:textId="6B0C4DA8" w:rsidR="003F66D3" w:rsidRDefault="00B96E99" w:rsidP="003A4F5D">
      <w:pPr>
        <w:spacing w:line="360" w:lineRule="auto"/>
        <w:jc w:val="center"/>
        <w:rPr>
          <w:rFonts w:ascii="Century Gothic" w:eastAsia="Times New Roman" w:hAnsi="Century Gothic" w:cs="Times New Roman"/>
          <w:lang w:eastAsia="es-MX"/>
        </w:rPr>
      </w:pPr>
      <w:r w:rsidRPr="00B96E99">
        <w:rPr>
          <w:rFonts w:ascii="Century Gothic" w:eastAsia="Times New Roman" w:hAnsi="Century Gothic" w:cs="Calibri"/>
          <w:b/>
          <w:bCs/>
          <w:color w:val="000000"/>
          <w:lang w:eastAsia="es-MX"/>
        </w:rPr>
        <w:t>Atentamente,</w:t>
      </w:r>
    </w:p>
    <w:p w14:paraId="7445E724" w14:textId="77777777" w:rsidR="003A4F5D" w:rsidRDefault="003A4F5D" w:rsidP="00B96E99">
      <w:pPr>
        <w:spacing w:after="240" w:line="360" w:lineRule="auto"/>
        <w:rPr>
          <w:rFonts w:ascii="Century Gothic" w:eastAsia="Times New Roman" w:hAnsi="Century Gothic" w:cs="Times New Roman"/>
          <w:lang w:eastAsia="es-MX"/>
        </w:rPr>
      </w:pPr>
    </w:p>
    <w:p w14:paraId="35B0CE4D" w14:textId="77777777" w:rsidR="003A4F5D" w:rsidRDefault="003A4F5D" w:rsidP="00B96E99">
      <w:pPr>
        <w:spacing w:after="240" w:line="360" w:lineRule="auto"/>
        <w:rPr>
          <w:rFonts w:ascii="Century Gothic" w:eastAsia="Times New Roman" w:hAnsi="Century Gothic" w:cs="Times New Roman"/>
          <w:lang w:eastAsia="es-MX"/>
        </w:rPr>
      </w:pPr>
    </w:p>
    <w:p w14:paraId="2C81C9D7" w14:textId="34ADC37D" w:rsidR="003F66D3" w:rsidRPr="003A4F5D" w:rsidRDefault="003F66D3" w:rsidP="003A4F5D">
      <w:pPr>
        <w:spacing w:after="240" w:line="360" w:lineRule="auto"/>
        <w:jc w:val="center"/>
        <w:rPr>
          <w:rFonts w:ascii="Century Gothic" w:eastAsia="Times New Roman" w:hAnsi="Century Gothic" w:cs="Calibri"/>
          <w:b/>
          <w:bCs/>
          <w:color w:val="000000"/>
          <w:lang w:eastAsia="es-MX"/>
        </w:rPr>
      </w:pPr>
      <w:r w:rsidRPr="00B96E99">
        <w:rPr>
          <w:rFonts w:ascii="Century Gothic" w:eastAsia="Times New Roman" w:hAnsi="Century Gothic" w:cs="Calibri"/>
          <w:b/>
          <w:bCs/>
          <w:color w:val="000000"/>
          <w:lang w:eastAsia="es-MX"/>
        </w:rPr>
        <w:t>DIP. BENJAMÍN CARRERA CHÁVEZ.</w:t>
      </w:r>
      <w:bookmarkStart w:id="0" w:name="_GoBack"/>
      <w:bookmarkEnd w:id="0"/>
    </w:p>
    <w:p w14:paraId="5AE741D4" w14:textId="77777777" w:rsidR="003A4F5D" w:rsidRPr="00B96E99" w:rsidRDefault="003A4F5D" w:rsidP="003F66D3">
      <w:pPr>
        <w:spacing w:after="240" w:line="360" w:lineRule="auto"/>
        <w:jc w:val="center"/>
        <w:rPr>
          <w:rFonts w:ascii="Century Gothic" w:eastAsia="Times New Roman" w:hAnsi="Century Gothic" w:cs="Times New Roman"/>
          <w:lang w:eastAsia="es-MX"/>
        </w:rPr>
      </w:pPr>
    </w:p>
    <w:p w14:paraId="59847E69" w14:textId="0B2F7BD2" w:rsidR="008A3281" w:rsidRDefault="002F1649" w:rsidP="003F66D3">
      <w:pPr>
        <w:spacing w:line="360" w:lineRule="auto"/>
        <w:ind w:left="4950" w:hanging="4950"/>
        <w:jc w:val="center"/>
        <w:rPr>
          <w:rFonts w:ascii="Century Gothic" w:eastAsia="Times New Roman" w:hAnsi="Century Gothic" w:cs="Calibri"/>
          <w:b/>
          <w:bCs/>
          <w:color w:val="000000"/>
          <w:lang w:eastAsia="es-MX"/>
        </w:rPr>
      </w:pPr>
      <w:r>
        <w:rPr>
          <w:rFonts w:ascii="Century Gothic" w:eastAsia="Times New Roman" w:hAnsi="Century Gothic" w:cs="Calibri"/>
          <w:b/>
          <w:bCs/>
          <w:color w:val="000000"/>
          <w:lang w:eastAsia="es-MX"/>
        </w:rPr>
        <w:t>DIP. AMELIA DEYANIRA OZAETA DÍAZ</w:t>
      </w:r>
    </w:p>
    <w:p w14:paraId="611E8842" w14:textId="77777777" w:rsidR="003F66D3" w:rsidRDefault="003F66D3" w:rsidP="003F66D3">
      <w:pPr>
        <w:spacing w:line="360" w:lineRule="auto"/>
        <w:rPr>
          <w:rFonts w:ascii="Century Gothic" w:eastAsia="Times New Roman" w:hAnsi="Century Gothic" w:cs="Calibri"/>
          <w:b/>
          <w:bCs/>
          <w:color w:val="000000"/>
          <w:lang w:eastAsia="es-MX"/>
        </w:rPr>
      </w:pPr>
    </w:p>
    <w:p w14:paraId="74D54465" w14:textId="77777777" w:rsidR="003A4F5D" w:rsidRDefault="003A4F5D" w:rsidP="003A4F5D">
      <w:pPr>
        <w:spacing w:line="360" w:lineRule="auto"/>
        <w:rPr>
          <w:rFonts w:ascii="Century Gothic" w:eastAsia="Times New Roman" w:hAnsi="Century Gothic" w:cs="Calibri"/>
          <w:b/>
          <w:bCs/>
          <w:color w:val="000000"/>
          <w:lang w:eastAsia="es-MX"/>
        </w:rPr>
      </w:pPr>
    </w:p>
    <w:p w14:paraId="1AD9DB2E" w14:textId="3F8AA0F1" w:rsidR="003F66D3" w:rsidRPr="00F30568" w:rsidRDefault="003F66D3" w:rsidP="002F1649">
      <w:pPr>
        <w:spacing w:line="360" w:lineRule="auto"/>
        <w:ind w:left="4950" w:hanging="4950"/>
        <w:jc w:val="center"/>
        <w:rPr>
          <w:rFonts w:ascii="Century Gothic" w:eastAsia="Times New Roman" w:hAnsi="Century Gothic" w:cs="Times New Roman"/>
          <w:lang w:eastAsia="es-MX"/>
        </w:rPr>
      </w:pPr>
      <w:r>
        <w:rPr>
          <w:rFonts w:ascii="Century Gothic" w:eastAsia="Times New Roman" w:hAnsi="Century Gothic" w:cs="Calibri"/>
          <w:b/>
          <w:bCs/>
          <w:color w:val="000000"/>
          <w:lang w:eastAsia="es-MX"/>
        </w:rPr>
        <w:t>DIP. ILSE AMÉRICA GARCÍA SOTO.</w:t>
      </w:r>
    </w:p>
    <w:p w14:paraId="291AE8BE" w14:textId="5A5C0BF7" w:rsidR="00492673" w:rsidRPr="00492673" w:rsidRDefault="00492673" w:rsidP="0049267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</w:p>
    <w:p w14:paraId="5AC8ED9A" w14:textId="77777777" w:rsidR="00603B28" w:rsidRDefault="00603B28" w:rsidP="00011DA7">
      <w:pPr>
        <w:spacing w:line="360" w:lineRule="auto"/>
        <w:jc w:val="both"/>
        <w:rPr>
          <w:rFonts w:ascii="Century Gothic" w:hAnsi="Century Gothic"/>
        </w:rPr>
      </w:pPr>
    </w:p>
    <w:p w14:paraId="1C4C19E3" w14:textId="5E304B79" w:rsidR="003C0509" w:rsidRPr="00011DA7" w:rsidRDefault="003C0509" w:rsidP="00011DA7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sectPr w:rsidR="003C0509" w:rsidRPr="00011DA7" w:rsidSect="005F1118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2552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6BB43" w14:textId="77777777" w:rsidR="00462A8E" w:rsidRDefault="00462A8E" w:rsidP="008655A2">
      <w:r>
        <w:separator/>
      </w:r>
    </w:p>
  </w:endnote>
  <w:endnote w:type="continuationSeparator" w:id="0">
    <w:p w14:paraId="5D14EA50" w14:textId="77777777" w:rsidR="00462A8E" w:rsidRDefault="00462A8E" w:rsidP="0086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badi">
    <w:altName w:val="HP Simplified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91123762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2B7A9A1" w14:textId="3BEF4287" w:rsidR="0095674C" w:rsidRDefault="0095674C" w:rsidP="00333F57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87CB1A4" w14:textId="77777777" w:rsidR="0095674C" w:rsidRDefault="0095674C" w:rsidP="0095674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106463157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11EB439" w14:textId="7DF94E90" w:rsidR="0095674C" w:rsidRDefault="0095674C" w:rsidP="00333F57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3A4F5D">
          <w:rPr>
            <w:rStyle w:val="Nmerodepgina"/>
            <w:noProof/>
          </w:rPr>
          <w:t>7</w:t>
        </w:r>
        <w:r>
          <w:rPr>
            <w:rStyle w:val="Nmerodepgina"/>
          </w:rPr>
          <w:fldChar w:fldCharType="end"/>
        </w:r>
      </w:p>
    </w:sdtContent>
  </w:sdt>
  <w:p w14:paraId="1FEBB8D6" w14:textId="77777777" w:rsidR="0095674C" w:rsidRDefault="0095674C" w:rsidP="0095674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AE2E2" w14:textId="77777777" w:rsidR="00462A8E" w:rsidRDefault="00462A8E" w:rsidP="008655A2">
      <w:r>
        <w:separator/>
      </w:r>
    </w:p>
  </w:footnote>
  <w:footnote w:type="continuationSeparator" w:id="0">
    <w:p w14:paraId="562907BB" w14:textId="77777777" w:rsidR="00462A8E" w:rsidRDefault="00462A8E" w:rsidP="00865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854EA" w14:textId="21D466F5" w:rsidR="008655A2" w:rsidRPr="008655A2" w:rsidRDefault="008655A2" w:rsidP="008655A2">
    <w:pPr>
      <w:jc w:val="right"/>
      <w:rPr>
        <w:rFonts w:ascii="Edwardian Script ITC" w:eastAsia="Brush Script MT" w:hAnsi="Edwardian Script ITC" w:cs="Brush Script MT"/>
        <w:b/>
        <w:bCs/>
        <w:i/>
        <w:sz w:val="22"/>
        <w:szCs w:val="22"/>
      </w:rPr>
    </w:pPr>
    <w:r w:rsidRPr="008655A2">
      <w:rPr>
        <w:rFonts w:ascii="Edwardian Script ITC" w:eastAsia="Brush Script MT" w:hAnsi="Edwardian Script ITC" w:cs="Brush Script MT"/>
        <w:b/>
        <w:bCs/>
        <w:i/>
        <w:sz w:val="22"/>
        <w:szCs w:val="22"/>
      </w:rPr>
      <w:t>"2022, Año del Centenario de la llegada de la Comunidad Menonita a Chihuahua”</w:t>
    </w:r>
  </w:p>
  <w:p w14:paraId="5FB2AF8F" w14:textId="3CA0DBFF" w:rsidR="008655A2" w:rsidRDefault="008655A2">
    <w:pPr>
      <w:pStyle w:val="Encabezado"/>
    </w:pPr>
  </w:p>
  <w:p w14:paraId="02248C4C" w14:textId="19220767" w:rsidR="008655A2" w:rsidRPr="008655A2" w:rsidRDefault="008655A2" w:rsidP="008655A2">
    <w:pPr>
      <w:pStyle w:val="Encabezado"/>
      <w:jc w:val="right"/>
      <w:rPr>
        <w:rFonts w:ascii="Abadi" w:hAnsi="Abadi"/>
      </w:rPr>
    </w:pPr>
    <w:r w:rsidRPr="008655A2">
      <w:rPr>
        <w:rFonts w:ascii="Abadi" w:hAnsi="Abadi"/>
      </w:rPr>
      <w:t>Grupo Parlamentario de MORENA.</w:t>
    </w:r>
  </w:p>
  <w:p w14:paraId="482C6279" w14:textId="77777777" w:rsidR="008655A2" w:rsidRDefault="008655A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F0ECF" w14:textId="1FB18E94" w:rsidR="005C23F9" w:rsidRPr="00C01466" w:rsidRDefault="005C23F9" w:rsidP="005C23F9">
    <w:pPr>
      <w:jc w:val="right"/>
      <w:rPr>
        <w:rFonts w:ascii="Edwardian Script ITC" w:eastAsia="Brush Script MT" w:hAnsi="Edwardian Script ITC" w:cs="Brush Script MT"/>
        <w:b/>
        <w:bCs/>
        <w:i/>
        <w:sz w:val="28"/>
        <w:szCs w:val="28"/>
      </w:rPr>
    </w:pPr>
    <w:r w:rsidRPr="008655A2">
      <w:rPr>
        <w:rFonts w:ascii="Edwardian Script ITC" w:eastAsia="Brush Script MT" w:hAnsi="Edwardian Script ITC" w:cs="Brush Script MT"/>
        <w:b/>
        <w:bCs/>
        <w:i/>
        <w:sz w:val="22"/>
        <w:szCs w:val="22"/>
      </w:rPr>
      <w:t>"</w:t>
    </w:r>
    <w:r w:rsidRPr="00C01466">
      <w:rPr>
        <w:rFonts w:ascii="Edwardian Script ITC" w:eastAsia="Brush Script MT" w:hAnsi="Edwardian Script ITC" w:cs="Brush Script MT"/>
        <w:b/>
        <w:bCs/>
        <w:i/>
        <w:sz w:val="28"/>
        <w:szCs w:val="28"/>
      </w:rPr>
      <w:t xml:space="preserve">2022, Año del Centenario de la llegada de la </w:t>
    </w:r>
    <w:r w:rsidR="00C01466">
      <w:rPr>
        <w:rFonts w:ascii="Edwardian Script ITC" w:eastAsia="Brush Script MT" w:hAnsi="Edwardian Script ITC" w:cs="Brush Script MT"/>
        <w:b/>
        <w:bCs/>
        <w:i/>
        <w:sz w:val="28"/>
        <w:szCs w:val="28"/>
      </w:rPr>
      <w:t>C</w:t>
    </w:r>
    <w:r w:rsidRPr="00C01466">
      <w:rPr>
        <w:rFonts w:ascii="Edwardian Script ITC" w:eastAsia="Brush Script MT" w:hAnsi="Edwardian Script ITC" w:cs="Brush Script MT"/>
        <w:b/>
        <w:bCs/>
        <w:i/>
        <w:sz w:val="28"/>
        <w:szCs w:val="28"/>
      </w:rPr>
      <w:t>omunidad Menonita a Chihuahua”</w:t>
    </w:r>
  </w:p>
  <w:p w14:paraId="1CE7F963" w14:textId="77777777" w:rsidR="005C23F9" w:rsidRDefault="005C23F9" w:rsidP="005C23F9">
    <w:pPr>
      <w:pStyle w:val="Encabezado"/>
    </w:pPr>
  </w:p>
  <w:p w14:paraId="0A570ACF" w14:textId="77777777" w:rsidR="005C23F9" w:rsidRPr="008655A2" w:rsidRDefault="005C23F9" w:rsidP="005C23F9">
    <w:pPr>
      <w:pStyle w:val="Encabezado"/>
      <w:jc w:val="right"/>
      <w:rPr>
        <w:rFonts w:ascii="Abadi" w:hAnsi="Abadi"/>
      </w:rPr>
    </w:pPr>
    <w:r w:rsidRPr="008655A2">
      <w:rPr>
        <w:rFonts w:ascii="Abadi" w:hAnsi="Abadi"/>
      </w:rPr>
      <w:t>Grupo Parlamentario de MORENA.</w:t>
    </w:r>
  </w:p>
  <w:p w14:paraId="48465162" w14:textId="77777777" w:rsidR="005C23F9" w:rsidRDefault="005C23F9" w:rsidP="005C23F9">
    <w:pPr>
      <w:pStyle w:val="Encabezado"/>
    </w:pPr>
  </w:p>
  <w:p w14:paraId="7B72798E" w14:textId="77777777" w:rsidR="005C23F9" w:rsidRDefault="005C23F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32A8"/>
    <w:multiLevelType w:val="multilevel"/>
    <w:tmpl w:val="445AA2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E349E"/>
    <w:multiLevelType w:val="multilevel"/>
    <w:tmpl w:val="9E78D1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A9547C"/>
    <w:multiLevelType w:val="multilevel"/>
    <w:tmpl w:val="A2FE618C"/>
    <w:lvl w:ilvl="0">
      <w:start w:val="3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201AD4"/>
    <w:multiLevelType w:val="multilevel"/>
    <w:tmpl w:val="E0001AE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92531B"/>
    <w:multiLevelType w:val="multilevel"/>
    <w:tmpl w:val="F1FC0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547E8D"/>
    <w:multiLevelType w:val="multilevel"/>
    <w:tmpl w:val="5D16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FFC34CC"/>
    <w:multiLevelType w:val="multilevel"/>
    <w:tmpl w:val="4C163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7F081F"/>
    <w:multiLevelType w:val="hybridMultilevel"/>
    <w:tmpl w:val="10FA9214"/>
    <w:lvl w:ilvl="0" w:tplc="5F4C3A32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B5"/>
    <w:rsid w:val="00006791"/>
    <w:rsid w:val="00011DA7"/>
    <w:rsid w:val="000316B1"/>
    <w:rsid w:val="000323ED"/>
    <w:rsid w:val="000507EA"/>
    <w:rsid w:val="00055B8D"/>
    <w:rsid w:val="000641DB"/>
    <w:rsid w:val="0007031A"/>
    <w:rsid w:val="00072470"/>
    <w:rsid w:val="00093F41"/>
    <w:rsid w:val="000B0BB1"/>
    <w:rsid w:val="000C17A6"/>
    <w:rsid w:val="000D783D"/>
    <w:rsid w:val="00100D3C"/>
    <w:rsid w:val="00135CE4"/>
    <w:rsid w:val="00145EB2"/>
    <w:rsid w:val="00155C60"/>
    <w:rsid w:val="00174F8D"/>
    <w:rsid w:val="00181B68"/>
    <w:rsid w:val="001A10EF"/>
    <w:rsid w:val="001A64FC"/>
    <w:rsid w:val="001B29CE"/>
    <w:rsid w:val="001B5EEB"/>
    <w:rsid w:val="001C1038"/>
    <w:rsid w:val="001C1678"/>
    <w:rsid w:val="001E55AC"/>
    <w:rsid w:val="001F1C0B"/>
    <w:rsid w:val="001F3DCE"/>
    <w:rsid w:val="00200E7B"/>
    <w:rsid w:val="00220A79"/>
    <w:rsid w:val="002440A2"/>
    <w:rsid w:val="00246E1D"/>
    <w:rsid w:val="002611A6"/>
    <w:rsid w:val="00291BBD"/>
    <w:rsid w:val="002A2D7D"/>
    <w:rsid w:val="002A2F7D"/>
    <w:rsid w:val="002A629E"/>
    <w:rsid w:val="002B0D67"/>
    <w:rsid w:val="002B5C3E"/>
    <w:rsid w:val="002C6144"/>
    <w:rsid w:val="002F0D04"/>
    <w:rsid w:val="002F1649"/>
    <w:rsid w:val="00314DA9"/>
    <w:rsid w:val="003172BF"/>
    <w:rsid w:val="00321124"/>
    <w:rsid w:val="00331FBE"/>
    <w:rsid w:val="00351523"/>
    <w:rsid w:val="00355351"/>
    <w:rsid w:val="00355EEE"/>
    <w:rsid w:val="003A4F5D"/>
    <w:rsid w:val="003A58F4"/>
    <w:rsid w:val="003C0509"/>
    <w:rsid w:val="003C541A"/>
    <w:rsid w:val="003D7A65"/>
    <w:rsid w:val="003E2B12"/>
    <w:rsid w:val="003E3F2B"/>
    <w:rsid w:val="003F2CD0"/>
    <w:rsid w:val="003F3039"/>
    <w:rsid w:val="003F66D3"/>
    <w:rsid w:val="003F6B52"/>
    <w:rsid w:val="00406AC0"/>
    <w:rsid w:val="00410AC8"/>
    <w:rsid w:val="0041424D"/>
    <w:rsid w:val="00415160"/>
    <w:rsid w:val="004234F0"/>
    <w:rsid w:val="00433C92"/>
    <w:rsid w:val="004521BD"/>
    <w:rsid w:val="00452267"/>
    <w:rsid w:val="00462A8E"/>
    <w:rsid w:val="00464FE4"/>
    <w:rsid w:val="00484BFA"/>
    <w:rsid w:val="00486338"/>
    <w:rsid w:val="00492673"/>
    <w:rsid w:val="004A7719"/>
    <w:rsid w:val="004C0227"/>
    <w:rsid w:val="004D713B"/>
    <w:rsid w:val="004E6466"/>
    <w:rsid w:val="0052362A"/>
    <w:rsid w:val="00524D8D"/>
    <w:rsid w:val="00525235"/>
    <w:rsid w:val="00531C67"/>
    <w:rsid w:val="0054303C"/>
    <w:rsid w:val="00553F0A"/>
    <w:rsid w:val="00554854"/>
    <w:rsid w:val="00560FB8"/>
    <w:rsid w:val="00562E17"/>
    <w:rsid w:val="005666EB"/>
    <w:rsid w:val="00592B1A"/>
    <w:rsid w:val="005C23F9"/>
    <w:rsid w:val="005C24D4"/>
    <w:rsid w:val="005E7320"/>
    <w:rsid w:val="005F1118"/>
    <w:rsid w:val="00603B28"/>
    <w:rsid w:val="00611E18"/>
    <w:rsid w:val="00636174"/>
    <w:rsid w:val="006422B0"/>
    <w:rsid w:val="00667CD4"/>
    <w:rsid w:val="00672986"/>
    <w:rsid w:val="00681CB8"/>
    <w:rsid w:val="00681DE4"/>
    <w:rsid w:val="00682F17"/>
    <w:rsid w:val="006A1C48"/>
    <w:rsid w:val="006C626E"/>
    <w:rsid w:val="006D0A8C"/>
    <w:rsid w:val="006E5A4E"/>
    <w:rsid w:val="006F262F"/>
    <w:rsid w:val="00706423"/>
    <w:rsid w:val="00716871"/>
    <w:rsid w:val="0073011D"/>
    <w:rsid w:val="00753D5E"/>
    <w:rsid w:val="0076688E"/>
    <w:rsid w:val="007934C9"/>
    <w:rsid w:val="00794CBA"/>
    <w:rsid w:val="007D61D3"/>
    <w:rsid w:val="00801B30"/>
    <w:rsid w:val="008138F2"/>
    <w:rsid w:val="00813EA4"/>
    <w:rsid w:val="00863255"/>
    <w:rsid w:val="008655A2"/>
    <w:rsid w:val="00874857"/>
    <w:rsid w:val="008A23EA"/>
    <w:rsid w:val="008A3281"/>
    <w:rsid w:val="008A33E3"/>
    <w:rsid w:val="008B1A03"/>
    <w:rsid w:val="008B5BC5"/>
    <w:rsid w:val="008C2F26"/>
    <w:rsid w:val="008E4D96"/>
    <w:rsid w:val="00914DB2"/>
    <w:rsid w:val="0091716E"/>
    <w:rsid w:val="009255CC"/>
    <w:rsid w:val="00933207"/>
    <w:rsid w:val="0095674C"/>
    <w:rsid w:val="0096281D"/>
    <w:rsid w:val="00966022"/>
    <w:rsid w:val="0097685E"/>
    <w:rsid w:val="0098795C"/>
    <w:rsid w:val="00990F90"/>
    <w:rsid w:val="00991A03"/>
    <w:rsid w:val="009A7277"/>
    <w:rsid w:val="009C79B5"/>
    <w:rsid w:val="009E3146"/>
    <w:rsid w:val="009F3CD2"/>
    <w:rsid w:val="00A04516"/>
    <w:rsid w:val="00A11FB6"/>
    <w:rsid w:val="00A21660"/>
    <w:rsid w:val="00A224A8"/>
    <w:rsid w:val="00A25B01"/>
    <w:rsid w:val="00A336DA"/>
    <w:rsid w:val="00A54346"/>
    <w:rsid w:val="00A92D7E"/>
    <w:rsid w:val="00AB338B"/>
    <w:rsid w:val="00AC106C"/>
    <w:rsid w:val="00B169B6"/>
    <w:rsid w:val="00B4393B"/>
    <w:rsid w:val="00B55506"/>
    <w:rsid w:val="00B63780"/>
    <w:rsid w:val="00B900B2"/>
    <w:rsid w:val="00B92032"/>
    <w:rsid w:val="00B961CA"/>
    <w:rsid w:val="00B96E99"/>
    <w:rsid w:val="00BA317D"/>
    <w:rsid w:val="00BB08AD"/>
    <w:rsid w:val="00BB5C03"/>
    <w:rsid w:val="00BD742D"/>
    <w:rsid w:val="00C01466"/>
    <w:rsid w:val="00C05CF5"/>
    <w:rsid w:val="00C05CF7"/>
    <w:rsid w:val="00C15E50"/>
    <w:rsid w:val="00C25C01"/>
    <w:rsid w:val="00C34775"/>
    <w:rsid w:val="00C40273"/>
    <w:rsid w:val="00C46E44"/>
    <w:rsid w:val="00C53604"/>
    <w:rsid w:val="00C54126"/>
    <w:rsid w:val="00C547E8"/>
    <w:rsid w:val="00C63299"/>
    <w:rsid w:val="00C6500F"/>
    <w:rsid w:val="00CA3602"/>
    <w:rsid w:val="00CB0909"/>
    <w:rsid w:val="00CC4886"/>
    <w:rsid w:val="00CE7B76"/>
    <w:rsid w:val="00CE7EBF"/>
    <w:rsid w:val="00CF48A3"/>
    <w:rsid w:val="00D032D2"/>
    <w:rsid w:val="00D14B5E"/>
    <w:rsid w:val="00D26B93"/>
    <w:rsid w:val="00D470E4"/>
    <w:rsid w:val="00D759D6"/>
    <w:rsid w:val="00D8763B"/>
    <w:rsid w:val="00D916D3"/>
    <w:rsid w:val="00DA354D"/>
    <w:rsid w:val="00DD4423"/>
    <w:rsid w:val="00DD6F54"/>
    <w:rsid w:val="00DE0C89"/>
    <w:rsid w:val="00DE0FF8"/>
    <w:rsid w:val="00DE18F7"/>
    <w:rsid w:val="00DE5534"/>
    <w:rsid w:val="00DF1260"/>
    <w:rsid w:val="00DF2607"/>
    <w:rsid w:val="00DF434B"/>
    <w:rsid w:val="00E06C8F"/>
    <w:rsid w:val="00E13237"/>
    <w:rsid w:val="00E164CF"/>
    <w:rsid w:val="00E3686F"/>
    <w:rsid w:val="00E51899"/>
    <w:rsid w:val="00E61687"/>
    <w:rsid w:val="00E6351E"/>
    <w:rsid w:val="00E9111D"/>
    <w:rsid w:val="00EC6244"/>
    <w:rsid w:val="00ED47E7"/>
    <w:rsid w:val="00F02214"/>
    <w:rsid w:val="00F103E0"/>
    <w:rsid w:val="00F111D6"/>
    <w:rsid w:val="00F25D97"/>
    <w:rsid w:val="00F30568"/>
    <w:rsid w:val="00F4210A"/>
    <w:rsid w:val="00F77A5E"/>
    <w:rsid w:val="00F83F22"/>
    <w:rsid w:val="00F9192F"/>
    <w:rsid w:val="00FA1E32"/>
    <w:rsid w:val="00FA3384"/>
    <w:rsid w:val="00FA4FCF"/>
    <w:rsid w:val="00FC4064"/>
    <w:rsid w:val="00FC423D"/>
    <w:rsid w:val="00FC56FE"/>
    <w:rsid w:val="00FC67E6"/>
    <w:rsid w:val="00FE3410"/>
    <w:rsid w:val="00FF1456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60610"/>
  <w15:chartTrackingRefBased/>
  <w15:docId w15:val="{CEB5D746-B6DE-9847-BB38-EC14B901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F0221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329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F02214"/>
    <w:rPr>
      <w:rFonts w:ascii="Times New Roman" w:eastAsia="Times New Roman" w:hAnsi="Times New Roman" w:cs="Times New Roman"/>
      <w:b/>
      <w:bCs/>
      <w:lang w:eastAsia="es-MX"/>
    </w:rPr>
  </w:style>
  <w:style w:type="character" w:styleId="Textoennegrita">
    <w:name w:val="Strong"/>
    <w:basedOn w:val="Fuentedeprrafopredeter"/>
    <w:uiPriority w:val="22"/>
    <w:qFormat/>
    <w:rsid w:val="00F02214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655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55A2"/>
  </w:style>
  <w:style w:type="paragraph" w:styleId="Piedepgina">
    <w:name w:val="footer"/>
    <w:basedOn w:val="Normal"/>
    <w:link w:val="PiedepginaCar"/>
    <w:uiPriority w:val="99"/>
    <w:unhideWhenUsed/>
    <w:rsid w:val="008655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55A2"/>
  </w:style>
  <w:style w:type="character" w:styleId="Nmerodepgina">
    <w:name w:val="page number"/>
    <w:basedOn w:val="Fuentedeprrafopredeter"/>
    <w:uiPriority w:val="99"/>
    <w:semiHidden/>
    <w:unhideWhenUsed/>
    <w:rsid w:val="0095674C"/>
  </w:style>
  <w:style w:type="paragraph" w:styleId="Prrafodelista">
    <w:name w:val="List Paragraph"/>
    <w:basedOn w:val="Normal"/>
    <w:uiPriority w:val="34"/>
    <w:qFormat/>
    <w:rsid w:val="008A328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F164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16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6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6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9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5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8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7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4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7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77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1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9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0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4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1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5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4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3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3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9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3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0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9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4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4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2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6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2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0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7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4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3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3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2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4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9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5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5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3E63E5-8F30-499B-95EC-A4F3DC417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1472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L. González</dc:creator>
  <cp:keywords/>
  <dc:description/>
  <cp:lastModifiedBy>Laura Lorena González García</cp:lastModifiedBy>
  <cp:revision>3</cp:revision>
  <cp:lastPrinted>2022-04-05T19:20:00Z</cp:lastPrinted>
  <dcterms:created xsi:type="dcterms:W3CDTF">2022-04-05T17:53:00Z</dcterms:created>
  <dcterms:modified xsi:type="dcterms:W3CDTF">2022-04-05T19:54:00Z</dcterms:modified>
</cp:coreProperties>
</file>