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EFE99" w14:textId="25B0139F" w:rsidR="00BE4AF5" w:rsidRPr="00D14FCC" w:rsidRDefault="00BE4AF5" w:rsidP="00D14FCC">
      <w:pPr>
        <w:spacing w:before="240" w:after="240"/>
        <w:jc w:val="both"/>
        <w:rPr>
          <w:rFonts w:ascii="Century Gothic" w:eastAsia="Montserrat" w:hAnsi="Century Gothic" w:cs="Montserrat"/>
          <w:b/>
          <w:sz w:val="24"/>
          <w:szCs w:val="24"/>
        </w:rPr>
      </w:pPr>
      <w:r w:rsidRPr="00D14FCC">
        <w:rPr>
          <w:rFonts w:ascii="Century Gothic" w:hAnsi="Century Gothic"/>
          <w:b/>
          <w:bCs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D7BDF" wp14:editId="4D31EAEA">
                <wp:simplePos x="0" y="0"/>
                <wp:positionH relativeFrom="margin">
                  <wp:align>right</wp:align>
                </wp:positionH>
                <wp:positionV relativeFrom="paragraph">
                  <wp:posOffset>-733425</wp:posOffset>
                </wp:positionV>
                <wp:extent cx="2921000" cy="1261533"/>
                <wp:effectExtent l="0" t="0" r="12700" b="152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12615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9926C" w14:textId="75E62978" w:rsidR="00BE4AF5" w:rsidRDefault="00BE4AF5" w:rsidP="00BE4AF5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Asunto: Exhorto al Comité de Moléculas Nuevas y a la Cámara de Diputados del Congreso de la Unión para que requiera la comparecencia del Titular de la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COFEPRIS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>.</w:t>
                            </w:r>
                          </w:p>
                          <w:p w14:paraId="1B531074" w14:textId="77777777" w:rsidR="00BE4AF5" w:rsidRPr="00812C9F" w:rsidRDefault="00BE4AF5" w:rsidP="00BE4AF5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ED7BD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8.8pt;margin-top:-57.75pt;width:230pt;height:99.3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" fillcolor="white [3201]" strokecolor="black [3200]" strokeweight="2pt">
                <v:textbox>
                  <w:txbxContent>
                    <w:p w14:paraId="2459926C" w14:textId="75E62978" w:rsidR="00BE4AF5" w:rsidRDefault="00BE4AF5" w:rsidP="00BE4AF5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Asunto: Exhorto al Comité de Moléculas Nuevas y a la Cámara de Diputados del Congreso de la Unión para que requiera la comparecencia del Titular de la COFEPRIS.</w:t>
                      </w:r>
                    </w:p>
                    <w:p w14:paraId="1B531074" w14:textId="77777777" w:rsidR="00BE4AF5" w:rsidRPr="00812C9F" w:rsidRDefault="00BE4AF5" w:rsidP="00BE4AF5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010CF8" w14:textId="77777777" w:rsidR="001C286C" w:rsidRPr="00D14FCC" w:rsidRDefault="001C286C" w:rsidP="00D14FCC">
      <w:pPr>
        <w:spacing w:before="240" w:after="240"/>
        <w:jc w:val="both"/>
        <w:rPr>
          <w:rFonts w:ascii="Century Gothic" w:eastAsia="Montserrat" w:hAnsi="Century Gothic" w:cs="Montserrat"/>
          <w:b/>
          <w:sz w:val="24"/>
          <w:szCs w:val="24"/>
        </w:rPr>
      </w:pPr>
    </w:p>
    <w:p w14:paraId="0F5EE334" w14:textId="365A01BA" w:rsidR="00BE7FC5" w:rsidRPr="00D14FCC" w:rsidRDefault="004862E6" w:rsidP="00D14FCC">
      <w:pPr>
        <w:spacing w:line="240" w:lineRule="auto"/>
        <w:jc w:val="both"/>
        <w:rPr>
          <w:rFonts w:ascii="Century Gothic" w:eastAsia="Montserrat" w:hAnsi="Century Gothic" w:cs="Montserrat"/>
          <w:b/>
          <w:sz w:val="24"/>
          <w:szCs w:val="24"/>
        </w:rPr>
      </w:pPr>
      <w:r w:rsidRPr="00D14FCC">
        <w:rPr>
          <w:rFonts w:ascii="Century Gothic" w:eastAsia="Montserrat" w:hAnsi="Century Gothic" w:cs="Montserrat"/>
          <w:b/>
          <w:sz w:val="24"/>
          <w:szCs w:val="24"/>
        </w:rPr>
        <w:t>H. CONGRESO DEL ESTADO DE CHIHUAHUA</w:t>
      </w:r>
    </w:p>
    <w:p w14:paraId="77A890B5" w14:textId="366CD2B0" w:rsidR="00BE7FC5" w:rsidRDefault="004862E6" w:rsidP="00D14FCC">
      <w:pPr>
        <w:spacing w:line="240" w:lineRule="auto"/>
        <w:jc w:val="both"/>
        <w:rPr>
          <w:rFonts w:ascii="Century Gothic" w:eastAsia="Montserrat" w:hAnsi="Century Gothic" w:cs="Montserrat"/>
          <w:b/>
          <w:sz w:val="24"/>
          <w:szCs w:val="24"/>
        </w:rPr>
      </w:pPr>
      <w:r w:rsidRPr="00D14FCC">
        <w:rPr>
          <w:rFonts w:ascii="Century Gothic" w:eastAsia="Montserrat" w:hAnsi="Century Gothic" w:cs="Montserrat"/>
          <w:b/>
          <w:sz w:val="24"/>
          <w:szCs w:val="24"/>
        </w:rPr>
        <w:t xml:space="preserve">PRESENTE.- </w:t>
      </w:r>
    </w:p>
    <w:p w14:paraId="07DB7C23" w14:textId="77777777" w:rsidR="00D14FCC" w:rsidRPr="00D14FCC" w:rsidRDefault="00D14FCC" w:rsidP="00D14FCC">
      <w:pPr>
        <w:spacing w:line="240" w:lineRule="auto"/>
        <w:jc w:val="both"/>
        <w:rPr>
          <w:rFonts w:ascii="Century Gothic" w:eastAsia="Montserrat" w:hAnsi="Century Gothic" w:cs="Montserrat"/>
          <w:b/>
          <w:sz w:val="24"/>
          <w:szCs w:val="24"/>
        </w:rPr>
      </w:pPr>
    </w:p>
    <w:p w14:paraId="40645A11" w14:textId="3DB1D8ED" w:rsidR="00BE7FC5" w:rsidRPr="00D14FCC" w:rsidRDefault="004862E6" w:rsidP="00D14FCC">
      <w:pPr>
        <w:spacing w:before="240" w:after="240"/>
        <w:jc w:val="both"/>
        <w:rPr>
          <w:rFonts w:ascii="Century Gothic" w:eastAsia="Montserrat" w:hAnsi="Century Gothic" w:cs="Montserrat"/>
          <w:sz w:val="24"/>
          <w:szCs w:val="24"/>
        </w:rPr>
      </w:pPr>
      <w:r w:rsidRPr="00D14FCC">
        <w:rPr>
          <w:rFonts w:ascii="Century Gothic" w:eastAsia="Montserrat" w:hAnsi="Century Gothic" w:cs="Montserrat"/>
          <w:b/>
          <w:sz w:val="24"/>
          <w:szCs w:val="24"/>
        </w:rPr>
        <w:t xml:space="preserve">        </w:t>
      </w:r>
      <w:r w:rsidRPr="00D14FCC">
        <w:rPr>
          <w:rFonts w:ascii="Century Gothic" w:eastAsia="Montserrat" w:hAnsi="Century Gothic" w:cs="Montserrat"/>
          <w:b/>
          <w:sz w:val="24"/>
          <w:szCs w:val="24"/>
        </w:rPr>
        <w:tab/>
        <w:t xml:space="preserve">FRANCISCO ADRIÁN SÁNCHEZ VILLEGAS, </w:t>
      </w:r>
      <w:r w:rsidRPr="00D14FCC">
        <w:rPr>
          <w:rFonts w:ascii="Century Gothic" w:eastAsia="Montserrat" w:hAnsi="Century Gothic" w:cs="Montserrat"/>
          <w:sz w:val="24"/>
          <w:szCs w:val="24"/>
        </w:rPr>
        <w:t>en representación del Grupo Parlamentario de Movimiento Ciudadano de la Sexagésima Séptima Legislatura y</w:t>
      </w:r>
      <w:r w:rsidR="001C286C" w:rsidRPr="00D14FCC">
        <w:rPr>
          <w:rFonts w:ascii="Century Gothic" w:eastAsia="Montserrat" w:hAnsi="Century Gothic" w:cs="Montserrat"/>
          <w:sz w:val="24"/>
          <w:szCs w:val="24"/>
        </w:rPr>
        <w:t>,</w:t>
      </w:r>
      <w:r w:rsidRPr="00D14FCC">
        <w:rPr>
          <w:rFonts w:ascii="Century Gothic" w:eastAsia="Montserrat" w:hAnsi="Century Gothic" w:cs="Montserrat"/>
          <w:sz w:val="24"/>
          <w:szCs w:val="24"/>
        </w:rPr>
        <w:t xml:space="preserve"> con fundamento en los arábigos 64 fracciones I y II, 68 fracción I de la Constitución Política del Estado de Chihuahua, asimismo la fracción I del artículo 167 y 169 de la Ley Orgánica del Poder Legislativo del Estado de Chihuahua, comparezco ante esta Honorable Representación Popular para presentar iniciativa de </w:t>
      </w:r>
      <w:r w:rsidRPr="00D14FCC">
        <w:rPr>
          <w:rFonts w:ascii="Century Gothic" w:eastAsia="Montserrat" w:hAnsi="Century Gothic" w:cs="Montserrat"/>
          <w:b/>
          <w:sz w:val="24"/>
          <w:szCs w:val="24"/>
        </w:rPr>
        <w:t>Punto de Acuerdo con carácter de urgente resolución</w:t>
      </w:r>
      <w:r w:rsidRPr="00D14FCC">
        <w:rPr>
          <w:rFonts w:ascii="Century Gothic" w:eastAsia="Montserrat" w:hAnsi="Century Gothic" w:cs="Montserrat"/>
          <w:sz w:val="24"/>
          <w:szCs w:val="24"/>
        </w:rPr>
        <w:t xml:space="preserve">, con el fin de exhortar al Titular del Comité de Moléculas Nuevas así como a la Cámara de Diputados del Congreso de la Unión a fin de que requieran la comparecencia </w:t>
      </w:r>
      <w:r w:rsidR="00FE5A61" w:rsidRPr="00D14FCC">
        <w:rPr>
          <w:rFonts w:ascii="Century Gothic" w:eastAsia="Montserrat" w:hAnsi="Century Gothic" w:cs="Montserrat"/>
          <w:sz w:val="24"/>
          <w:szCs w:val="24"/>
        </w:rPr>
        <w:t>del</w:t>
      </w:r>
      <w:r w:rsidRPr="00D14FCC">
        <w:rPr>
          <w:rFonts w:ascii="Century Gothic" w:eastAsia="Montserrat" w:hAnsi="Century Gothic" w:cs="Montserrat"/>
          <w:sz w:val="24"/>
          <w:szCs w:val="24"/>
        </w:rPr>
        <w:t xml:space="preserve"> Titularidad de la </w:t>
      </w:r>
      <w:proofErr w:type="spellStart"/>
      <w:r w:rsidRPr="00D14FCC">
        <w:rPr>
          <w:rFonts w:ascii="Century Gothic" w:eastAsia="Montserrat" w:hAnsi="Century Gothic" w:cs="Montserrat"/>
          <w:sz w:val="24"/>
          <w:szCs w:val="24"/>
        </w:rPr>
        <w:t>COFEPRIS</w:t>
      </w:r>
      <w:proofErr w:type="spellEnd"/>
      <w:r w:rsidRPr="00D14FCC">
        <w:rPr>
          <w:rFonts w:ascii="Century Gothic" w:eastAsia="Montserrat" w:hAnsi="Century Gothic" w:cs="Montserrat"/>
          <w:sz w:val="24"/>
          <w:szCs w:val="24"/>
        </w:rPr>
        <w:t xml:space="preserve"> para que informe los motivos por los que </w:t>
      </w:r>
      <w:r w:rsidR="00FE5A61" w:rsidRPr="00D14FCC">
        <w:rPr>
          <w:rFonts w:ascii="Century Gothic" w:eastAsia="Montserrat" w:hAnsi="Century Gothic" w:cs="Montserrat"/>
          <w:sz w:val="24"/>
          <w:szCs w:val="24"/>
        </w:rPr>
        <w:t>se ha omitido aprobar</w:t>
      </w:r>
      <w:r w:rsidRPr="00D14FCC">
        <w:rPr>
          <w:rFonts w:ascii="Century Gothic" w:eastAsia="Montserrat" w:hAnsi="Century Gothic" w:cs="Montserrat"/>
          <w:sz w:val="24"/>
          <w:szCs w:val="24"/>
        </w:rPr>
        <w:t xml:space="preserve"> la vacuna para menores de </w:t>
      </w:r>
      <w:r w:rsidR="00FE5A61" w:rsidRPr="00D14FCC">
        <w:rPr>
          <w:rFonts w:ascii="Century Gothic" w:eastAsia="Montserrat" w:hAnsi="Century Gothic" w:cs="Montserrat"/>
          <w:sz w:val="24"/>
          <w:szCs w:val="24"/>
        </w:rPr>
        <w:t>5 a 11</w:t>
      </w:r>
      <w:r w:rsidRPr="00D14FCC">
        <w:rPr>
          <w:rFonts w:ascii="Century Gothic" w:eastAsia="Montserrat" w:hAnsi="Century Gothic" w:cs="Montserrat"/>
          <w:sz w:val="24"/>
          <w:szCs w:val="24"/>
        </w:rPr>
        <w:t xml:space="preserve"> años.</w:t>
      </w:r>
    </w:p>
    <w:p w14:paraId="055C33BD" w14:textId="6ADBE200" w:rsidR="00BE7FC5" w:rsidRPr="00D14FCC" w:rsidRDefault="004862E6" w:rsidP="00D14FCC">
      <w:pPr>
        <w:spacing w:before="240" w:after="240"/>
        <w:jc w:val="both"/>
        <w:rPr>
          <w:rFonts w:ascii="Century Gothic" w:eastAsia="Montserrat" w:hAnsi="Century Gothic" w:cs="Montserrat"/>
          <w:sz w:val="24"/>
          <w:szCs w:val="24"/>
        </w:rPr>
      </w:pPr>
      <w:r w:rsidRPr="00D14FCC">
        <w:rPr>
          <w:rFonts w:ascii="Century Gothic" w:eastAsia="Montserrat" w:hAnsi="Century Gothic" w:cs="Montserrat"/>
          <w:sz w:val="24"/>
          <w:szCs w:val="24"/>
        </w:rPr>
        <w:t xml:space="preserve">        </w:t>
      </w:r>
      <w:r w:rsidRPr="00D14FCC">
        <w:rPr>
          <w:rFonts w:ascii="Century Gothic" w:eastAsia="Montserrat" w:hAnsi="Century Gothic" w:cs="Montserrat"/>
          <w:sz w:val="24"/>
          <w:szCs w:val="24"/>
        </w:rPr>
        <w:tab/>
        <w:t>Lo anterior, de conformidad con la siguiente:</w:t>
      </w:r>
    </w:p>
    <w:p w14:paraId="3CA24516" w14:textId="77777777" w:rsidR="00D108E4" w:rsidRPr="00D14FCC" w:rsidRDefault="00D108E4" w:rsidP="00D14FCC">
      <w:pPr>
        <w:pStyle w:val="Ttulo1"/>
        <w:keepNext w:val="0"/>
        <w:keepLines w:val="0"/>
        <w:spacing w:before="480"/>
        <w:jc w:val="center"/>
        <w:rPr>
          <w:rFonts w:ascii="Century Gothic" w:eastAsia="Montserrat" w:hAnsi="Century Gothic" w:cs="Montserrat"/>
          <w:b/>
          <w:sz w:val="24"/>
          <w:szCs w:val="24"/>
        </w:rPr>
      </w:pPr>
      <w:bookmarkStart w:id="0" w:name="_hb742oynrzba" w:colFirst="0" w:colLast="0"/>
      <w:bookmarkStart w:id="1" w:name="_GoBack"/>
      <w:bookmarkEnd w:id="0"/>
      <w:bookmarkEnd w:id="1"/>
    </w:p>
    <w:p w14:paraId="3D399501" w14:textId="00DD1604" w:rsidR="00BE7FC5" w:rsidRPr="00D14FCC" w:rsidRDefault="004862E6" w:rsidP="00D14FCC">
      <w:pPr>
        <w:pStyle w:val="Ttulo1"/>
        <w:keepNext w:val="0"/>
        <w:keepLines w:val="0"/>
        <w:spacing w:before="480"/>
        <w:jc w:val="center"/>
        <w:rPr>
          <w:rFonts w:ascii="Century Gothic" w:eastAsia="Montserrat" w:hAnsi="Century Gothic" w:cs="Montserrat"/>
          <w:b/>
          <w:sz w:val="24"/>
          <w:szCs w:val="24"/>
        </w:rPr>
      </w:pPr>
      <w:r w:rsidRPr="00D14FCC">
        <w:rPr>
          <w:rFonts w:ascii="Century Gothic" w:eastAsia="Montserrat" w:hAnsi="Century Gothic" w:cs="Montserrat"/>
          <w:b/>
          <w:sz w:val="24"/>
          <w:szCs w:val="24"/>
        </w:rPr>
        <w:t>EXPOSICIÓN DE MOTIVOS:</w:t>
      </w:r>
    </w:p>
    <w:p w14:paraId="65161BCE" w14:textId="77777777" w:rsidR="00BE7FC5" w:rsidRPr="00D14FCC" w:rsidRDefault="00BE7FC5" w:rsidP="00D14FCC">
      <w:pPr>
        <w:rPr>
          <w:rFonts w:ascii="Century Gothic" w:eastAsia="Montserrat" w:hAnsi="Century Gothic" w:cs="Montserrat"/>
          <w:sz w:val="24"/>
          <w:szCs w:val="24"/>
        </w:rPr>
      </w:pPr>
    </w:p>
    <w:p w14:paraId="1C35A2E0" w14:textId="107A0C0B" w:rsidR="00BE7FC5" w:rsidRPr="00D14FCC" w:rsidRDefault="004862E6" w:rsidP="00D14FCC">
      <w:pPr>
        <w:numPr>
          <w:ilvl w:val="0"/>
          <w:numId w:val="1"/>
        </w:numPr>
        <w:jc w:val="both"/>
        <w:rPr>
          <w:rFonts w:ascii="Century Gothic" w:eastAsia="Montserrat" w:hAnsi="Century Gothic" w:cs="Montserrat"/>
          <w:sz w:val="24"/>
          <w:szCs w:val="24"/>
        </w:rPr>
      </w:pPr>
      <w:r w:rsidRPr="00D14FCC">
        <w:rPr>
          <w:rFonts w:ascii="Century Gothic" w:eastAsia="Montserrat" w:hAnsi="Century Gothic" w:cs="Montserrat"/>
          <w:sz w:val="24"/>
          <w:szCs w:val="24"/>
        </w:rPr>
        <w:t xml:space="preserve">La Comisión Federal para la Protección contra Riesgos Sanitarios es la encargada de </w:t>
      </w:r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proteger a la población contra riesgos a la salud provocados por el uso y consumo de bienes y servicios, insumos para la salud, así como por su exposición a factores ambientales y laborales, la ocurrencia de emergencias sanitarias y la prestación de servicios de salud mediante la regulación, control y prevención de riesgos sanitarios.</w:t>
      </w:r>
    </w:p>
    <w:p w14:paraId="50B63A93" w14:textId="77777777" w:rsidR="00BE7FC5" w:rsidRPr="00D14FCC" w:rsidRDefault="00BE7FC5" w:rsidP="00D14FCC">
      <w:pPr>
        <w:ind w:left="720"/>
        <w:jc w:val="both"/>
        <w:rPr>
          <w:rFonts w:ascii="Century Gothic" w:eastAsia="Montserrat" w:hAnsi="Century Gothic" w:cs="Montserrat"/>
          <w:sz w:val="24"/>
          <w:szCs w:val="24"/>
          <w:highlight w:val="white"/>
        </w:rPr>
      </w:pPr>
    </w:p>
    <w:p w14:paraId="79F1F303" w14:textId="16E83ED2" w:rsidR="00BE7FC5" w:rsidRPr="00D14FCC" w:rsidRDefault="004862E6" w:rsidP="00D14FCC">
      <w:pPr>
        <w:numPr>
          <w:ilvl w:val="0"/>
          <w:numId w:val="1"/>
        </w:numPr>
        <w:jc w:val="both"/>
        <w:rPr>
          <w:rFonts w:ascii="Century Gothic" w:eastAsia="Montserrat" w:hAnsi="Century Gothic" w:cs="Montserrat"/>
          <w:sz w:val="24"/>
          <w:szCs w:val="24"/>
          <w:highlight w:val="white"/>
        </w:rPr>
      </w:pPr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La </w:t>
      </w:r>
      <w:proofErr w:type="spellStart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Cofepris</w:t>
      </w:r>
      <w:proofErr w:type="spellEnd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 dictaminó procedente la autorización para uso de emergencia de las vacunas contra del virus del </w:t>
      </w:r>
      <w:proofErr w:type="spellStart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SARS</w:t>
      </w:r>
      <w:proofErr w:type="spellEnd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-</w:t>
      </w:r>
      <w:proofErr w:type="spellStart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CoV</w:t>
      </w:r>
      <w:proofErr w:type="spellEnd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-2. Las autorizaciones que emite esta comisión forman parte de la Estrategia </w:t>
      </w:r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lastRenderedPageBreak/>
        <w:t>Nacional de Regulación Sanitaria que permite revisar y dar acceso al mayor número de insumos para la salud, siempre y cuando se compruebe la calidad, seguridad y eficacia del producto.</w:t>
      </w:r>
    </w:p>
    <w:p w14:paraId="5204C395" w14:textId="77777777" w:rsidR="00BE7FC5" w:rsidRPr="00D14FCC" w:rsidRDefault="00BE7FC5" w:rsidP="00D14FCC">
      <w:pPr>
        <w:ind w:left="720"/>
        <w:jc w:val="both"/>
        <w:rPr>
          <w:rFonts w:ascii="Century Gothic" w:eastAsia="Montserrat" w:hAnsi="Century Gothic" w:cs="Montserrat"/>
          <w:sz w:val="24"/>
          <w:szCs w:val="24"/>
          <w:highlight w:val="white"/>
        </w:rPr>
      </w:pPr>
    </w:p>
    <w:p w14:paraId="18275B14" w14:textId="6F8D0EFE" w:rsidR="00BE7FC5" w:rsidRPr="00D14FCC" w:rsidRDefault="004862E6" w:rsidP="00D14FCC">
      <w:pPr>
        <w:numPr>
          <w:ilvl w:val="0"/>
          <w:numId w:val="1"/>
        </w:numPr>
        <w:jc w:val="both"/>
        <w:rPr>
          <w:rFonts w:ascii="Century Gothic" w:eastAsia="Montserrat" w:hAnsi="Century Gothic" w:cs="Montserrat"/>
          <w:sz w:val="24"/>
          <w:szCs w:val="24"/>
          <w:highlight w:val="white"/>
        </w:rPr>
      </w:pPr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El Comité de Moléculas Nuevas (</w:t>
      </w:r>
      <w:proofErr w:type="spellStart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CMN</w:t>
      </w:r>
      <w:proofErr w:type="spellEnd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) sesionó sobre el uso de este biológico, el cual recibió una opinión técnica favorable por parte de las y los expertos.  Después de integrar la opinión del </w:t>
      </w:r>
      <w:proofErr w:type="spellStart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CMN</w:t>
      </w:r>
      <w:proofErr w:type="spellEnd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 e ingresar la solicitud de autorización para uso de emergencia ante </w:t>
      </w:r>
      <w:proofErr w:type="spellStart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Cofepris</w:t>
      </w:r>
      <w:proofErr w:type="spellEnd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, personal especializado en vacunas analizó los expedientes, certificando que el biológico cumple los requisitos de calidad, seguridad y eficacia necesarios para ser aplicado.</w:t>
      </w:r>
    </w:p>
    <w:p w14:paraId="38DDBA19" w14:textId="38412839" w:rsidR="00BE7FC5" w:rsidRPr="00D14FCC" w:rsidRDefault="004862E6" w:rsidP="00D14FCC">
      <w:pPr>
        <w:numPr>
          <w:ilvl w:val="0"/>
          <w:numId w:val="1"/>
        </w:numPr>
        <w:shd w:val="clear" w:color="auto" w:fill="FFFFFF"/>
        <w:spacing w:before="280" w:after="400"/>
        <w:jc w:val="both"/>
        <w:rPr>
          <w:rFonts w:ascii="Century Gothic" w:eastAsia="Montserrat" w:hAnsi="Century Gothic" w:cs="Montserrat"/>
          <w:sz w:val="24"/>
          <w:szCs w:val="24"/>
          <w:highlight w:val="white"/>
        </w:rPr>
      </w:pPr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A continuación, se muestran las vacunas contra </w:t>
      </w:r>
      <w:proofErr w:type="spellStart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COVID</w:t>
      </w:r>
      <w:proofErr w:type="spellEnd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-19 a las cuales </w:t>
      </w:r>
      <w:proofErr w:type="spellStart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Cofepris</w:t>
      </w:r>
      <w:proofErr w:type="spellEnd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 ha otorgado autorizaciones para uso de emergencia:</w:t>
      </w:r>
    </w:p>
    <w:p w14:paraId="36B0DFBC" w14:textId="77777777" w:rsidR="00D108E4" w:rsidRPr="00D14FCC" w:rsidRDefault="00D108E4" w:rsidP="00D14FCC">
      <w:pPr>
        <w:shd w:val="clear" w:color="auto" w:fill="FFFFFF"/>
        <w:spacing w:before="280" w:after="400"/>
        <w:jc w:val="both"/>
        <w:rPr>
          <w:rFonts w:ascii="Century Gothic" w:eastAsia="Montserrat" w:hAnsi="Century Gothic" w:cs="Montserrat"/>
          <w:sz w:val="24"/>
          <w:szCs w:val="24"/>
          <w:highlight w:val="white"/>
        </w:rPr>
      </w:pPr>
    </w:p>
    <w:tbl>
      <w:tblPr>
        <w:tblStyle w:val="a"/>
        <w:tblW w:w="8865" w:type="dxa"/>
        <w:jc w:val="center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1920"/>
        <w:gridCol w:w="1965"/>
        <w:gridCol w:w="1815"/>
        <w:gridCol w:w="1560"/>
      </w:tblGrid>
      <w:tr w:rsidR="00BE7FC5" w:rsidRPr="00D14FCC" w14:paraId="6C59A3EA" w14:textId="77777777">
        <w:trPr>
          <w:trHeight w:val="2070"/>
          <w:jc w:val="center"/>
        </w:trPr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34E3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b/>
                <w:sz w:val="24"/>
                <w:szCs w:val="24"/>
                <w:highlight w:val="white"/>
              </w:rPr>
              <w:t>Fecha de autorización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C036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highlight w:val="white"/>
              </w:rPr>
            </w:pPr>
            <w:proofErr w:type="spellStart"/>
            <w:r w:rsidRPr="00D14FCC">
              <w:rPr>
                <w:rFonts w:ascii="Century Gothic" w:eastAsia="Montserrat" w:hAnsi="Century Gothic" w:cs="Montserrat"/>
                <w:b/>
                <w:sz w:val="24"/>
                <w:szCs w:val="24"/>
                <w:highlight w:val="white"/>
              </w:rPr>
              <w:t>Biofármaco</w:t>
            </w:r>
            <w:proofErr w:type="spellEnd"/>
          </w:p>
        </w:tc>
        <w:tc>
          <w:tcPr>
            <w:tcW w:w="1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7FA0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b/>
                <w:sz w:val="24"/>
                <w:szCs w:val="24"/>
                <w:highlight w:val="white"/>
              </w:rPr>
              <w:t>Nombre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1D2E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b/>
                <w:sz w:val="24"/>
                <w:szCs w:val="24"/>
                <w:highlight w:val="white"/>
              </w:rPr>
              <w:t>Plataforma de diseño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3185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b/>
                <w:sz w:val="24"/>
                <w:szCs w:val="24"/>
                <w:highlight w:val="white"/>
              </w:rPr>
              <w:t>Dosis de esquema completo</w:t>
            </w:r>
          </w:p>
        </w:tc>
      </w:tr>
      <w:tr w:rsidR="00BE7FC5" w:rsidRPr="00D14FCC" w14:paraId="01B0A2BC" w14:textId="77777777">
        <w:trPr>
          <w:trHeight w:val="1605"/>
          <w:jc w:val="center"/>
        </w:trPr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37BA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11/12/2020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ADD0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BNT162b2</w:t>
            </w:r>
            <w:proofErr w:type="spellEnd"/>
          </w:p>
        </w:tc>
        <w:tc>
          <w:tcPr>
            <w:tcW w:w="1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FD32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Pfizer-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BioNTech</w:t>
            </w:r>
            <w:proofErr w:type="spellEnd"/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5217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ARN mensajero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7F78D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              2</w:t>
            </w:r>
          </w:p>
        </w:tc>
      </w:tr>
      <w:tr w:rsidR="00BE7FC5" w:rsidRPr="00D14FCC" w14:paraId="29EC5636" w14:textId="77777777">
        <w:trPr>
          <w:trHeight w:val="1605"/>
          <w:jc w:val="center"/>
        </w:trPr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B6D9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04/01/2021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697A6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AZD1222</w:t>
            </w:r>
            <w:proofErr w:type="spellEnd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Covishield</w:t>
            </w:r>
            <w:proofErr w:type="spellEnd"/>
          </w:p>
        </w:tc>
        <w:tc>
          <w:tcPr>
            <w:tcW w:w="1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48C9A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AstraZeneca</w:t>
            </w:r>
            <w:proofErr w:type="spellEnd"/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2CCDB" w14:textId="66BEB091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Vector viral no replicante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9D064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             2</w:t>
            </w:r>
          </w:p>
        </w:tc>
      </w:tr>
      <w:tr w:rsidR="00BE7FC5" w:rsidRPr="00D14FCC" w14:paraId="46FF118C" w14:textId="77777777">
        <w:trPr>
          <w:trHeight w:val="1605"/>
          <w:jc w:val="center"/>
        </w:trPr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0CD6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lastRenderedPageBreak/>
              <w:t xml:space="preserve"> 08/02/2021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D68ED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Ad5-nCoV</w:t>
            </w:r>
            <w:proofErr w:type="spellEnd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Covidecia</w:t>
            </w:r>
            <w:proofErr w:type="spellEnd"/>
          </w:p>
        </w:tc>
        <w:tc>
          <w:tcPr>
            <w:tcW w:w="1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1740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CanSino</w:t>
            </w:r>
            <w:proofErr w:type="spellEnd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Biologics</w:t>
            </w:r>
            <w:proofErr w:type="spellEnd"/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D335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Vector viral no replicante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73BD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            1</w:t>
            </w:r>
          </w:p>
        </w:tc>
      </w:tr>
      <w:tr w:rsidR="00BE7FC5" w:rsidRPr="00D14FCC" w14:paraId="0D91CDB0" w14:textId="77777777">
        <w:trPr>
          <w:trHeight w:val="1605"/>
          <w:jc w:val="center"/>
        </w:trPr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F350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09/02/2021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31A88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Gam-COVID-Vac</w:t>
            </w:r>
            <w:proofErr w:type="spellEnd"/>
          </w:p>
        </w:tc>
        <w:tc>
          <w:tcPr>
            <w:tcW w:w="1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D9E69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Sputnik</w:t>
            </w:r>
            <w:proofErr w:type="spellEnd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V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F52A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Vector viral no replicante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2FFD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            2</w:t>
            </w:r>
          </w:p>
        </w:tc>
      </w:tr>
      <w:tr w:rsidR="00BE7FC5" w:rsidRPr="00D14FCC" w14:paraId="65F3868C" w14:textId="77777777">
        <w:trPr>
          <w:trHeight w:val="1605"/>
          <w:jc w:val="center"/>
        </w:trPr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8512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09/02/2021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9DCDC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Coronavac</w:t>
            </w:r>
            <w:proofErr w:type="spellEnd"/>
          </w:p>
        </w:tc>
        <w:tc>
          <w:tcPr>
            <w:tcW w:w="1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84D0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Sinovac</w:t>
            </w:r>
            <w:proofErr w:type="spellEnd"/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615CC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Virus inactivado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3C28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            2</w:t>
            </w:r>
          </w:p>
        </w:tc>
      </w:tr>
      <w:tr w:rsidR="00BE7FC5" w:rsidRPr="00D14FCC" w14:paraId="554667EB" w14:textId="77777777">
        <w:trPr>
          <w:trHeight w:val="1605"/>
          <w:jc w:val="center"/>
        </w:trPr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95A8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06/04/2021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31DFB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BBV152</w:t>
            </w:r>
            <w:proofErr w:type="spellEnd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Covaxin</w:t>
            </w:r>
            <w:proofErr w:type="spellEnd"/>
          </w:p>
        </w:tc>
        <w:tc>
          <w:tcPr>
            <w:tcW w:w="1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F8C0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Covaxin</w:t>
            </w:r>
            <w:proofErr w:type="spellEnd"/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E466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Virus inactivado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E043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            2</w:t>
            </w:r>
          </w:p>
        </w:tc>
      </w:tr>
      <w:tr w:rsidR="00BE7FC5" w:rsidRPr="00D14FCC" w14:paraId="58F32B80" w14:textId="77777777">
        <w:trPr>
          <w:trHeight w:val="2460"/>
          <w:jc w:val="center"/>
        </w:trPr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D8CB3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27/05/2021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58D6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Ad26.COV2</w:t>
            </w:r>
            <w:proofErr w:type="spellEnd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-S</w:t>
            </w:r>
          </w:p>
        </w:tc>
        <w:tc>
          <w:tcPr>
            <w:tcW w:w="1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F137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Janssen</w:t>
            </w:r>
            <w:proofErr w:type="spellEnd"/>
          </w:p>
          <w:p w14:paraId="4A91C543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(Johnson &amp; Johnson)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85F6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Vector viral no replicante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1A6B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           1</w:t>
            </w:r>
          </w:p>
        </w:tc>
      </w:tr>
      <w:tr w:rsidR="00BE7FC5" w:rsidRPr="00D14FCC" w14:paraId="2289D044" w14:textId="77777777">
        <w:trPr>
          <w:trHeight w:val="1605"/>
          <w:jc w:val="center"/>
        </w:trPr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A2EC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17/08/21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F960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SPIKEVAX</w:t>
            </w:r>
            <w:proofErr w:type="spellEnd"/>
          </w:p>
        </w:tc>
        <w:tc>
          <w:tcPr>
            <w:tcW w:w="1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18FD8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Moderna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8459B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ARN mensajero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3A21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           2</w:t>
            </w:r>
          </w:p>
        </w:tc>
      </w:tr>
      <w:tr w:rsidR="00BE7FC5" w:rsidRPr="00D14FCC" w14:paraId="38FE15FE" w14:textId="77777777">
        <w:trPr>
          <w:trHeight w:val="2535"/>
          <w:jc w:val="center"/>
        </w:trPr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9719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lastRenderedPageBreak/>
              <w:t xml:space="preserve"> 25/08/21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5E1D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Vacuna 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COVID</w:t>
            </w:r>
            <w:proofErr w:type="spellEnd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-19 (Vero-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Cell</w:t>
            </w:r>
            <w:proofErr w:type="spellEnd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), Inactivada</w:t>
            </w:r>
          </w:p>
        </w:tc>
        <w:tc>
          <w:tcPr>
            <w:tcW w:w="1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7C0B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Sinopharm</w:t>
            </w:r>
            <w:proofErr w:type="spellEnd"/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6EFD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Virus inactivado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B433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          2</w:t>
            </w:r>
          </w:p>
        </w:tc>
      </w:tr>
      <w:tr w:rsidR="00BE7FC5" w:rsidRPr="00D14FCC" w14:paraId="21D20902" w14:textId="77777777">
        <w:trPr>
          <w:trHeight w:val="3930"/>
          <w:jc w:val="center"/>
        </w:trPr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E88B8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28/12/21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AD59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Proteína recombinante del dominio de unión al receptor del virus del 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SARS</w:t>
            </w:r>
            <w:proofErr w:type="spellEnd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-</w:t>
            </w:r>
            <w:proofErr w:type="spellStart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CoV</w:t>
            </w:r>
            <w:proofErr w:type="spellEnd"/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>-2</w:t>
            </w:r>
          </w:p>
        </w:tc>
        <w:tc>
          <w:tcPr>
            <w:tcW w:w="1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F325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Abdala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94AD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ADN recombinante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A091" w14:textId="77777777" w:rsidR="00BE7FC5" w:rsidRPr="00D14FCC" w:rsidRDefault="004862E6" w:rsidP="00D14FCC">
            <w:pPr>
              <w:spacing w:before="280" w:after="400"/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  <w:r w:rsidRPr="00D14FCC"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  <w:t xml:space="preserve">            3</w:t>
            </w:r>
          </w:p>
          <w:p w14:paraId="4A39ADEC" w14:textId="77777777" w:rsidR="00BE7FC5" w:rsidRPr="00D14FCC" w:rsidRDefault="00BE7FC5" w:rsidP="00D14FCC">
            <w:pPr>
              <w:jc w:val="center"/>
              <w:rPr>
                <w:rFonts w:ascii="Century Gothic" w:eastAsia="Montserrat" w:hAnsi="Century Gothic" w:cs="Montserrat"/>
                <w:sz w:val="24"/>
                <w:szCs w:val="24"/>
                <w:highlight w:val="white"/>
              </w:rPr>
            </w:pPr>
          </w:p>
        </w:tc>
      </w:tr>
    </w:tbl>
    <w:p w14:paraId="11B05624" w14:textId="77777777" w:rsidR="00BE7FC5" w:rsidRPr="00D14FCC" w:rsidRDefault="00BE7FC5" w:rsidP="00D14FCC">
      <w:pPr>
        <w:ind w:left="720"/>
        <w:jc w:val="both"/>
        <w:rPr>
          <w:rFonts w:ascii="Century Gothic" w:eastAsia="Montserrat" w:hAnsi="Century Gothic" w:cs="Montserrat"/>
          <w:sz w:val="24"/>
          <w:szCs w:val="24"/>
          <w:highlight w:val="white"/>
        </w:rPr>
      </w:pPr>
    </w:p>
    <w:p w14:paraId="34E55056" w14:textId="5F13ADCF" w:rsidR="00BE7FC5" w:rsidRPr="00D14FCC" w:rsidRDefault="004862E6" w:rsidP="00D14FCC">
      <w:pPr>
        <w:numPr>
          <w:ilvl w:val="0"/>
          <w:numId w:val="1"/>
        </w:numPr>
        <w:jc w:val="both"/>
        <w:rPr>
          <w:rFonts w:ascii="Century Gothic" w:eastAsia="Montserrat" w:hAnsi="Century Gothic" w:cs="Montserrat"/>
          <w:sz w:val="24"/>
          <w:szCs w:val="24"/>
          <w:highlight w:val="white"/>
        </w:rPr>
      </w:pPr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Desde </w:t>
      </w:r>
      <w:r w:rsidR="001C286C"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j</w:t>
      </w:r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unio del 2021, México aprobó la primera vacuna para el uso de emergencia para que el fármaco desarrollado por Pfizer y </w:t>
      </w:r>
      <w:proofErr w:type="spellStart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BioNTech</w:t>
      </w:r>
      <w:proofErr w:type="spellEnd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 pueda ser administrado a niños mayores de 12 años. Sin embargo el sector de 5 a 11 años ha quedado en el olvido, a pesar de que la </w:t>
      </w:r>
      <w:proofErr w:type="spellStart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FDA</w:t>
      </w:r>
      <w:proofErr w:type="spellEnd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 en EUA autorizó la vacuna de la farmacéutica Pfizer para este grupo de edad desde octubre del 2021.</w:t>
      </w:r>
    </w:p>
    <w:p w14:paraId="5C47C1FE" w14:textId="77777777" w:rsidR="00BE7FC5" w:rsidRPr="00D14FCC" w:rsidRDefault="00BE7FC5" w:rsidP="00D14FCC">
      <w:pPr>
        <w:ind w:left="720"/>
        <w:jc w:val="both"/>
        <w:rPr>
          <w:rFonts w:ascii="Century Gothic" w:eastAsia="Montserrat" w:hAnsi="Century Gothic" w:cs="Montserrat"/>
          <w:sz w:val="24"/>
          <w:szCs w:val="24"/>
          <w:highlight w:val="white"/>
        </w:rPr>
      </w:pPr>
    </w:p>
    <w:p w14:paraId="47EA0371" w14:textId="039E7C9C" w:rsidR="00BE7FC5" w:rsidRPr="00D14FCC" w:rsidRDefault="004862E6" w:rsidP="00D14FCC">
      <w:pPr>
        <w:numPr>
          <w:ilvl w:val="0"/>
          <w:numId w:val="1"/>
        </w:numPr>
        <w:jc w:val="both"/>
        <w:rPr>
          <w:rFonts w:ascii="Century Gothic" w:eastAsia="Montserrat" w:hAnsi="Century Gothic" w:cs="Montserrat"/>
          <w:sz w:val="24"/>
          <w:szCs w:val="24"/>
          <w:highlight w:val="white"/>
        </w:rPr>
      </w:pPr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Datos del Censo de Población y Vivienda 2020 indican que en México residen 31.8 millones de niñas y niños de 0 a 14 años de edad, que en términos relativos representan 25.3% de la población total. En una nota del Sol de México, “</w:t>
      </w:r>
      <w:r w:rsidRPr="00D14FCC">
        <w:rPr>
          <w:rFonts w:ascii="Century Gothic" w:eastAsia="Montserrat" w:hAnsi="Century Gothic" w:cs="Montserrat"/>
          <w:i/>
          <w:sz w:val="24"/>
          <w:szCs w:val="24"/>
          <w:highlight w:val="white"/>
        </w:rPr>
        <w:t>En un comunicado firmado por más de una decena de organizaciones, encabezadas por la Red por los Derechos de la Infancia en México (</w:t>
      </w:r>
      <w:proofErr w:type="spellStart"/>
      <w:r w:rsidRPr="00D14FCC">
        <w:rPr>
          <w:rFonts w:ascii="Century Gothic" w:eastAsia="Montserrat" w:hAnsi="Century Gothic" w:cs="Montserrat"/>
          <w:i/>
          <w:sz w:val="24"/>
          <w:szCs w:val="24"/>
          <w:highlight w:val="white"/>
        </w:rPr>
        <w:t>Redim</w:t>
      </w:r>
      <w:proofErr w:type="spellEnd"/>
      <w:r w:rsidRPr="00D14FCC">
        <w:rPr>
          <w:rFonts w:ascii="Century Gothic" w:eastAsia="Montserrat" w:hAnsi="Century Gothic" w:cs="Montserrat"/>
          <w:i/>
          <w:sz w:val="24"/>
          <w:szCs w:val="24"/>
          <w:highlight w:val="white"/>
        </w:rPr>
        <w:t xml:space="preserve">), las asociaciones precisaron que hasta el pasado 30 de enero, la propia Secretaría de Salud ha reportado 295 mil 233 contagios, 12 mil 977 hospitalizaciones, 971 intubaciones y mil 88 defunciones en el rango de edad de 0 a 17 años debido al </w:t>
      </w:r>
      <w:proofErr w:type="spellStart"/>
      <w:r w:rsidRPr="00D14FCC">
        <w:rPr>
          <w:rFonts w:ascii="Century Gothic" w:eastAsia="Montserrat" w:hAnsi="Century Gothic" w:cs="Montserrat"/>
          <w:i/>
          <w:sz w:val="24"/>
          <w:szCs w:val="24"/>
          <w:highlight w:val="white"/>
        </w:rPr>
        <w:t>Covid</w:t>
      </w:r>
      <w:proofErr w:type="spellEnd"/>
      <w:r w:rsidRPr="00D14FCC">
        <w:rPr>
          <w:rFonts w:ascii="Century Gothic" w:eastAsia="Montserrat" w:hAnsi="Century Gothic" w:cs="Montserrat"/>
          <w:i/>
          <w:sz w:val="24"/>
          <w:szCs w:val="24"/>
          <w:highlight w:val="white"/>
        </w:rPr>
        <w:t>-19</w:t>
      </w:r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”. </w:t>
      </w:r>
      <w:r w:rsidR="00340388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La Bancada Naranja, en aras de contribuir </w:t>
      </w:r>
      <w:proofErr w:type="spellStart"/>
      <w:r w:rsidR="00340388">
        <w:rPr>
          <w:rFonts w:ascii="Century Gothic" w:eastAsia="Montserrat" w:hAnsi="Century Gothic" w:cs="Montserrat"/>
          <w:sz w:val="24"/>
          <w:szCs w:val="24"/>
          <w:highlight w:val="white"/>
        </w:rPr>
        <w:t>ara</w:t>
      </w:r>
      <w:proofErr w:type="spellEnd"/>
      <w:r w:rsidR="00340388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 evitar que estas cifras </w:t>
      </w:r>
      <w:r w:rsidR="00340388">
        <w:rPr>
          <w:rFonts w:ascii="Century Gothic" w:eastAsia="Montserrat" w:hAnsi="Century Gothic" w:cs="Montserrat"/>
          <w:sz w:val="24"/>
          <w:szCs w:val="24"/>
          <w:highlight w:val="white"/>
        </w:rPr>
        <w:lastRenderedPageBreak/>
        <w:t>sigan en aumento, ha promovido decenas de amparos con la finalidad de que un Juez Federal ordene a las autoridades competentes para inmunizar a los niños, de los cuales se ha obtenido la suspensión de prácticamente la totalidad de todos ell</w:t>
      </w:r>
      <w:r w:rsidR="000B77FE">
        <w:rPr>
          <w:rFonts w:ascii="Century Gothic" w:eastAsia="Montserrat" w:hAnsi="Century Gothic" w:cs="Montserrat"/>
          <w:sz w:val="24"/>
          <w:szCs w:val="24"/>
          <w:highlight w:val="white"/>
        </w:rPr>
        <w:t>os, en virtud de lo cual se ha conseguido proteger a muchos menores en el estado de Chihuahua. De los</w:t>
      </w:r>
      <w:r w:rsidR="00340388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 </w:t>
      </w:r>
      <w:r w:rsidR="000B77FE">
        <w:rPr>
          <w:rFonts w:ascii="Century Gothic" w:eastAsia="Montserrat" w:hAnsi="Century Gothic" w:cs="Montserrat"/>
          <w:sz w:val="24"/>
          <w:szCs w:val="24"/>
          <w:highlight w:val="white"/>
        </w:rPr>
        <w:t>d</w:t>
      </w:r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atos que manifiestan</w:t>
      </w:r>
      <w:r w:rsidR="000B77FE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 las asociaciones, se desprende</w:t>
      </w:r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 la extrema urgencia de que este grupo vulnerable sea inmunizado de inmediato. Aunado a lo anterior debemos de agregar el hecho de que los menores ya retornaron al modelo presencial de clases. Vacunar a los niños de 5 a 11 años de edad colabora en la ardua tarea de mantenerlos en la escuela de forma presencial, asimismo ayudarlo</w:t>
      </w:r>
      <w:r w:rsidR="001C286C"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s</w:t>
      </w:r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 a </w:t>
      </w:r>
      <w:r w:rsidR="001C286C"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participar</w:t>
      </w:r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 de manera segura en actividades deportivas, juegos y otras actividades grupales. Además, vacunar a los niños ayuda a cuidar a los miembros de la familia que no son elegibles para vacunarse, como los menores de 5 años y los miembros de la familia que podrían tener mayor riesgo de enfermar gravemente si se </w:t>
      </w:r>
      <w:r w:rsidR="001C286C"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contagian</w:t>
      </w:r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.</w:t>
      </w:r>
    </w:p>
    <w:p w14:paraId="7792DB8A" w14:textId="77777777" w:rsidR="00BE7FC5" w:rsidRPr="00D14FCC" w:rsidRDefault="00BE7FC5" w:rsidP="00D14FCC">
      <w:pPr>
        <w:ind w:left="720"/>
        <w:jc w:val="both"/>
        <w:rPr>
          <w:rFonts w:ascii="Century Gothic" w:eastAsia="Montserrat" w:hAnsi="Century Gothic" w:cs="Montserrat"/>
          <w:sz w:val="24"/>
          <w:szCs w:val="24"/>
          <w:highlight w:val="white"/>
        </w:rPr>
      </w:pPr>
    </w:p>
    <w:p w14:paraId="57FD4700" w14:textId="77777777" w:rsidR="00BE7FC5" w:rsidRPr="00D14FCC" w:rsidRDefault="004862E6" w:rsidP="00D14FCC">
      <w:pPr>
        <w:numPr>
          <w:ilvl w:val="0"/>
          <w:numId w:val="1"/>
        </w:numPr>
        <w:jc w:val="both"/>
        <w:rPr>
          <w:rFonts w:ascii="Century Gothic" w:eastAsia="Montserrat" w:hAnsi="Century Gothic" w:cs="Montserrat"/>
          <w:sz w:val="24"/>
          <w:szCs w:val="24"/>
          <w:highlight w:val="white"/>
        </w:rPr>
      </w:pPr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Sin embargo, según el ACUERDO por el que se establecen los Lineamientos para la emisión de autorizaciones temporales de insumos para la salud, para establecimientos de atención médica y la certificación temporal de buenas prácticas de fabricación de insumos para la salud que contribuyan a la erradicación y mitigación del virus </w:t>
      </w:r>
      <w:proofErr w:type="spellStart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SARS-CoV2</w:t>
      </w:r>
      <w:proofErr w:type="spellEnd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 (</w:t>
      </w:r>
      <w:proofErr w:type="spellStart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COVID</w:t>
      </w:r>
      <w:proofErr w:type="spellEnd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-19), con fecha de publicación, en el Diario Oficial de la Federación, el 19 de marzo del 2021,  para la obtención de la autorización temporal de producción y/o importación y comercialización de medicamentos que contribuyan a la erradicación de la enfermedad por el virus </w:t>
      </w:r>
      <w:proofErr w:type="spellStart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SARS-CoV2</w:t>
      </w:r>
      <w:proofErr w:type="spellEnd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 (</w:t>
      </w:r>
      <w:proofErr w:type="spellStart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COVID</w:t>
      </w:r>
      <w:proofErr w:type="spellEnd"/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-19), se deberá cumplir con la Documentación Administrativa-Legal consistente en  Oficio con las conclusiones de la reunión con el Comité de Moléculas Nuevas y Oficio con opinión técnica favorable. Oficios que al día de hoy no se han presentado, sin los cuales no se puede continuar en la citada autorización.</w:t>
      </w:r>
    </w:p>
    <w:p w14:paraId="2A99AD3C" w14:textId="77777777" w:rsidR="00BE7FC5" w:rsidRPr="00D14FCC" w:rsidRDefault="00BE7FC5" w:rsidP="00D14FCC">
      <w:pPr>
        <w:ind w:left="720"/>
        <w:jc w:val="both"/>
        <w:rPr>
          <w:rFonts w:ascii="Century Gothic" w:eastAsia="Montserrat" w:hAnsi="Century Gothic" w:cs="Montserrat"/>
          <w:sz w:val="24"/>
          <w:szCs w:val="24"/>
          <w:highlight w:val="white"/>
        </w:rPr>
      </w:pPr>
    </w:p>
    <w:p w14:paraId="64978F4A" w14:textId="4B33EF13" w:rsidR="00BE7FC5" w:rsidRPr="00D14FCC" w:rsidRDefault="00FE5A61" w:rsidP="00D14FCC">
      <w:pPr>
        <w:numPr>
          <w:ilvl w:val="0"/>
          <w:numId w:val="1"/>
        </w:numPr>
        <w:jc w:val="both"/>
        <w:rPr>
          <w:rFonts w:ascii="Century Gothic" w:eastAsia="Montserrat" w:hAnsi="Century Gothic" w:cs="Montserrat"/>
          <w:sz w:val="24"/>
          <w:szCs w:val="24"/>
          <w:highlight w:val="white"/>
        </w:rPr>
      </w:pPr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En el </w:t>
      </w:r>
      <w:r w:rsidR="00D108E4"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Artículo</w:t>
      </w:r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 157 Bis 11 de la Ley General de Salud, indica que los procedimientos para la autorización del registro, importación y liberación de vacunas sean considerados prioritarios en razón de su importancia para la salud pública y la seguridad nacional, e</w:t>
      </w:r>
      <w:r w:rsidR="004862E6"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s por lo </w:t>
      </w:r>
      <w:r w:rsidR="004862E6"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lastRenderedPageBreak/>
        <w:t xml:space="preserve">anterior que la Bancada Naranja propone </w:t>
      </w:r>
      <w:r w:rsidR="004862E6" w:rsidRPr="00D14FCC">
        <w:rPr>
          <w:rFonts w:ascii="Century Gothic" w:eastAsia="Montserrat" w:hAnsi="Century Gothic" w:cs="Montserrat"/>
          <w:sz w:val="24"/>
          <w:szCs w:val="24"/>
        </w:rPr>
        <w:t>exhortar al Titular del Comité de Moléculas Nuevas para</w:t>
      </w:r>
      <w:r w:rsidR="00D108E4" w:rsidRPr="00D14FCC">
        <w:rPr>
          <w:rFonts w:ascii="Century Gothic" w:eastAsia="Montserrat" w:hAnsi="Century Gothic" w:cs="Montserrat"/>
          <w:sz w:val="24"/>
          <w:szCs w:val="24"/>
        </w:rPr>
        <w:t xml:space="preserve"> </w:t>
      </w:r>
      <w:r w:rsidR="004862E6" w:rsidRPr="00D14FCC">
        <w:rPr>
          <w:rFonts w:ascii="Century Gothic" w:eastAsia="Montserrat" w:hAnsi="Century Gothic" w:cs="Montserrat"/>
          <w:sz w:val="24"/>
          <w:szCs w:val="24"/>
        </w:rPr>
        <w:t xml:space="preserve">que realice el oficio con opinión técnica favorable de la aplicación de la vacuna </w:t>
      </w:r>
      <w:proofErr w:type="spellStart"/>
      <w:r w:rsidR="004862E6" w:rsidRPr="00D14FCC">
        <w:rPr>
          <w:rFonts w:ascii="Century Gothic" w:eastAsia="Montserrat" w:hAnsi="Century Gothic" w:cs="Montserrat"/>
          <w:sz w:val="24"/>
          <w:szCs w:val="24"/>
        </w:rPr>
        <w:t>BioNTech</w:t>
      </w:r>
      <w:proofErr w:type="spellEnd"/>
      <w:r w:rsidR="004862E6" w:rsidRPr="00D14FCC">
        <w:rPr>
          <w:rFonts w:ascii="Century Gothic" w:eastAsia="Montserrat" w:hAnsi="Century Gothic" w:cs="Montserrat"/>
          <w:sz w:val="24"/>
          <w:szCs w:val="24"/>
        </w:rPr>
        <w:t xml:space="preserve"> Pfizer para menores de 5 a 11 años y el </w:t>
      </w:r>
      <w:r w:rsidR="004862E6"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Oficio con las conclusiones de la reunión con el Comité de Moléculas Nuevas</w:t>
      </w:r>
      <w:r w:rsidR="00D108E4" w:rsidRPr="00D14FCC">
        <w:rPr>
          <w:rFonts w:ascii="Century Gothic" w:eastAsia="Montserrat" w:hAnsi="Century Gothic" w:cs="Montserrat"/>
          <w:sz w:val="24"/>
          <w:szCs w:val="24"/>
        </w:rPr>
        <w:t>.</w:t>
      </w:r>
      <w:r w:rsidR="004862E6" w:rsidRPr="00D14FCC">
        <w:rPr>
          <w:rFonts w:ascii="Century Gothic" w:eastAsia="Montserrat" w:hAnsi="Century Gothic" w:cs="Montserrat"/>
          <w:sz w:val="24"/>
          <w:szCs w:val="24"/>
        </w:rPr>
        <w:t xml:space="preserve"> </w:t>
      </w:r>
      <w:r w:rsidR="00340388" w:rsidRPr="00D14FCC">
        <w:rPr>
          <w:rFonts w:ascii="Century Gothic" w:eastAsia="Montserrat" w:hAnsi="Century Gothic" w:cs="Montserrat"/>
          <w:sz w:val="24"/>
          <w:szCs w:val="24"/>
        </w:rPr>
        <w:t>Además,</w:t>
      </w:r>
      <w:r w:rsidR="004862E6" w:rsidRPr="00D14FCC">
        <w:rPr>
          <w:rFonts w:ascii="Century Gothic" w:eastAsia="Montserrat" w:hAnsi="Century Gothic" w:cs="Montserrat"/>
          <w:sz w:val="24"/>
          <w:szCs w:val="24"/>
        </w:rPr>
        <w:t xml:space="preserve"> propone exhortar a la Cámara de Diputados del Congreso de la Unión a fin de que requieran la comparecencia de quien ocupe la Titularidad de la </w:t>
      </w:r>
      <w:proofErr w:type="spellStart"/>
      <w:r w:rsidR="004862E6" w:rsidRPr="00D14FCC">
        <w:rPr>
          <w:rFonts w:ascii="Century Gothic" w:eastAsia="Montserrat" w:hAnsi="Century Gothic" w:cs="Montserrat"/>
          <w:sz w:val="24"/>
          <w:szCs w:val="24"/>
        </w:rPr>
        <w:t>COFEPRIS</w:t>
      </w:r>
      <w:proofErr w:type="spellEnd"/>
      <w:r w:rsidR="004862E6" w:rsidRPr="00D14FCC">
        <w:rPr>
          <w:rFonts w:ascii="Century Gothic" w:eastAsia="Montserrat" w:hAnsi="Century Gothic" w:cs="Montserrat"/>
          <w:sz w:val="24"/>
          <w:szCs w:val="24"/>
        </w:rPr>
        <w:t xml:space="preserve"> para que informe los motivos por los que no se ha aprobado la vacuna para menores de 12 años.</w:t>
      </w:r>
    </w:p>
    <w:p w14:paraId="168D8283" w14:textId="77777777" w:rsidR="00BE7FC5" w:rsidRPr="00D14FCC" w:rsidRDefault="00BE7FC5" w:rsidP="00D14FCC">
      <w:pPr>
        <w:spacing w:before="80"/>
        <w:jc w:val="both"/>
        <w:rPr>
          <w:rFonts w:ascii="Century Gothic" w:eastAsia="Montserrat" w:hAnsi="Century Gothic" w:cs="Montserrat"/>
          <w:sz w:val="24"/>
          <w:szCs w:val="24"/>
        </w:rPr>
      </w:pPr>
    </w:p>
    <w:p w14:paraId="4DD49C8D" w14:textId="77777777" w:rsidR="00BE7FC5" w:rsidRPr="00D14FCC" w:rsidRDefault="004862E6" w:rsidP="00D14FCC">
      <w:pPr>
        <w:spacing w:before="80"/>
        <w:ind w:left="100"/>
        <w:jc w:val="both"/>
        <w:rPr>
          <w:rFonts w:ascii="Century Gothic" w:eastAsia="Montserrat" w:hAnsi="Century Gothic" w:cs="Montserrat"/>
          <w:sz w:val="24"/>
          <w:szCs w:val="24"/>
        </w:rPr>
      </w:pPr>
      <w:r w:rsidRPr="00D14FCC">
        <w:rPr>
          <w:rFonts w:ascii="Century Gothic" w:eastAsia="Montserrat" w:hAnsi="Century Gothic" w:cs="Montserrat"/>
          <w:sz w:val="24"/>
          <w:szCs w:val="24"/>
        </w:rPr>
        <w:t>Por lo anteriormente expuesto, me permito someter a la consideración del Pleno el presente proyecto con carácter de:</w:t>
      </w:r>
    </w:p>
    <w:p w14:paraId="7086B991" w14:textId="77777777" w:rsidR="00BE7FC5" w:rsidRPr="00D14FCC" w:rsidRDefault="004862E6" w:rsidP="00D14FCC">
      <w:pPr>
        <w:pStyle w:val="Ttulo1"/>
        <w:keepNext w:val="0"/>
        <w:keepLines w:val="0"/>
        <w:spacing w:before="480"/>
        <w:jc w:val="center"/>
        <w:rPr>
          <w:rFonts w:ascii="Century Gothic" w:eastAsia="Montserrat" w:hAnsi="Century Gothic" w:cs="Montserrat"/>
          <w:b/>
          <w:sz w:val="24"/>
          <w:szCs w:val="24"/>
        </w:rPr>
      </w:pPr>
      <w:bookmarkStart w:id="2" w:name="_b4lckua67ldf" w:colFirst="0" w:colLast="0"/>
      <w:bookmarkEnd w:id="2"/>
      <w:r w:rsidRPr="00D14FCC">
        <w:rPr>
          <w:rFonts w:ascii="Century Gothic" w:eastAsia="Montserrat" w:hAnsi="Century Gothic" w:cs="Montserrat"/>
          <w:b/>
          <w:sz w:val="24"/>
          <w:szCs w:val="24"/>
        </w:rPr>
        <w:t>PUNTO DE ACUERDO:</w:t>
      </w:r>
    </w:p>
    <w:p w14:paraId="7B89E28A" w14:textId="77777777" w:rsidR="00BE7FC5" w:rsidRPr="00D14FCC" w:rsidRDefault="004862E6" w:rsidP="00D14FCC">
      <w:pPr>
        <w:spacing w:before="20" w:after="240"/>
        <w:jc w:val="both"/>
        <w:rPr>
          <w:rFonts w:ascii="Century Gothic" w:eastAsia="Montserrat" w:hAnsi="Century Gothic" w:cs="Montserrat"/>
          <w:b/>
          <w:sz w:val="24"/>
          <w:szCs w:val="24"/>
        </w:rPr>
      </w:pPr>
      <w:r w:rsidRPr="00D14FCC">
        <w:rPr>
          <w:rFonts w:ascii="Century Gothic" w:eastAsia="Montserrat" w:hAnsi="Century Gothic" w:cs="Montserrat"/>
          <w:b/>
          <w:sz w:val="24"/>
          <w:szCs w:val="24"/>
        </w:rPr>
        <w:t xml:space="preserve"> </w:t>
      </w:r>
    </w:p>
    <w:p w14:paraId="73C4B381" w14:textId="77777777" w:rsidR="00BE7FC5" w:rsidRPr="00D14FCC" w:rsidRDefault="004862E6" w:rsidP="00D14FCC">
      <w:pPr>
        <w:spacing w:before="240" w:after="240"/>
        <w:ind w:left="100"/>
        <w:jc w:val="both"/>
        <w:rPr>
          <w:rFonts w:ascii="Century Gothic" w:eastAsia="Montserrat" w:hAnsi="Century Gothic" w:cs="Montserrat"/>
          <w:sz w:val="24"/>
          <w:szCs w:val="24"/>
        </w:rPr>
      </w:pPr>
      <w:r w:rsidRPr="00D14FCC">
        <w:rPr>
          <w:rFonts w:ascii="Century Gothic" w:eastAsia="Montserrat" w:hAnsi="Century Gothic" w:cs="Montserrat"/>
          <w:b/>
          <w:sz w:val="24"/>
          <w:szCs w:val="24"/>
        </w:rPr>
        <w:t xml:space="preserve">PRIMERO.- </w:t>
      </w:r>
      <w:r w:rsidRPr="00D14FCC">
        <w:rPr>
          <w:rFonts w:ascii="Century Gothic" w:eastAsia="Montserrat" w:hAnsi="Century Gothic" w:cs="Montserrat"/>
          <w:sz w:val="24"/>
          <w:szCs w:val="24"/>
        </w:rPr>
        <w:t xml:space="preserve">La Sexagésimo Séptima Legislatura del Estado de Chihuahua exhorta al Titular del Comité de Moléculas Nuevas con el propósito de que realice el </w:t>
      </w:r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Oficio con las conclusiones de la reunión con el Comité de Moléculas Nuevas y el </w:t>
      </w:r>
      <w:r w:rsidRPr="00D14FCC">
        <w:rPr>
          <w:rFonts w:ascii="Century Gothic" w:eastAsia="Montserrat" w:hAnsi="Century Gothic" w:cs="Montserrat"/>
          <w:sz w:val="24"/>
          <w:szCs w:val="24"/>
        </w:rPr>
        <w:t xml:space="preserve">oficio con opinión técnica favorable de la aplicación de la vacuna </w:t>
      </w:r>
      <w:proofErr w:type="spellStart"/>
      <w:r w:rsidRPr="00D14FCC">
        <w:rPr>
          <w:rFonts w:ascii="Century Gothic" w:eastAsia="Montserrat" w:hAnsi="Century Gothic" w:cs="Montserrat"/>
          <w:sz w:val="24"/>
          <w:szCs w:val="24"/>
        </w:rPr>
        <w:t>Vacuna</w:t>
      </w:r>
      <w:proofErr w:type="spellEnd"/>
      <w:r w:rsidRPr="00D14FCC">
        <w:rPr>
          <w:rFonts w:ascii="Century Gothic" w:eastAsia="Montserrat" w:hAnsi="Century Gothic" w:cs="Montserrat"/>
          <w:sz w:val="24"/>
          <w:szCs w:val="24"/>
        </w:rPr>
        <w:t xml:space="preserve"> </w:t>
      </w:r>
      <w:proofErr w:type="spellStart"/>
      <w:r w:rsidRPr="00D14FCC">
        <w:rPr>
          <w:rFonts w:ascii="Century Gothic" w:eastAsia="Montserrat" w:hAnsi="Century Gothic" w:cs="Montserrat"/>
          <w:sz w:val="24"/>
          <w:szCs w:val="24"/>
        </w:rPr>
        <w:t>BioNTech</w:t>
      </w:r>
      <w:proofErr w:type="spellEnd"/>
      <w:r w:rsidRPr="00D14FCC">
        <w:rPr>
          <w:rFonts w:ascii="Century Gothic" w:eastAsia="Montserrat" w:hAnsi="Century Gothic" w:cs="Montserrat"/>
          <w:sz w:val="24"/>
          <w:szCs w:val="24"/>
        </w:rPr>
        <w:t>, Pfizer para menores de 5 a 11 años.</w:t>
      </w:r>
    </w:p>
    <w:p w14:paraId="5C2740F1" w14:textId="77777777" w:rsidR="00BE7FC5" w:rsidRPr="00D14FCC" w:rsidRDefault="00BE7FC5" w:rsidP="00D14FCC">
      <w:pPr>
        <w:spacing w:before="240" w:after="240"/>
        <w:ind w:left="100"/>
        <w:jc w:val="both"/>
        <w:rPr>
          <w:rFonts w:ascii="Century Gothic" w:eastAsia="Montserrat" w:hAnsi="Century Gothic" w:cs="Montserrat"/>
          <w:sz w:val="24"/>
          <w:szCs w:val="24"/>
        </w:rPr>
      </w:pPr>
    </w:p>
    <w:p w14:paraId="55D486AC" w14:textId="118518B1" w:rsidR="00BE7FC5" w:rsidRPr="00D14FCC" w:rsidRDefault="004862E6" w:rsidP="00D14FCC">
      <w:pPr>
        <w:spacing w:before="240" w:after="240"/>
        <w:ind w:left="100"/>
        <w:jc w:val="both"/>
        <w:rPr>
          <w:rFonts w:ascii="Century Gothic" w:eastAsia="Montserrat" w:hAnsi="Century Gothic" w:cs="Montserrat"/>
          <w:sz w:val="24"/>
          <w:szCs w:val="24"/>
        </w:rPr>
      </w:pPr>
      <w:r w:rsidRPr="00D14FCC">
        <w:rPr>
          <w:rFonts w:ascii="Century Gothic" w:eastAsia="Montserrat" w:hAnsi="Century Gothic" w:cs="Montserrat"/>
          <w:b/>
          <w:sz w:val="24"/>
          <w:szCs w:val="24"/>
        </w:rPr>
        <w:t xml:space="preserve">SEGUNDO.- </w:t>
      </w:r>
      <w:r w:rsidRPr="00D14FCC">
        <w:rPr>
          <w:rFonts w:ascii="Century Gothic" w:eastAsia="Montserrat" w:hAnsi="Century Gothic" w:cs="Montserrat"/>
          <w:sz w:val="24"/>
          <w:szCs w:val="24"/>
        </w:rPr>
        <w:t>La Sexagésimo Séptima Legislatura del Estado de Chihuahua exhorta a</w:t>
      </w:r>
      <w:r w:rsidRPr="00D14FCC">
        <w:rPr>
          <w:rFonts w:ascii="Century Gothic" w:eastAsia="Montserrat" w:hAnsi="Century Gothic" w:cs="Montserrat"/>
          <w:b/>
          <w:sz w:val="24"/>
          <w:szCs w:val="24"/>
        </w:rPr>
        <w:t xml:space="preserve"> </w:t>
      </w:r>
      <w:r w:rsidRPr="00D14FCC">
        <w:rPr>
          <w:rFonts w:ascii="Century Gothic" w:eastAsia="Montserrat" w:hAnsi="Century Gothic" w:cs="Montserrat"/>
          <w:sz w:val="24"/>
          <w:szCs w:val="24"/>
        </w:rPr>
        <w:t xml:space="preserve">la Cámara de Diputados del Congreso de la Unión a fin de que requieran la comparecencia de quien ocupe la Titularidad de la </w:t>
      </w:r>
      <w:proofErr w:type="spellStart"/>
      <w:r w:rsidRPr="00D14FCC">
        <w:rPr>
          <w:rFonts w:ascii="Century Gothic" w:eastAsia="Montserrat" w:hAnsi="Century Gothic" w:cs="Montserrat"/>
          <w:sz w:val="24"/>
          <w:szCs w:val="24"/>
        </w:rPr>
        <w:t>COFEPRIS</w:t>
      </w:r>
      <w:proofErr w:type="spellEnd"/>
      <w:r w:rsidRPr="00D14FCC">
        <w:rPr>
          <w:rFonts w:ascii="Century Gothic" w:eastAsia="Montserrat" w:hAnsi="Century Gothic" w:cs="Montserrat"/>
          <w:sz w:val="24"/>
          <w:szCs w:val="24"/>
        </w:rPr>
        <w:t xml:space="preserve"> para que informe los motivos por los que no se ha aprobado la vacuna para m</w:t>
      </w:r>
      <w:r w:rsidR="00BE4AF5" w:rsidRPr="00D14FCC">
        <w:rPr>
          <w:rFonts w:ascii="Century Gothic" w:eastAsia="Montserrat" w:hAnsi="Century Gothic" w:cs="Montserrat"/>
          <w:sz w:val="24"/>
          <w:szCs w:val="24"/>
        </w:rPr>
        <w:t xml:space="preserve">enores de 5 a 11 </w:t>
      </w:r>
      <w:r w:rsidRPr="00D14FCC">
        <w:rPr>
          <w:rFonts w:ascii="Century Gothic" w:eastAsia="Montserrat" w:hAnsi="Century Gothic" w:cs="Montserrat"/>
          <w:sz w:val="24"/>
          <w:szCs w:val="24"/>
        </w:rPr>
        <w:t>años.</w:t>
      </w:r>
    </w:p>
    <w:p w14:paraId="3A10FFDD" w14:textId="77777777" w:rsidR="00D108E4" w:rsidRPr="00D14FCC" w:rsidRDefault="00D108E4" w:rsidP="00D14FCC">
      <w:pPr>
        <w:spacing w:before="240" w:after="240"/>
        <w:ind w:left="100"/>
        <w:jc w:val="both"/>
        <w:rPr>
          <w:rFonts w:ascii="Century Gothic" w:eastAsia="Montserrat" w:hAnsi="Century Gothic" w:cs="Montserrat"/>
          <w:sz w:val="24"/>
          <w:szCs w:val="24"/>
        </w:rPr>
      </w:pPr>
    </w:p>
    <w:p w14:paraId="78FD1433" w14:textId="1CFBBF0D" w:rsidR="00BE7FC5" w:rsidRPr="00D14FCC" w:rsidRDefault="004862E6" w:rsidP="00D14FCC">
      <w:pPr>
        <w:spacing w:before="160"/>
        <w:ind w:left="100" w:right="100"/>
        <w:jc w:val="both"/>
        <w:rPr>
          <w:rFonts w:ascii="Century Gothic" w:eastAsia="Montserrat" w:hAnsi="Century Gothic" w:cs="Montserrat"/>
          <w:sz w:val="24"/>
          <w:szCs w:val="24"/>
        </w:rPr>
      </w:pPr>
      <w:r w:rsidRPr="00D14FCC">
        <w:rPr>
          <w:rFonts w:ascii="Century Gothic" w:eastAsia="Montserrat" w:hAnsi="Century Gothic" w:cs="Montserrat"/>
          <w:b/>
          <w:sz w:val="24"/>
          <w:szCs w:val="24"/>
        </w:rPr>
        <w:t xml:space="preserve">ECONÓMICO.- </w:t>
      </w:r>
      <w:r w:rsidRPr="00D14FCC">
        <w:rPr>
          <w:rFonts w:ascii="Century Gothic" w:eastAsia="Montserrat" w:hAnsi="Century Gothic" w:cs="Montserrat"/>
          <w:sz w:val="24"/>
          <w:szCs w:val="24"/>
        </w:rPr>
        <w:t>Aprobado que sea, túrnese a la Secretaría a efecto de que elabore la minuta de decreto en los términos en que deba de publicarse.</w:t>
      </w:r>
    </w:p>
    <w:p w14:paraId="445C60F9" w14:textId="47CA6E6B" w:rsidR="00BE7FC5" w:rsidRPr="00D14FCC" w:rsidRDefault="004862E6" w:rsidP="00D14FCC">
      <w:pPr>
        <w:spacing w:before="160"/>
        <w:ind w:left="100" w:right="120"/>
        <w:jc w:val="both"/>
        <w:rPr>
          <w:rFonts w:ascii="Century Gothic" w:eastAsia="Montserrat" w:hAnsi="Century Gothic" w:cs="Montserrat"/>
          <w:sz w:val="24"/>
          <w:szCs w:val="24"/>
        </w:rPr>
      </w:pPr>
      <w:r w:rsidRPr="00D14FCC">
        <w:rPr>
          <w:rFonts w:ascii="Century Gothic" w:eastAsia="Montserrat" w:hAnsi="Century Gothic" w:cs="Montserrat"/>
          <w:b/>
          <w:sz w:val="24"/>
          <w:szCs w:val="24"/>
        </w:rPr>
        <w:t xml:space="preserve">DADO </w:t>
      </w:r>
      <w:r w:rsidRPr="00D14FCC">
        <w:rPr>
          <w:rFonts w:ascii="Century Gothic" w:eastAsia="Montserrat" w:hAnsi="Century Gothic" w:cs="Montserrat"/>
          <w:sz w:val="24"/>
          <w:szCs w:val="24"/>
        </w:rPr>
        <w:t xml:space="preserve">en la sede del Poder Legislativo en la Ciudad de Chihuahua, Chihuahua, a los </w:t>
      </w:r>
      <w:r w:rsidRPr="00D14FCC">
        <w:rPr>
          <w:rFonts w:ascii="Century Gothic" w:eastAsia="Montserrat" w:hAnsi="Century Gothic" w:cs="Montserrat"/>
          <w:sz w:val="24"/>
          <w:szCs w:val="24"/>
          <w:highlight w:val="white"/>
        </w:rPr>
        <w:t>veinticuatro</w:t>
      </w:r>
      <w:r w:rsidRPr="00D14FCC">
        <w:rPr>
          <w:rFonts w:ascii="Century Gothic" w:eastAsia="Montserrat" w:hAnsi="Century Gothic" w:cs="Montserrat"/>
          <w:sz w:val="24"/>
          <w:szCs w:val="24"/>
        </w:rPr>
        <w:t xml:space="preserve"> días del mes de marzo del 2022.</w:t>
      </w:r>
    </w:p>
    <w:p w14:paraId="5C813D61" w14:textId="3BFAD590" w:rsidR="00BE7FC5" w:rsidRPr="00D14FCC" w:rsidRDefault="004862E6" w:rsidP="00D14FCC">
      <w:pPr>
        <w:spacing w:before="240" w:after="240"/>
        <w:ind w:left="720"/>
        <w:jc w:val="center"/>
        <w:rPr>
          <w:rFonts w:ascii="Century Gothic" w:eastAsia="Montserrat" w:hAnsi="Century Gothic" w:cs="Montserrat"/>
          <w:b/>
          <w:sz w:val="24"/>
          <w:szCs w:val="24"/>
        </w:rPr>
      </w:pPr>
      <w:r w:rsidRPr="00D14FCC">
        <w:rPr>
          <w:rFonts w:ascii="Century Gothic" w:eastAsia="Montserrat" w:hAnsi="Century Gothic" w:cs="Montserrat"/>
          <w:b/>
          <w:sz w:val="24"/>
          <w:szCs w:val="24"/>
        </w:rPr>
        <w:lastRenderedPageBreak/>
        <w:t xml:space="preserve">ATENTAMENTE </w:t>
      </w:r>
    </w:p>
    <w:p w14:paraId="651C97C4" w14:textId="77777777" w:rsidR="00BE7FC5" w:rsidRPr="00D14FCC" w:rsidRDefault="004862E6" w:rsidP="00D14FCC">
      <w:pPr>
        <w:spacing w:before="240" w:after="240"/>
        <w:ind w:left="720"/>
        <w:jc w:val="center"/>
        <w:rPr>
          <w:rFonts w:ascii="Century Gothic" w:eastAsia="Montserrat" w:hAnsi="Century Gothic" w:cs="Montserrat"/>
          <w:b/>
          <w:sz w:val="24"/>
          <w:szCs w:val="24"/>
        </w:rPr>
      </w:pPr>
      <w:r w:rsidRPr="00D14FCC">
        <w:rPr>
          <w:rFonts w:ascii="Century Gothic" w:eastAsia="Montserrat" w:hAnsi="Century Gothic" w:cs="Montserrat"/>
          <w:b/>
          <w:sz w:val="24"/>
          <w:szCs w:val="24"/>
        </w:rPr>
        <w:t xml:space="preserve"> </w:t>
      </w:r>
    </w:p>
    <w:p w14:paraId="14F718C4" w14:textId="77777777" w:rsidR="00BE7FC5" w:rsidRPr="00D14FCC" w:rsidRDefault="004862E6" w:rsidP="00D14FCC">
      <w:pPr>
        <w:spacing w:line="240" w:lineRule="auto"/>
        <w:ind w:left="720"/>
        <w:jc w:val="center"/>
        <w:rPr>
          <w:rFonts w:ascii="Century Gothic" w:eastAsia="Montserrat" w:hAnsi="Century Gothic" w:cs="Montserrat"/>
          <w:b/>
          <w:sz w:val="24"/>
          <w:szCs w:val="24"/>
        </w:rPr>
      </w:pPr>
      <w:r w:rsidRPr="00D14FCC">
        <w:rPr>
          <w:rFonts w:ascii="Century Gothic" w:eastAsia="Montserrat" w:hAnsi="Century Gothic" w:cs="Montserrat"/>
          <w:b/>
          <w:sz w:val="24"/>
          <w:szCs w:val="24"/>
        </w:rPr>
        <w:t>FRANCISCO ADRIÁN SÁNCHEZ VILLEGAS</w:t>
      </w:r>
    </w:p>
    <w:p w14:paraId="667DD385" w14:textId="77777777" w:rsidR="00BE7FC5" w:rsidRPr="00D14FCC" w:rsidRDefault="004862E6" w:rsidP="00D14FCC">
      <w:pPr>
        <w:spacing w:line="240" w:lineRule="auto"/>
        <w:ind w:left="720"/>
        <w:jc w:val="center"/>
        <w:rPr>
          <w:rFonts w:ascii="Century Gothic" w:eastAsia="Montserrat" w:hAnsi="Century Gothic" w:cs="Montserrat"/>
          <w:b/>
          <w:sz w:val="24"/>
          <w:szCs w:val="24"/>
        </w:rPr>
      </w:pPr>
      <w:r w:rsidRPr="00D14FCC">
        <w:rPr>
          <w:rFonts w:ascii="Century Gothic" w:eastAsia="Montserrat" w:hAnsi="Century Gothic" w:cs="Montserrat"/>
          <w:b/>
          <w:sz w:val="24"/>
          <w:szCs w:val="24"/>
        </w:rPr>
        <w:t>DIPUTADO CIUDADANO</w:t>
      </w:r>
    </w:p>
    <w:p w14:paraId="1F81F497" w14:textId="20DFD539" w:rsidR="00BE7FC5" w:rsidRPr="00D14FCC" w:rsidRDefault="004862E6" w:rsidP="00D14FCC">
      <w:pPr>
        <w:spacing w:line="240" w:lineRule="auto"/>
        <w:ind w:left="720"/>
        <w:jc w:val="center"/>
        <w:rPr>
          <w:rFonts w:ascii="Century Gothic" w:eastAsia="Montserrat" w:hAnsi="Century Gothic" w:cs="Montserrat"/>
          <w:b/>
          <w:sz w:val="24"/>
          <w:szCs w:val="24"/>
        </w:rPr>
      </w:pPr>
      <w:r w:rsidRPr="00D14FCC">
        <w:rPr>
          <w:rFonts w:ascii="Century Gothic" w:eastAsia="Montserrat" w:hAnsi="Century Gothic" w:cs="Montserrat"/>
          <w:b/>
          <w:sz w:val="24"/>
          <w:szCs w:val="24"/>
        </w:rPr>
        <w:t>GRUPO PARLAMENTARIO DE MOVIMIENTO CIUDADANO</w:t>
      </w:r>
    </w:p>
    <w:sectPr w:rsidR="00BE7FC5" w:rsidRPr="00D14FCC" w:rsidSect="00D14FCC">
      <w:pgSz w:w="11909" w:h="16834"/>
      <w:pgMar w:top="283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61D28"/>
    <w:multiLevelType w:val="multilevel"/>
    <w:tmpl w:val="7C4040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C5"/>
    <w:rsid w:val="000B77FE"/>
    <w:rsid w:val="001C286C"/>
    <w:rsid w:val="00340388"/>
    <w:rsid w:val="00436425"/>
    <w:rsid w:val="004862E6"/>
    <w:rsid w:val="00BE4066"/>
    <w:rsid w:val="00BE4AF5"/>
    <w:rsid w:val="00BE7FC5"/>
    <w:rsid w:val="00D108E4"/>
    <w:rsid w:val="00D14FCC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60E4B"/>
  <w15:docId w15:val="{3DE1CB67-F8E0-47F8-928B-8198A28A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Prrafodelista">
    <w:name w:val="List Paragraph"/>
    <w:basedOn w:val="Normal"/>
    <w:uiPriority w:val="34"/>
    <w:qFormat/>
    <w:rsid w:val="00D10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1289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Pérez Chacón</dc:creator>
  <cp:lastModifiedBy>Sonia Pérez Chacón</cp:lastModifiedBy>
  <cp:revision>2</cp:revision>
  <dcterms:created xsi:type="dcterms:W3CDTF">2022-03-23T19:26:00Z</dcterms:created>
  <dcterms:modified xsi:type="dcterms:W3CDTF">2022-03-23T19:26:00Z</dcterms:modified>
</cp:coreProperties>
</file>