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239AF" w:rsidRDefault="003E6632">
      <w:pPr>
        <w:spacing w:before="240" w:after="240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H. CONGRESO DEL ESTADO DE CHIHUAHUA</w:t>
      </w:r>
    </w:p>
    <w:p w14:paraId="00000002" w14:textId="77777777" w:rsidR="00A239AF" w:rsidRDefault="003E6632">
      <w:pPr>
        <w:spacing w:before="240" w:after="240"/>
        <w:jc w:val="both"/>
        <w:rPr>
          <w:rFonts w:ascii="Century Gothic" w:eastAsia="Century Gothic" w:hAnsi="Century Gothic" w:cs="Century Gothic"/>
          <w:b/>
        </w:rPr>
      </w:pPr>
      <w:proofErr w:type="gramStart"/>
      <w:r>
        <w:rPr>
          <w:rFonts w:ascii="Century Gothic" w:eastAsia="Century Gothic" w:hAnsi="Century Gothic" w:cs="Century Gothic"/>
          <w:b/>
        </w:rPr>
        <w:t>PRESENTE.-</w:t>
      </w:r>
      <w:proofErr w:type="gramEnd"/>
    </w:p>
    <w:p w14:paraId="00000003" w14:textId="77777777" w:rsidR="00A239AF" w:rsidRDefault="003E6632">
      <w:pPr>
        <w:spacing w:before="240" w:after="240" w:line="36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 </w:t>
      </w:r>
    </w:p>
    <w:p w14:paraId="00000004" w14:textId="77777777" w:rsidR="00A239AF" w:rsidRDefault="003E6632">
      <w:pPr>
        <w:spacing w:before="240" w:after="240"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ab/>
        <w:t xml:space="preserve">                </w:t>
      </w:r>
      <w:r>
        <w:rPr>
          <w:rFonts w:ascii="Century Gothic" w:eastAsia="Century Gothic" w:hAnsi="Century Gothic" w:cs="Century Gothic"/>
          <w:b/>
        </w:rPr>
        <w:tab/>
        <w:t xml:space="preserve">FRANCISCO ADRIÁN SÁNCHEZ VILLEGAS, </w:t>
      </w:r>
      <w:r>
        <w:rPr>
          <w:rFonts w:ascii="Century Gothic" w:eastAsia="Century Gothic" w:hAnsi="Century Gothic" w:cs="Century Gothic"/>
        </w:rPr>
        <w:t>en representación del Grupo Parlamentario de Movimiento Ciudadano de la Sexagésima Séptima Legislatura y con fundamento en los arábigos 64 fracciones I y II, 68 fracción I de la Constitución Política del Estado de Chihuahua, asimismo la fracción I del artí</w:t>
      </w:r>
      <w:r>
        <w:rPr>
          <w:rFonts w:ascii="Century Gothic" w:eastAsia="Century Gothic" w:hAnsi="Century Gothic" w:cs="Century Gothic"/>
        </w:rPr>
        <w:t xml:space="preserve">culo 167 y 169 de la Ley Orgánica del Poder Legislativo del Estado de Chihuahua, comparezco ante esta Honorable Representación Popular para presentar iniciativa de </w:t>
      </w:r>
      <w:r>
        <w:rPr>
          <w:rFonts w:ascii="Century Gothic" w:eastAsia="Century Gothic" w:hAnsi="Century Gothic" w:cs="Century Gothic"/>
          <w:b/>
        </w:rPr>
        <w:t>Punto de Acuerdo con carácter de urgente resolución</w:t>
      </w:r>
      <w:r>
        <w:rPr>
          <w:rFonts w:ascii="Century Gothic" w:eastAsia="Century Gothic" w:hAnsi="Century Gothic" w:cs="Century Gothic"/>
        </w:rPr>
        <w:t>, con el fin de exhortar al Ejecutivo Fed</w:t>
      </w:r>
      <w:r>
        <w:rPr>
          <w:rFonts w:ascii="Century Gothic" w:eastAsia="Century Gothic" w:hAnsi="Century Gothic" w:cs="Century Gothic"/>
        </w:rPr>
        <w:t>eral con la finalidad de que acepte la recomendación emitida por la Comisión Nacional de los Derechos Humanos, respecto al caso de Jessica Silva Zamarripa.</w:t>
      </w:r>
    </w:p>
    <w:p w14:paraId="00000005" w14:textId="77777777" w:rsidR="00A239AF" w:rsidRDefault="003E6632">
      <w:pPr>
        <w:spacing w:before="240" w:after="240"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14:paraId="00000006" w14:textId="77777777" w:rsidR="00A239AF" w:rsidRDefault="003E6632">
      <w:pPr>
        <w:spacing w:before="240" w:after="24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Lo anterior, de conformidad con la siguiente:</w:t>
      </w:r>
    </w:p>
    <w:p w14:paraId="00000007" w14:textId="77777777" w:rsidR="00A239AF" w:rsidRDefault="00A239AF">
      <w:pPr>
        <w:spacing w:before="240" w:after="240" w:line="360" w:lineRule="auto"/>
        <w:ind w:firstLine="720"/>
        <w:jc w:val="both"/>
        <w:rPr>
          <w:rFonts w:ascii="Century Gothic" w:eastAsia="Century Gothic" w:hAnsi="Century Gothic" w:cs="Century Gothic"/>
        </w:rPr>
      </w:pPr>
    </w:p>
    <w:p w14:paraId="00000008" w14:textId="77777777" w:rsidR="00A239AF" w:rsidRDefault="003E6632">
      <w:pPr>
        <w:pStyle w:val="Ttulo1"/>
        <w:keepNext w:val="0"/>
        <w:keepLines w:val="0"/>
        <w:spacing w:before="480" w:line="360" w:lineRule="auto"/>
        <w:jc w:val="center"/>
      </w:pPr>
      <w:bookmarkStart w:id="0" w:name="_t4oobup71j9s" w:colFirst="0" w:colLast="0"/>
      <w:bookmarkEnd w:id="0"/>
      <w:r>
        <w:rPr>
          <w:rFonts w:ascii="Century Gothic" w:eastAsia="Century Gothic" w:hAnsi="Century Gothic" w:cs="Century Gothic"/>
          <w:b/>
          <w:sz w:val="22"/>
          <w:szCs w:val="22"/>
        </w:rPr>
        <w:t>EXPOSICIÓN DE MOTIVOS:</w:t>
      </w:r>
    </w:p>
    <w:p w14:paraId="00000009" w14:textId="77777777" w:rsidR="00A239AF" w:rsidRDefault="00A239AF">
      <w:pPr>
        <w:spacing w:line="360" w:lineRule="auto"/>
        <w:ind w:left="720"/>
        <w:jc w:val="both"/>
        <w:rPr>
          <w:rFonts w:ascii="Century Gothic" w:eastAsia="Century Gothic" w:hAnsi="Century Gothic" w:cs="Century Gothic"/>
        </w:rPr>
      </w:pPr>
    </w:p>
    <w:p w14:paraId="0000000A" w14:textId="77777777" w:rsidR="00A239AF" w:rsidRDefault="003E6632">
      <w:pPr>
        <w:numPr>
          <w:ilvl w:val="0"/>
          <w:numId w:val="1"/>
        </w:num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La Comisión Nacional de los</w:t>
      </w:r>
      <w:r>
        <w:rPr>
          <w:rFonts w:ascii="Century Gothic" w:eastAsia="Century Gothic" w:hAnsi="Century Gothic" w:cs="Century Gothic"/>
        </w:rPr>
        <w:t xml:space="preserve"> Derechos Humanos, tiene como atribución formular recomendaciones públicas no vinculatorias, denuncias y quejas ante las autoridades respectivas, en los términos establecidos por el artículo 102, Apartado B, de la Constitución Política de los Estados Unido</w:t>
      </w:r>
      <w:r>
        <w:rPr>
          <w:rFonts w:ascii="Century Gothic" w:eastAsia="Century Gothic" w:hAnsi="Century Gothic" w:cs="Century Gothic"/>
        </w:rPr>
        <w:t>s Mexicanos.</w:t>
      </w:r>
    </w:p>
    <w:p w14:paraId="0000000B" w14:textId="77777777" w:rsidR="00A239AF" w:rsidRDefault="00A239AF">
      <w:pPr>
        <w:spacing w:line="360" w:lineRule="auto"/>
        <w:ind w:left="720"/>
        <w:jc w:val="both"/>
        <w:rPr>
          <w:rFonts w:ascii="Century Gothic" w:eastAsia="Century Gothic" w:hAnsi="Century Gothic" w:cs="Century Gothic"/>
        </w:rPr>
      </w:pPr>
    </w:p>
    <w:p w14:paraId="0000000C" w14:textId="77777777" w:rsidR="00A239AF" w:rsidRDefault="003E6632">
      <w:pPr>
        <w:numPr>
          <w:ilvl w:val="0"/>
          <w:numId w:val="1"/>
        </w:num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highlight w:val="white"/>
        </w:rPr>
        <w:t>Las recomendaciones son instrumentos fundamentales de la CNDH en la protección y defensa de los derechos humanos, además de las acciones de promoción, observancia, estudio, divulgación y desarrollo institucional de esta Comisión Nacional. Asi</w:t>
      </w:r>
      <w:r>
        <w:rPr>
          <w:rFonts w:ascii="Century Gothic" w:eastAsia="Century Gothic" w:hAnsi="Century Gothic" w:cs="Century Gothic"/>
          <w:highlight w:val="white"/>
        </w:rPr>
        <w:t>mismo, las recomendaciones constituyen una enérgica solicitud a la autoridad para que se brinde la adecuada atención a la víctima, de tal forma que le permita restituir su situación al estado en el que se encontraba antes de sufrir el daño. Así, la Comisió</w:t>
      </w:r>
      <w:r>
        <w:rPr>
          <w:rFonts w:ascii="Century Gothic" w:eastAsia="Century Gothic" w:hAnsi="Century Gothic" w:cs="Century Gothic"/>
          <w:highlight w:val="white"/>
        </w:rPr>
        <w:t xml:space="preserve">n Nacional encuentra en sus </w:t>
      </w:r>
      <w:r>
        <w:rPr>
          <w:rFonts w:ascii="Century Gothic" w:eastAsia="Century Gothic" w:hAnsi="Century Gothic" w:cs="Century Gothic"/>
          <w:highlight w:val="white"/>
        </w:rPr>
        <w:lastRenderedPageBreak/>
        <w:t>recomendaciones, un medio idóneo que le permite ejercer sus atribuciones de protección y observancia de los derechos humanos que ampara el orden jurídico mexicano.</w:t>
      </w:r>
    </w:p>
    <w:p w14:paraId="0000000D" w14:textId="77777777" w:rsidR="00A239AF" w:rsidRDefault="00A239AF">
      <w:pPr>
        <w:spacing w:line="360" w:lineRule="auto"/>
        <w:ind w:left="720"/>
        <w:jc w:val="both"/>
        <w:rPr>
          <w:rFonts w:ascii="Century Gothic" w:eastAsia="Century Gothic" w:hAnsi="Century Gothic" w:cs="Century Gothic"/>
          <w:highlight w:val="white"/>
        </w:rPr>
      </w:pPr>
    </w:p>
    <w:p w14:paraId="0000000E" w14:textId="77777777" w:rsidR="00A239AF" w:rsidRDefault="003E6632">
      <w:pPr>
        <w:numPr>
          <w:ilvl w:val="0"/>
          <w:numId w:val="1"/>
        </w:num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highlight w:val="white"/>
        </w:rPr>
        <w:t>Las recomendaciones constituyen la más severa expresión de la l</w:t>
      </w:r>
      <w:r>
        <w:rPr>
          <w:rFonts w:ascii="Century Gothic" w:eastAsia="Century Gothic" w:hAnsi="Century Gothic" w:cs="Century Gothic"/>
          <w:highlight w:val="white"/>
        </w:rPr>
        <w:t>abor de esta Comisión Nacional en la lucha contra la impunidad en la defensa de los derechos humanos en nuestro país y tienen como características principales ser públicas más no vinculatorias. No obstante, la CNDH cuenta con la facultad de solicitar al Co</w:t>
      </w:r>
      <w:r>
        <w:rPr>
          <w:rFonts w:ascii="Century Gothic" w:eastAsia="Century Gothic" w:hAnsi="Century Gothic" w:cs="Century Gothic"/>
          <w:highlight w:val="white"/>
        </w:rPr>
        <w:t xml:space="preserve">ngreso la comparecencia de </w:t>
      </w:r>
      <w:proofErr w:type="gramStart"/>
      <w:r>
        <w:rPr>
          <w:rFonts w:ascii="Century Gothic" w:eastAsia="Century Gothic" w:hAnsi="Century Gothic" w:cs="Century Gothic"/>
          <w:highlight w:val="white"/>
        </w:rPr>
        <w:t>aquellos  titulares</w:t>
      </w:r>
      <w:proofErr w:type="gramEnd"/>
      <w:r>
        <w:rPr>
          <w:rFonts w:ascii="Century Gothic" w:eastAsia="Century Gothic" w:hAnsi="Century Gothic" w:cs="Century Gothic"/>
          <w:highlight w:val="white"/>
        </w:rPr>
        <w:t xml:space="preserve"> de las autoridades responsables que se nieguen a aceptar o cumplir con las recomendaciones que emita este organismo nacional. Lo anterior, otorga mayor fuerza para que se creen los mecanismos que permitan una </w:t>
      </w:r>
      <w:r>
        <w:rPr>
          <w:rFonts w:ascii="Century Gothic" w:eastAsia="Century Gothic" w:hAnsi="Century Gothic" w:cs="Century Gothic"/>
          <w:highlight w:val="white"/>
        </w:rPr>
        <w:t>eficiente lucha contra la impunidad y por el respeto de los derechos humanos en el territorio nacional.</w:t>
      </w:r>
    </w:p>
    <w:p w14:paraId="0000000F" w14:textId="77777777" w:rsidR="00A239AF" w:rsidRDefault="00A239AF">
      <w:pPr>
        <w:spacing w:line="360" w:lineRule="auto"/>
        <w:ind w:left="720"/>
        <w:jc w:val="both"/>
        <w:rPr>
          <w:rFonts w:ascii="Century Gothic" w:eastAsia="Century Gothic" w:hAnsi="Century Gothic" w:cs="Century Gothic"/>
          <w:highlight w:val="white"/>
        </w:rPr>
      </w:pPr>
    </w:p>
    <w:p w14:paraId="00000010" w14:textId="77777777" w:rsidR="00A239AF" w:rsidRDefault="003E6632">
      <w:pPr>
        <w:numPr>
          <w:ilvl w:val="0"/>
          <w:numId w:val="1"/>
        </w:num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 raíz de la apertura de presas durante el año 2020 con lo cual se ponía en riesgo el éxito de las siguiente temporadas agrícolas, miles de chihuahuens</w:t>
      </w:r>
      <w:r>
        <w:rPr>
          <w:rFonts w:ascii="Century Gothic" w:eastAsia="Century Gothic" w:hAnsi="Century Gothic" w:cs="Century Gothic"/>
        </w:rPr>
        <w:t>es acudieron a salvaguardar el agua, sin embargo a raíz de dichos acontecimientos, ocurrió la tragedia que resultó en lesione</w:t>
      </w:r>
      <w:r>
        <w:rPr>
          <w:rFonts w:ascii="Century Gothic" w:eastAsia="Century Gothic" w:hAnsi="Century Gothic" w:cs="Century Gothic"/>
          <w:highlight w:val="white"/>
        </w:rPr>
        <w:t xml:space="preserve">s a Jaime Torres y en la privación de la vida de Jessica </w:t>
      </w:r>
      <w:proofErr w:type="gramStart"/>
      <w:r>
        <w:rPr>
          <w:rFonts w:ascii="Century Gothic" w:eastAsia="Century Gothic" w:hAnsi="Century Gothic" w:cs="Century Gothic"/>
          <w:highlight w:val="white"/>
        </w:rPr>
        <w:t xml:space="preserve">Silva,  </w:t>
      </w:r>
      <w:r>
        <w:rPr>
          <w:rFonts w:ascii="Century Gothic" w:eastAsia="Century Gothic" w:hAnsi="Century Gothic" w:cs="Century Gothic"/>
        </w:rPr>
        <w:t>acciones</w:t>
      </w:r>
      <w:proofErr w:type="gramEnd"/>
      <w:r>
        <w:rPr>
          <w:rFonts w:ascii="Century Gothic" w:eastAsia="Century Gothic" w:hAnsi="Century Gothic" w:cs="Century Gothic"/>
        </w:rPr>
        <w:t xml:space="preserve"> atribuibles a elementos de la guardia nacional. Aunado a </w:t>
      </w:r>
      <w:r>
        <w:rPr>
          <w:rFonts w:ascii="Century Gothic" w:eastAsia="Century Gothic" w:hAnsi="Century Gothic" w:cs="Century Gothic"/>
        </w:rPr>
        <w:t>lo anterior La Comisión Nacional de los Derechos Humanos emitió la Recomendación sobre el caso de violaciones graves a derechos humanos.</w:t>
      </w:r>
    </w:p>
    <w:p w14:paraId="00000011" w14:textId="77777777" w:rsidR="00A239AF" w:rsidRDefault="003E6632">
      <w:pPr>
        <w:numPr>
          <w:ilvl w:val="0"/>
          <w:numId w:val="1"/>
        </w:num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Es por lo anterior que la bancada naranja propone que se exhorte al Titular del Ejecutivo Federal con el propósito de q</w:t>
      </w:r>
      <w:r>
        <w:rPr>
          <w:rFonts w:ascii="Century Gothic" w:eastAsia="Century Gothic" w:hAnsi="Century Gothic" w:cs="Century Gothic"/>
        </w:rPr>
        <w:t xml:space="preserve">ue acepte la recomendación emitida por la Comisión Nacional de Derechos Humanos, en virtud de lo cual realice las diligencias necesarias para dar cumplimiento a cabalidad. </w:t>
      </w:r>
    </w:p>
    <w:p w14:paraId="00000012" w14:textId="77777777" w:rsidR="00A239AF" w:rsidRDefault="00A239AF">
      <w:pPr>
        <w:spacing w:line="360" w:lineRule="auto"/>
        <w:ind w:left="720"/>
        <w:jc w:val="both"/>
        <w:rPr>
          <w:rFonts w:ascii="Century Gothic" w:eastAsia="Century Gothic" w:hAnsi="Century Gothic" w:cs="Century Gothic"/>
        </w:rPr>
      </w:pPr>
    </w:p>
    <w:p w14:paraId="00000013" w14:textId="77777777" w:rsidR="00A239AF" w:rsidRDefault="00A239AF">
      <w:pPr>
        <w:spacing w:line="360" w:lineRule="auto"/>
        <w:ind w:left="720"/>
        <w:jc w:val="both"/>
        <w:rPr>
          <w:rFonts w:ascii="Century Gothic" w:eastAsia="Century Gothic" w:hAnsi="Century Gothic" w:cs="Century Gothic"/>
          <w:highlight w:val="white"/>
        </w:rPr>
      </w:pPr>
    </w:p>
    <w:p w14:paraId="00000014" w14:textId="77777777" w:rsidR="00A239AF" w:rsidRDefault="003E6632">
      <w:pPr>
        <w:pStyle w:val="Ttulo1"/>
        <w:keepNext w:val="0"/>
        <w:keepLines w:val="0"/>
        <w:spacing w:before="480" w:line="360" w:lineRule="auto"/>
        <w:ind w:left="720"/>
        <w:jc w:val="center"/>
        <w:rPr>
          <w:rFonts w:ascii="Century Gothic" w:eastAsia="Century Gothic" w:hAnsi="Century Gothic" w:cs="Century Gothic"/>
          <w:b/>
          <w:sz w:val="22"/>
          <w:szCs w:val="22"/>
          <w:highlight w:val="white"/>
        </w:rPr>
      </w:pPr>
      <w:bookmarkStart w:id="1" w:name="_9c96a9xecoz8" w:colFirst="0" w:colLast="0"/>
      <w:bookmarkEnd w:id="1"/>
      <w:r>
        <w:rPr>
          <w:rFonts w:ascii="Century Gothic" w:eastAsia="Century Gothic" w:hAnsi="Century Gothic" w:cs="Century Gothic"/>
          <w:b/>
          <w:sz w:val="22"/>
          <w:szCs w:val="22"/>
          <w:highlight w:val="white"/>
        </w:rPr>
        <w:t>PUNTO DE ACUERDO:</w:t>
      </w:r>
    </w:p>
    <w:p w14:paraId="00000015" w14:textId="77777777" w:rsidR="00A239AF" w:rsidRDefault="003E6632">
      <w:pPr>
        <w:spacing w:before="20" w:after="240" w:line="360" w:lineRule="auto"/>
        <w:jc w:val="both"/>
        <w:rPr>
          <w:rFonts w:ascii="Century Gothic" w:eastAsia="Century Gothic" w:hAnsi="Century Gothic" w:cs="Century Gothic"/>
          <w:b/>
          <w:highlight w:val="white"/>
        </w:rPr>
      </w:pPr>
      <w:r>
        <w:rPr>
          <w:rFonts w:ascii="Century Gothic" w:eastAsia="Century Gothic" w:hAnsi="Century Gothic" w:cs="Century Gothic"/>
          <w:b/>
          <w:highlight w:val="white"/>
        </w:rPr>
        <w:t xml:space="preserve"> </w:t>
      </w:r>
    </w:p>
    <w:p w14:paraId="00000016" w14:textId="77777777" w:rsidR="00A239AF" w:rsidRDefault="003E6632">
      <w:pPr>
        <w:spacing w:before="240" w:after="240" w:line="360" w:lineRule="auto"/>
        <w:ind w:left="100"/>
        <w:jc w:val="both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  <w:b/>
          <w:highlight w:val="white"/>
        </w:rPr>
        <w:lastRenderedPageBreak/>
        <w:t>ÚNICO.-</w:t>
      </w:r>
      <w:proofErr w:type="gramEnd"/>
      <w:r>
        <w:rPr>
          <w:rFonts w:ascii="Century Gothic" w:eastAsia="Century Gothic" w:hAnsi="Century Gothic" w:cs="Century Gothic"/>
          <w:b/>
          <w:highlight w:val="white"/>
        </w:rPr>
        <w:t xml:space="preserve"> </w:t>
      </w:r>
      <w:r>
        <w:rPr>
          <w:rFonts w:ascii="Century Gothic" w:eastAsia="Century Gothic" w:hAnsi="Century Gothic" w:cs="Century Gothic"/>
          <w:highlight w:val="white"/>
        </w:rPr>
        <w:t xml:space="preserve">La Sexagésimo Séptima Legislatura del Estado de Chihuahua exhorta </w:t>
      </w:r>
      <w:r>
        <w:rPr>
          <w:rFonts w:ascii="Century Gothic" w:eastAsia="Century Gothic" w:hAnsi="Century Gothic" w:cs="Century Gothic"/>
        </w:rPr>
        <w:t>al Ejecutivo Federal con la finalidad de que acepte la recomendación 52VG /2022 emitida por la Comisión Nacional de los Derechos Humanos, respecto al caso de Jessica Silva Zamarripa.</w:t>
      </w:r>
    </w:p>
    <w:p w14:paraId="00000017" w14:textId="77777777" w:rsidR="00A239AF" w:rsidRDefault="003E6632">
      <w:pPr>
        <w:spacing w:before="160" w:line="360" w:lineRule="auto"/>
        <w:ind w:left="100" w:right="100"/>
        <w:jc w:val="both"/>
        <w:rPr>
          <w:rFonts w:ascii="Century Gothic" w:eastAsia="Century Gothic" w:hAnsi="Century Gothic" w:cs="Century Gothic"/>
          <w:highlight w:val="white"/>
        </w:rPr>
      </w:pPr>
      <w:proofErr w:type="gramStart"/>
      <w:r>
        <w:rPr>
          <w:rFonts w:ascii="Century Gothic" w:eastAsia="Century Gothic" w:hAnsi="Century Gothic" w:cs="Century Gothic"/>
          <w:b/>
          <w:highlight w:val="white"/>
        </w:rPr>
        <w:t>ECONÓMI</w:t>
      </w:r>
      <w:r>
        <w:rPr>
          <w:rFonts w:ascii="Century Gothic" w:eastAsia="Century Gothic" w:hAnsi="Century Gothic" w:cs="Century Gothic"/>
          <w:b/>
          <w:highlight w:val="white"/>
        </w:rPr>
        <w:t>CO.-</w:t>
      </w:r>
      <w:proofErr w:type="gramEnd"/>
      <w:r>
        <w:rPr>
          <w:rFonts w:ascii="Century Gothic" w:eastAsia="Century Gothic" w:hAnsi="Century Gothic" w:cs="Century Gothic"/>
          <w:b/>
          <w:highlight w:val="white"/>
        </w:rPr>
        <w:t xml:space="preserve"> </w:t>
      </w:r>
      <w:r>
        <w:rPr>
          <w:rFonts w:ascii="Century Gothic" w:eastAsia="Century Gothic" w:hAnsi="Century Gothic" w:cs="Century Gothic"/>
          <w:highlight w:val="white"/>
        </w:rPr>
        <w:t>Aprobado que sea, túrnese a la Secretaría a efecto de que elabore la minuta de decreto en los términos en que deba de publicarse.</w:t>
      </w:r>
    </w:p>
    <w:p w14:paraId="00000018" w14:textId="53179A1C" w:rsidR="00A239AF" w:rsidRDefault="003E6632" w:rsidP="003E6632">
      <w:pPr>
        <w:spacing w:before="160" w:line="360" w:lineRule="auto"/>
        <w:ind w:left="100" w:right="120"/>
        <w:jc w:val="both"/>
        <w:rPr>
          <w:rFonts w:ascii="Century Gothic" w:eastAsia="Century Gothic" w:hAnsi="Century Gothic" w:cs="Century Gothic"/>
          <w:highlight w:val="white"/>
        </w:rPr>
      </w:pPr>
      <w:r>
        <w:rPr>
          <w:rFonts w:ascii="Century Gothic" w:eastAsia="Century Gothic" w:hAnsi="Century Gothic" w:cs="Century Gothic"/>
          <w:b/>
          <w:highlight w:val="white"/>
        </w:rPr>
        <w:t xml:space="preserve">DADO </w:t>
      </w:r>
      <w:r>
        <w:rPr>
          <w:rFonts w:ascii="Century Gothic" w:eastAsia="Century Gothic" w:hAnsi="Century Gothic" w:cs="Century Gothic"/>
          <w:highlight w:val="white"/>
        </w:rPr>
        <w:t xml:space="preserve">en la sede del Poder Legislativo en la Ciudad de Chihuahua, Chihuahua, a los quince </w:t>
      </w:r>
      <w:r>
        <w:rPr>
          <w:rFonts w:ascii="Century Gothic" w:eastAsia="Century Gothic" w:hAnsi="Century Gothic" w:cs="Century Gothic"/>
          <w:highlight w:val="white"/>
        </w:rPr>
        <w:t>días del mes de marzo de 2022.</w:t>
      </w:r>
    </w:p>
    <w:p w14:paraId="00000019" w14:textId="77777777" w:rsidR="00A239AF" w:rsidRDefault="003E6632">
      <w:pPr>
        <w:spacing w:before="160" w:line="360" w:lineRule="auto"/>
        <w:ind w:left="100" w:right="120"/>
        <w:jc w:val="both"/>
        <w:rPr>
          <w:rFonts w:ascii="Century Gothic" w:eastAsia="Century Gothic" w:hAnsi="Century Gothic" w:cs="Century Gothic"/>
          <w:b/>
          <w:highlight w:val="white"/>
        </w:rPr>
      </w:pPr>
      <w:r>
        <w:rPr>
          <w:rFonts w:ascii="Century Gothic" w:eastAsia="Century Gothic" w:hAnsi="Century Gothic" w:cs="Century Gothic"/>
          <w:b/>
          <w:highlight w:val="white"/>
        </w:rPr>
        <w:t xml:space="preserve"> </w:t>
      </w:r>
    </w:p>
    <w:p w14:paraId="0000001A" w14:textId="77777777" w:rsidR="00A239AF" w:rsidRDefault="003E6632">
      <w:pPr>
        <w:spacing w:before="240" w:after="240" w:line="360" w:lineRule="auto"/>
        <w:ind w:left="720"/>
        <w:jc w:val="center"/>
        <w:rPr>
          <w:rFonts w:ascii="Century Gothic" w:eastAsia="Century Gothic" w:hAnsi="Century Gothic" w:cs="Century Gothic"/>
          <w:b/>
          <w:highlight w:val="white"/>
        </w:rPr>
      </w:pPr>
      <w:r>
        <w:rPr>
          <w:rFonts w:ascii="Century Gothic" w:eastAsia="Century Gothic" w:hAnsi="Century Gothic" w:cs="Century Gothic"/>
          <w:b/>
          <w:highlight w:val="white"/>
        </w:rPr>
        <w:t>A</w:t>
      </w:r>
      <w:r>
        <w:rPr>
          <w:rFonts w:ascii="Century Gothic" w:eastAsia="Century Gothic" w:hAnsi="Century Gothic" w:cs="Century Gothic"/>
          <w:b/>
          <w:highlight w:val="white"/>
        </w:rPr>
        <w:t>TENTAMENTE</w:t>
      </w:r>
    </w:p>
    <w:p w14:paraId="0000001B" w14:textId="77777777" w:rsidR="00A239AF" w:rsidRDefault="003E6632">
      <w:pPr>
        <w:spacing w:before="240" w:after="240" w:line="360" w:lineRule="auto"/>
        <w:ind w:left="720"/>
        <w:jc w:val="center"/>
        <w:rPr>
          <w:rFonts w:ascii="Century Gothic" w:eastAsia="Century Gothic" w:hAnsi="Century Gothic" w:cs="Century Gothic"/>
          <w:b/>
          <w:highlight w:val="white"/>
        </w:rPr>
      </w:pPr>
      <w:r>
        <w:rPr>
          <w:rFonts w:ascii="Century Gothic" w:eastAsia="Century Gothic" w:hAnsi="Century Gothic" w:cs="Century Gothic"/>
          <w:b/>
          <w:highlight w:val="white"/>
        </w:rPr>
        <w:t xml:space="preserve"> </w:t>
      </w:r>
    </w:p>
    <w:p w14:paraId="0000001C" w14:textId="77777777" w:rsidR="00A239AF" w:rsidRDefault="003E6632">
      <w:pPr>
        <w:spacing w:before="240" w:after="240" w:line="360" w:lineRule="auto"/>
        <w:ind w:left="720"/>
        <w:jc w:val="center"/>
        <w:rPr>
          <w:rFonts w:ascii="Century Gothic" w:eastAsia="Century Gothic" w:hAnsi="Century Gothic" w:cs="Century Gothic"/>
          <w:b/>
          <w:highlight w:val="white"/>
        </w:rPr>
      </w:pPr>
      <w:r>
        <w:rPr>
          <w:rFonts w:ascii="Century Gothic" w:eastAsia="Century Gothic" w:hAnsi="Century Gothic" w:cs="Century Gothic"/>
          <w:b/>
          <w:highlight w:val="white"/>
        </w:rPr>
        <w:t xml:space="preserve">  </w:t>
      </w:r>
    </w:p>
    <w:p w14:paraId="0000001D" w14:textId="77777777" w:rsidR="00A239AF" w:rsidRDefault="003E6632">
      <w:pPr>
        <w:spacing w:before="240" w:after="240" w:line="240" w:lineRule="auto"/>
        <w:ind w:left="720"/>
        <w:jc w:val="center"/>
        <w:rPr>
          <w:rFonts w:ascii="Century Gothic" w:eastAsia="Century Gothic" w:hAnsi="Century Gothic" w:cs="Century Gothic"/>
          <w:b/>
          <w:highlight w:val="white"/>
        </w:rPr>
      </w:pPr>
      <w:r>
        <w:rPr>
          <w:rFonts w:ascii="Century Gothic" w:eastAsia="Century Gothic" w:hAnsi="Century Gothic" w:cs="Century Gothic"/>
          <w:b/>
          <w:highlight w:val="white"/>
        </w:rPr>
        <w:t>FRANCISCO ADRIÁN SÁNCHEZ VILLEGAS</w:t>
      </w:r>
    </w:p>
    <w:p w14:paraId="0000001E" w14:textId="77777777" w:rsidR="00A239AF" w:rsidRDefault="003E6632">
      <w:pPr>
        <w:spacing w:before="240" w:after="240" w:line="240" w:lineRule="auto"/>
        <w:ind w:left="720"/>
        <w:jc w:val="center"/>
        <w:rPr>
          <w:rFonts w:ascii="Century Gothic" w:eastAsia="Century Gothic" w:hAnsi="Century Gothic" w:cs="Century Gothic"/>
          <w:b/>
          <w:highlight w:val="white"/>
        </w:rPr>
      </w:pPr>
      <w:r>
        <w:rPr>
          <w:rFonts w:ascii="Century Gothic" w:eastAsia="Century Gothic" w:hAnsi="Century Gothic" w:cs="Century Gothic"/>
          <w:b/>
          <w:highlight w:val="white"/>
        </w:rPr>
        <w:t>DIPUTADO CIUDADANO</w:t>
      </w:r>
    </w:p>
    <w:p w14:paraId="0000001F" w14:textId="77777777" w:rsidR="00A239AF" w:rsidRDefault="003E6632">
      <w:pPr>
        <w:spacing w:before="240" w:after="240" w:line="240" w:lineRule="auto"/>
        <w:ind w:left="720"/>
        <w:jc w:val="center"/>
        <w:rPr>
          <w:rFonts w:ascii="Century Gothic" w:eastAsia="Century Gothic" w:hAnsi="Century Gothic" w:cs="Century Gothic"/>
          <w:b/>
          <w:highlight w:val="white"/>
        </w:rPr>
      </w:pPr>
      <w:r>
        <w:rPr>
          <w:rFonts w:ascii="Century Gothic" w:eastAsia="Century Gothic" w:hAnsi="Century Gothic" w:cs="Century Gothic"/>
          <w:b/>
          <w:highlight w:val="white"/>
        </w:rPr>
        <w:t>GRUPO PARLAMENTARIO DE MOVIMIENTO CIUDADANO</w:t>
      </w:r>
    </w:p>
    <w:p w14:paraId="00000020" w14:textId="77777777" w:rsidR="00A239AF" w:rsidRDefault="00A239AF">
      <w:pPr>
        <w:spacing w:line="360" w:lineRule="auto"/>
        <w:ind w:left="720"/>
        <w:jc w:val="both"/>
        <w:rPr>
          <w:rFonts w:ascii="Roboto" w:eastAsia="Roboto" w:hAnsi="Roboto" w:cs="Roboto"/>
          <w:i/>
          <w:color w:val="666666"/>
          <w:sz w:val="23"/>
          <w:szCs w:val="23"/>
          <w:highlight w:val="white"/>
        </w:rPr>
      </w:pPr>
    </w:p>
    <w:sectPr w:rsidR="00A239A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401F0"/>
    <w:multiLevelType w:val="multilevel"/>
    <w:tmpl w:val="272E6A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9AF"/>
    <w:rsid w:val="003E6632"/>
    <w:rsid w:val="00A2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EB266"/>
  <w15:docId w15:val="{E439A094-8C5D-4830-B14F-F26D4B72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electoral.mc.chihuahua@gmail.com</cp:lastModifiedBy>
  <cp:revision>2</cp:revision>
  <dcterms:created xsi:type="dcterms:W3CDTF">2022-03-12T00:03:00Z</dcterms:created>
  <dcterms:modified xsi:type="dcterms:W3CDTF">2022-03-12T00:03:00Z</dcterms:modified>
</cp:coreProperties>
</file>