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A93239" w14:textId="77777777" w:rsidR="00A301DE" w:rsidRPr="00255C4C" w:rsidRDefault="00A301DE" w:rsidP="00255C4C">
      <w:pPr>
        <w:pStyle w:val="Default"/>
        <w:spacing w:line="360" w:lineRule="auto"/>
        <w:jc w:val="both"/>
        <w:rPr>
          <w:rFonts w:ascii="Century Gothic" w:hAnsi="Century Gothic" w:cs="Arial"/>
          <w:b/>
          <w:color w:val="auto"/>
          <w:lang w:val="es-ES_tradnl"/>
        </w:rPr>
      </w:pPr>
    </w:p>
    <w:p w14:paraId="3EF88AF3" w14:textId="77777777" w:rsidR="00A301DE" w:rsidRPr="00255C4C" w:rsidRDefault="00A301DE" w:rsidP="00255C4C">
      <w:pPr>
        <w:pStyle w:val="Default"/>
        <w:spacing w:line="360" w:lineRule="auto"/>
        <w:jc w:val="both"/>
        <w:rPr>
          <w:rFonts w:ascii="Century Gothic" w:hAnsi="Century Gothic" w:cs="Arial"/>
          <w:b/>
          <w:color w:val="auto"/>
          <w:lang w:val="es-ES_tradnl"/>
        </w:rPr>
      </w:pPr>
      <w:r w:rsidRPr="00255C4C">
        <w:rPr>
          <w:rFonts w:ascii="Century Gothic" w:hAnsi="Century Gothic" w:cs="Arial"/>
          <w:b/>
          <w:color w:val="auto"/>
          <w:lang w:val="es-ES_tradnl"/>
        </w:rPr>
        <w:t>H. CONGRESO DEL ESTADO DE CHIHUAHUA</w:t>
      </w:r>
    </w:p>
    <w:p w14:paraId="5FF768BD" w14:textId="77777777" w:rsidR="00A301DE" w:rsidRPr="00255C4C" w:rsidRDefault="00A301DE" w:rsidP="00255C4C">
      <w:pPr>
        <w:pStyle w:val="Default"/>
        <w:spacing w:line="360" w:lineRule="auto"/>
        <w:jc w:val="both"/>
        <w:rPr>
          <w:rFonts w:ascii="Century Gothic" w:hAnsi="Century Gothic" w:cs="Arial"/>
          <w:b/>
          <w:color w:val="auto"/>
          <w:lang w:val="es-ES_tradnl"/>
        </w:rPr>
      </w:pPr>
      <w:r w:rsidRPr="00255C4C">
        <w:rPr>
          <w:rFonts w:ascii="Century Gothic" w:hAnsi="Century Gothic" w:cs="Arial"/>
          <w:b/>
          <w:color w:val="auto"/>
          <w:lang w:val="es-ES_tradnl"/>
        </w:rPr>
        <w:t>P R E S E N T E.-</w:t>
      </w:r>
    </w:p>
    <w:p w14:paraId="3179FA0C" w14:textId="77777777" w:rsidR="00A301DE" w:rsidRPr="00255C4C" w:rsidRDefault="00A301DE" w:rsidP="00255C4C">
      <w:pPr>
        <w:pStyle w:val="Default"/>
        <w:spacing w:line="360" w:lineRule="auto"/>
        <w:ind w:firstLine="708"/>
        <w:jc w:val="both"/>
        <w:rPr>
          <w:rFonts w:ascii="Century Gothic" w:hAnsi="Century Gothic" w:cs="Arial"/>
          <w:color w:val="auto"/>
          <w:lang w:val="es-ES_tradnl"/>
        </w:rPr>
      </w:pPr>
    </w:p>
    <w:p w14:paraId="2F7A5A9A" w14:textId="3DB1E04E" w:rsidR="00A301DE" w:rsidRPr="00255C4C" w:rsidRDefault="00A301DE" w:rsidP="00255C4C">
      <w:pPr>
        <w:pStyle w:val="Default"/>
        <w:spacing w:line="360" w:lineRule="auto"/>
        <w:ind w:firstLine="708"/>
        <w:jc w:val="both"/>
        <w:rPr>
          <w:rFonts w:ascii="Century Gothic" w:hAnsi="Century Gothic" w:cs="Arial"/>
          <w:color w:val="auto"/>
          <w:lang w:val="es-ES_tradnl"/>
        </w:rPr>
      </w:pPr>
      <w:r w:rsidRPr="00255C4C">
        <w:rPr>
          <w:rFonts w:ascii="Century Gothic" w:hAnsi="Century Gothic" w:cs="Arial"/>
          <w:bCs/>
          <w:color w:val="auto"/>
          <w:lang w:val="es-ES_tradnl"/>
        </w:rPr>
        <w:t xml:space="preserve">Quien suscribe, </w:t>
      </w:r>
      <w:r w:rsidRPr="00255C4C">
        <w:rPr>
          <w:rFonts w:ascii="Century Gothic" w:hAnsi="Century Gothic" w:cs="Arial"/>
          <w:b/>
          <w:bCs/>
          <w:color w:val="auto"/>
          <w:lang w:val="es-ES_tradnl"/>
        </w:rPr>
        <w:t xml:space="preserve">Isela Martínez Díaz </w:t>
      </w:r>
      <w:r w:rsidRPr="00255C4C">
        <w:rPr>
          <w:rFonts w:ascii="Century Gothic" w:hAnsi="Century Gothic" w:cs="Arial"/>
          <w:color w:val="auto"/>
          <w:lang w:val="es-ES_tradnl"/>
        </w:rPr>
        <w:t xml:space="preserve">Diputada en la </w:t>
      </w:r>
      <w:r w:rsidR="004F42D3">
        <w:rPr>
          <w:rFonts w:ascii="Century Gothic" w:hAnsi="Century Gothic" w:cs="Arial"/>
          <w:color w:val="auto"/>
          <w:lang w:val="es-ES_tradnl"/>
        </w:rPr>
        <w:t>Sexagésima Séptima Legislatura</w:t>
      </w:r>
      <w:r w:rsidR="00C523EC">
        <w:rPr>
          <w:rFonts w:ascii="Century Gothic" w:hAnsi="Century Gothic" w:cs="Arial"/>
          <w:color w:val="auto"/>
          <w:lang w:val="es-ES_tradnl"/>
        </w:rPr>
        <w:t xml:space="preserve"> e</w:t>
      </w:r>
      <w:r w:rsidRPr="00255C4C">
        <w:rPr>
          <w:rFonts w:ascii="Century Gothic" w:hAnsi="Century Gothic" w:cs="Arial"/>
          <w:color w:val="auto"/>
          <w:lang w:val="es-ES_tradnl"/>
        </w:rPr>
        <w:t xml:space="preserve"> integrante del Grupo Parlamentario del Partido Acción Nacional, con fundamento en los artículos 68 fracción I y 82 fracción X, de la Constitución Política del estado de Chihuahua, correlacionados con el artículo 167, fracción I de la Ley Orgánica del Poder Legislativo del Estado y los correlativos 75, 76 y 77 del Reglamento Interior y de Prácticas Parlamentarias, es qué, someto a consideración de esta Honorable Asamblea, iniciativa con carácter de Decreto a efecto de reformar el decreto 280/08 II P.O. que da origen al reconocimiento denominado “Medalla al Mérito Cultural Víctor Hugo Rascón Banda” con el objeto de modificar la Comisión Legislativa encargada de organizarlo en virtud de las recientes reformas a la Ley Orgánica del Poder Legislativo, lo realizo al tenor de la siguiente:</w:t>
      </w:r>
    </w:p>
    <w:p w14:paraId="03F2A149" w14:textId="77777777" w:rsidR="00A301DE" w:rsidRPr="00255C4C" w:rsidRDefault="00A301DE" w:rsidP="00255C4C">
      <w:pPr>
        <w:spacing w:after="0" w:line="360" w:lineRule="auto"/>
        <w:jc w:val="both"/>
        <w:rPr>
          <w:rFonts w:ascii="Century Gothic" w:hAnsi="Century Gothic" w:cs="Arial"/>
          <w:b/>
          <w:sz w:val="24"/>
          <w:szCs w:val="24"/>
          <w:lang w:val="es-ES_tradnl"/>
        </w:rPr>
      </w:pPr>
    </w:p>
    <w:p w14:paraId="0E22311C" w14:textId="77777777" w:rsidR="00A301DE" w:rsidRPr="00255C4C" w:rsidRDefault="00A301DE" w:rsidP="00255C4C">
      <w:pPr>
        <w:spacing w:line="360" w:lineRule="auto"/>
        <w:jc w:val="center"/>
        <w:rPr>
          <w:rFonts w:ascii="Century Gothic" w:hAnsi="Century Gothic" w:cs="Arial"/>
          <w:b/>
          <w:sz w:val="24"/>
          <w:szCs w:val="24"/>
          <w:lang w:val="es-ES_tradnl"/>
        </w:rPr>
      </w:pPr>
      <w:r w:rsidRPr="00255C4C">
        <w:rPr>
          <w:rFonts w:ascii="Century Gothic" w:hAnsi="Century Gothic" w:cs="Arial"/>
          <w:b/>
          <w:sz w:val="24"/>
          <w:szCs w:val="24"/>
          <w:lang w:val="es-ES_tradnl"/>
        </w:rPr>
        <w:t>EXPOSICIÓN DE MOTIVOS:</w:t>
      </w:r>
    </w:p>
    <w:p w14:paraId="50C2AC81" w14:textId="77777777" w:rsidR="00675E7C" w:rsidRDefault="00675E7C" w:rsidP="00255C4C">
      <w:pPr>
        <w:spacing w:line="360" w:lineRule="auto"/>
        <w:ind w:firstLine="708"/>
        <w:jc w:val="both"/>
        <w:rPr>
          <w:rFonts w:ascii="Century Gothic" w:hAnsi="Century Gothic" w:cs="Arial"/>
          <w:color w:val="000000" w:themeColor="text1"/>
          <w:sz w:val="26"/>
          <w:szCs w:val="26"/>
          <w:lang w:val="es-ES_tradnl"/>
        </w:rPr>
      </w:pPr>
      <w:r w:rsidRPr="00255C4C">
        <w:rPr>
          <w:rFonts w:ascii="Century Gothic" w:hAnsi="Century Gothic" w:cs="Arial"/>
          <w:color w:val="000000" w:themeColor="text1"/>
          <w:sz w:val="26"/>
          <w:szCs w:val="26"/>
          <w:lang w:val="es-ES_tradnl"/>
        </w:rPr>
        <w:t xml:space="preserve">El 09 septiembre de 2021, los integrantes de la Junta de Coordinación Política presentaron Iniciativa con carácter de decreto, a efecto de reformar, adicionar y derogar diversas disposiciones de la Ley Orgánica del Poder Legislativo del Estado, a fin de restructurar comités y comisiones ordinarias del H. Congreso del Estado. </w:t>
      </w:r>
    </w:p>
    <w:p w14:paraId="5760A695" w14:textId="77777777" w:rsidR="00255C4C" w:rsidRPr="00255C4C" w:rsidRDefault="00255C4C" w:rsidP="00255C4C">
      <w:pPr>
        <w:spacing w:line="360" w:lineRule="auto"/>
        <w:ind w:firstLine="708"/>
        <w:jc w:val="both"/>
        <w:rPr>
          <w:rFonts w:ascii="Century Gothic" w:hAnsi="Century Gothic" w:cs="Arial"/>
          <w:color w:val="000000" w:themeColor="text1"/>
          <w:sz w:val="26"/>
          <w:szCs w:val="26"/>
          <w:lang w:val="es-ES_tradnl"/>
        </w:rPr>
      </w:pPr>
    </w:p>
    <w:p w14:paraId="31E3742D" w14:textId="77777777" w:rsidR="00675E7C" w:rsidRDefault="00675E7C" w:rsidP="00255C4C">
      <w:pPr>
        <w:spacing w:line="360" w:lineRule="auto"/>
        <w:ind w:firstLine="708"/>
        <w:jc w:val="both"/>
        <w:rPr>
          <w:rFonts w:ascii="Century Gothic" w:hAnsi="Century Gothic"/>
          <w:color w:val="000000" w:themeColor="text1"/>
          <w:sz w:val="24"/>
        </w:rPr>
      </w:pPr>
      <w:r w:rsidRPr="00255C4C">
        <w:rPr>
          <w:rFonts w:ascii="Century Gothic" w:hAnsi="Century Gothic" w:cs="Arial"/>
          <w:color w:val="000000" w:themeColor="text1"/>
          <w:sz w:val="26"/>
          <w:szCs w:val="26"/>
          <w:lang w:val="es-ES_tradnl"/>
        </w:rPr>
        <w:t>En este sentido, se reformaron</w:t>
      </w:r>
      <w:r w:rsidRPr="00255C4C">
        <w:rPr>
          <w:rFonts w:ascii="Century Gothic" w:hAnsi="Century Gothic"/>
          <w:color w:val="000000" w:themeColor="text1"/>
          <w:sz w:val="24"/>
        </w:rPr>
        <w:t xml:space="preserve"> los artículos 66, fracción IX, segundo párrafo; 96, segundo párrafo, fracciones I, VI, VII, IX, X, XVII, XVIII, XX y XXVI; 97, segundo párrafo; 98, primer párrafo; 113; 118; 119; 120, primer párrafo; 121, fracción II; Título Quinto, Capítulo VII, en su denominación; y 123, primer párrafo; se adicionan a los artículos 96, segundo párrafo, la fracción XXXIII; 97, cuarto párrafo; y 123 Bis, cuarto párrafo; se derogan a los artículos 96, segundo párrafo, las fracciones II, XXIV, XXVII, XXIX y XXXII y</w:t>
      </w:r>
      <w:r w:rsidRPr="00255C4C">
        <w:rPr>
          <w:rFonts w:ascii="Century Gothic" w:hAnsi="Century Gothic"/>
          <w:b/>
          <w:color w:val="000000" w:themeColor="text1"/>
          <w:sz w:val="24"/>
        </w:rPr>
        <w:t xml:space="preserve"> se adiciona la fracción XXXIII</w:t>
      </w:r>
      <w:r w:rsidRPr="00255C4C">
        <w:rPr>
          <w:rFonts w:ascii="Century Gothic" w:hAnsi="Century Gothic"/>
          <w:color w:val="000000" w:themeColor="text1"/>
          <w:sz w:val="24"/>
        </w:rPr>
        <w:t xml:space="preserve">; y 123 Bis, primer párrafo, las fracciones IV y V; todos de la Ley Orgánica del Poder Legislativo del Estado de Chihuahua. </w:t>
      </w:r>
    </w:p>
    <w:p w14:paraId="7DECB836" w14:textId="77777777" w:rsidR="00255C4C" w:rsidRPr="00255C4C" w:rsidRDefault="00255C4C" w:rsidP="00255C4C">
      <w:pPr>
        <w:spacing w:line="360" w:lineRule="auto"/>
        <w:ind w:firstLine="708"/>
        <w:jc w:val="both"/>
        <w:rPr>
          <w:rFonts w:ascii="Century Gothic" w:hAnsi="Century Gothic"/>
          <w:color w:val="000000" w:themeColor="text1"/>
          <w:sz w:val="24"/>
        </w:rPr>
      </w:pPr>
    </w:p>
    <w:p w14:paraId="7D63F5F6" w14:textId="77777777" w:rsidR="00675E7C" w:rsidRDefault="00675E7C" w:rsidP="00255C4C">
      <w:pPr>
        <w:spacing w:line="360" w:lineRule="auto"/>
        <w:ind w:firstLine="708"/>
        <w:jc w:val="both"/>
        <w:rPr>
          <w:rFonts w:ascii="Century Gothic" w:hAnsi="Century Gothic" w:cs="Arial"/>
          <w:color w:val="000000" w:themeColor="text1"/>
          <w:sz w:val="26"/>
          <w:szCs w:val="26"/>
          <w:lang w:val="es-ES_tradnl"/>
        </w:rPr>
      </w:pPr>
      <w:r w:rsidRPr="00255C4C">
        <w:rPr>
          <w:rFonts w:ascii="Century Gothic" w:hAnsi="Century Gothic" w:cs="Arial"/>
          <w:color w:val="000000" w:themeColor="text1"/>
          <w:sz w:val="26"/>
          <w:szCs w:val="26"/>
          <w:lang w:val="es-ES_tradnl"/>
        </w:rPr>
        <w:t xml:space="preserve">En el mismo tenor, al dictaminarse, se contempló la creación, división y la fusión de algunas de las comisiones por competencia y en otros casos realizar un cambio de denominación, con la finalidad de ser más incluyente y tratar los temas de manera trasversal. Un ejemplo de ello, es la </w:t>
      </w:r>
      <w:r w:rsidRPr="00255C4C">
        <w:rPr>
          <w:rFonts w:ascii="Century Gothic" w:hAnsi="Century Gothic" w:cs="Arial"/>
          <w:b/>
          <w:color w:val="000000" w:themeColor="text1"/>
          <w:sz w:val="26"/>
          <w:szCs w:val="26"/>
          <w:lang w:val="es-ES_tradnl"/>
        </w:rPr>
        <w:t>creación de la Comisión de Turismo y Cultura</w:t>
      </w:r>
      <w:r w:rsidRPr="00255C4C">
        <w:rPr>
          <w:rFonts w:ascii="Century Gothic" w:hAnsi="Century Gothic" w:cs="Arial"/>
          <w:color w:val="000000" w:themeColor="text1"/>
          <w:sz w:val="26"/>
          <w:szCs w:val="26"/>
          <w:lang w:val="es-ES_tradnl"/>
        </w:rPr>
        <w:t xml:space="preserve"> que nace de separar al turismo de la comisión de Economía, Turismo y Servicios, y que actualmente se modificó a Economía Industria y Comercio y la antigua </w:t>
      </w:r>
      <w:r w:rsidR="005522A9" w:rsidRPr="00255C4C">
        <w:rPr>
          <w:rFonts w:ascii="Century Gothic" w:hAnsi="Century Gothic" w:cs="Arial"/>
          <w:color w:val="000000" w:themeColor="text1"/>
          <w:sz w:val="26"/>
          <w:szCs w:val="26"/>
          <w:lang w:val="es-ES_tradnl"/>
        </w:rPr>
        <w:t>Comisión</w:t>
      </w:r>
      <w:r w:rsidRPr="00255C4C">
        <w:rPr>
          <w:rFonts w:ascii="Century Gothic" w:hAnsi="Century Gothic" w:cs="Arial"/>
          <w:color w:val="000000" w:themeColor="text1"/>
          <w:sz w:val="26"/>
          <w:szCs w:val="26"/>
          <w:lang w:val="es-ES_tradnl"/>
        </w:rPr>
        <w:t xml:space="preserve"> de </w:t>
      </w:r>
      <w:r w:rsidR="005522A9" w:rsidRPr="00255C4C">
        <w:rPr>
          <w:rFonts w:ascii="Century Gothic" w:hAnsi="Century Gothic" w:cs="Arial"/>
          <w:color w:val="000000" w:themeColor="text1"/>
          <w:sz w:val="26"/>
          <w:szCs w:val="26"/>
          <w:lang w:val="es-ES_tradnl"/>
        </w:rPr>
        <w:t>Educación</w:t>
      </w:r>
      <w:r w:rsidR="00255C4C" w:rsidRPr="00255C4C">
        <w:rPr>
          <w:rFonts w:ascii="Century Gothic" w:hAnsi="Century Gothic" w:cs="Arial"/>
          <w:color w:val="000000" w:themeColor="text1"/>
          <w:sz w:val="26"/>
          <w:szCs w:val="26"/>
          <w:lang w:val="es-ES_tradnl"/>
        </w:rPr>
        <w:t xml:space="preserve"> y</w:t>
      </w:r>
      <w:r w:rsidRPr="00255C4C">
        <w:rPr>
          <w:rFonts w:ascii="Century Gothic" w:hAnsi="Century Gothic" w:cs="Arial"/>
          <w:color w:val="000000" w:themeColor="text1"/>
          <w:sz w:val="26"/>
          <w:szCs w:val="26"/>
          <w:lang w:val="es-ES_tradnl"/>
        </w:rPr>
        <w:t xml:space="preserve"> Cultura, lo anterior con la finalidad de darle un trato especial al turismo y a la cultura que, aunque son temas que impactan directamente a la economía, se podrán analizar conjuntamente separándolas de economía y educación uniéndolos entre ellos pues están directamente relacionados.</w:t>
      </w:r>
    </w:p>
    <w:p w14:paraId="7EDFD26D" w14:textId="77777777" w:rsidR="00255C4C" w:rsidRPr="00255C4C" w:rsidRDefault="00255C4C" w:rsidP="00255C4C">
      <w:pPr>
        <w:spacing w:line="360" w:lineRule="auto"/>
        <w:ind w:firstLine="708"/>
        <w:jc w:val="both"/>
        <w:rPr>
          <w:rFonts w:ascii="Century Gothic" w:hAnsi="Century Gothic" w:cs="Arial"/>
          <w:color w:val="000000" w:themeColor="text1"/>
          <w:sz w:val="26"/>
          <w:szCs w:val="26"/>
          <w:lang w:val="es-ES_tradnl"/>
        </w:rPr>
      </w:pPr>
    </w:p>
    <w:p w14:paraId="6B98ADBC" w14:textId="77777777" w:rsidR="005522A9" w:rsidRDefault="00675E7C" w:rsidP="00255C4C">
      <w:pPr>
        <w:spacing w:line="360" w:lineRule="auto"/>
        <w:jc w:val="both"/>
        <w:rPr>
          <w:rFonts w:ascii="Century Gothic" w:hAnsi="Century Gothic" w:cs="Arial"/>
          <w:sz w:val="24"/>
          <w:szCs w:val="24"/>
        </w:rPr>
      </w:pPr>
      <w:r w:rsidRPr="00255C4C">
        <w:rPr>
          <w:rFonts w:ascii="Century Gothic" w:hAnsi="Century Gothic" w:cs="Arial"/>
          <w:color w:val="000000" w:themeColor="text1"/>
          <w:sz w:val="26"/>
          <w:szCs w:val="26"/>
          <w:lang w:val="es-ES_tradnl"/>
        </w:rPr>
        <w:tab/>
        <w:t xml:space="preserve">Es importante destacar que uno de los reconocimientos que </w:t>
      </w:r>
      <w:r w:rsidR="005522A9" w:rsidRPr="00255C4C">
        <w:rPr>
          <w:rFonts w:ascii="Century Gothic" w:hAnsi="Century Gothic" w:cs="Arial"/>
          <w:color w:val="000000" w:themeColor="text1"/>
          <w:sz w:val="26"/>
          <w:szCs w:val="26"/>
          <w:lang w:val="es-ES_tradnl"/>
        </w:rPr>
        <w:t>otorgaba</w:t>
      </w:r>
      <w:r w:rsidRPr="00255C4C">
        <w:rPr>
          <w:rFonts w:ascii="Century Gothic" w:hAnsi="Century Gothic" w:cs="Arial"/>
          <w:color w:val="000000" w:themeColor="text1"/>
          <w:sz w:val="26"/>
          <w:szCs w:val="26"/>
          <w:lang w:val="es-ES_tradnl"/>
        </w:rPr>
        <w:t xml:space="preserve"> la extinta </w:t>
      </w:r>
      <w:r w:rsidR="005522A9" w:rsidRPr="00255C4C">
        <w:rPr>
          <w:rFonts w:ascii="Century Gothic" w:hAnsi="Century Gothic" w:cs="Arial"/>
          <w:color w:val="000000" w:themeColor="text1"/>
          <w:sz w:val="26"/>
          <w:szCs w:val="26"/>
          <w:lang w:val="es-ES_tradnl"/>
        </w:rPr>
        <w:t>Comisión</w:t>
      </w:r>
      <w:r w:rsidRPr="00255C4C">
        <w:rPr>
          <w:rFonts w:ascii="Century Gothic" w:hAnsi="Century Gothic" w:cs="Arial"/>
          <w:color w:val="000000" w:themeColor="text1"/>
          <w:sz w:val="26"/>
          <w:szCs w:val="26"/>
          <w:lang w:val="es-ES_tradnl"/>
        </w:rPr>
        <w:t xml:space="preserve"> de Educación</w:t>
      </w:r>
      <w:r w:rsidR="00255C4C">
        <w:rPr>
          <w:rFonts w:ascii="Century Gothic" w:hAnsi="Century Gothic" w:cs="Arial"/>
          <w:color w:val="000000" w:themeColor="text1"/>
          <w:sz w:val="26"/>
          <w:szCs w:val="26"/>
          <w:lang w:val="es-ES_tradnl"/>
        </w:rPr>
        <w:t xml:space="preserve"> y Cultura</w:t>
      </w:r>
      <w:r w:rsidRPr="00255C4C">
        <w:rPr>
          <w:rFonts w:ascii="Century Gothic" w:hAnsi="Century Gothic" w:cs="Arial"/>
          <w:color w:val="000000" w:themeColor="text1"/>
          <w:sz w:val="26"/>
          <w:szCs w:val="26"/>
          <w:lang w:val="es-ES_tradnl"/>
        </w:rPr>
        <w:t xml:space="preserve">, era el denominado “Medalla al Mérito Cultural del Estado de Chihuahua, </w:t>
      </w:r>
      <w:r w:rsidR="005522A9" w:rsidRPr="00255C4C">
        <w:rPr>
          <w:rFonts w:ascii="Century Gothic" w:hAnsi="Century Gothic" w:cs="Arial"/>
          <w:color w:val="000000" w:themeColor="text1"/>
          <w:sz w:val="26"/>
          <w:szCs w:val="26"/>
          <w:lang w:val="es-ES_tradnl"/>
        </w:rPr>
        <w:t>Víctor</w:t>
      </w:r>
      <w:r w:rsidRPr="00255C4C">
        <w:rPr>
          <w:rFonts w:ascii="Century Gothic" w:hAnsi="Century Gothic" w:cs="Arial"/>
          <w:color w:val="000000" w:themeColor="text1"/>
          <w:sz w:val="26"/>
          <w:szCs w:val="26"/>
          <w:lang w:val="es-ES_tradnl"/>
        </w:rPr>
        <w:t xml:space="preserve"> Hugo </w:t>
      </w:r>
      <w:r w:rsidR="005522A9" w:rsidRPr="00255C4C">
        <w:rPr>
          <w:rFonts w:ascii="Century Gothic" w:hAnsi="Century Gothic" w:cs="Arial"/>
          <w:color w:val="000000" w:themeColor="text1"/>
          <w:sz w:val="26"/>
          <w:szCs w:val="26"/>
          <w:lang w:val="es-ES_tradnl"/>
        </w:rPr>
        <w:t>Rascón</w:t>
      </w:r>
      <w:r w:rsidRPr="00255C4C">
        <w:rPr>
          <w:rFonts w:ascii="Century Gothic" w:hAnsi="Century Gothic" w:cs="Arial"/>
          <w:color w:val="000000" w:themeColor="text1"/>
          <w:sz w:val="26"/>
          <w:szCs w:val="26"/>
          <w:lang w:val="es-ES_tradnl"/>
        </w:rPr>
        <w:t xml:space="preserve"> Banda” el cual nace derivado a que </w:t>
      </w:r>
      <w:r w:rsidRPr="00255C4C">
        <w:rPr>
          <w:rFonts w:ascii="Century Gothic" w:hAnsi="Century Gothic" w:cs="Arial"/>
          <w:sz w:val="24"/>
          <w:szCs w:val="24"/>
        </w:rPr>
        <w:t xml:space="preserve">en </w:t>
      </w:r>
      <w:r w:rsidR="00A301DE" w:rsidRPr="00255C4C">
        <w:rPr>
          <w:rFonts w:ascii="Century Gothic" w:hAnsi="Century Gothic" w:cs="Arial"/>
          <w:sz w:val="24"/>
          <w:szCs w:val="24"/>
        </w:rPr>
        <w:t xml:space="preserve">el mes de junio del año 2008, la LXII Legislatura del H. Congreso del </w:t>
      </w:r>
      <w:r w:rsidRPr="00255C4C">
        <w:rPr>
          <w:rFonts w:ascii="Century Gothic" w:hAnsi="Century Gothic" w:cs="Arial"/>
          <w:sz w:val="24"/>
          <w:szCs w:val="24"/>
        </w:rPr>
        <w:t xml:space="preserve"> </w:t>
      </w:r>
      <w:r w:rsidR="00A301DE" w:rsidRPr="00255C4C">
        <w:rPr>
          <w:rFonts w:ascii="Century Gothic" w:hAnsi="Century Gothic" w:cs="Arial"/>
          <w:sz w:val="24"/>
          <w:szCs w:val="24"/>
        </w:rPr>
        <w:t>Estado aprobó el Decreto 28</w:t>
      </w:r>
      <w:r w:rsidRPr="00255C4C">
        <w:rPr>
          <w:rFonts w:ascii="Century Gothic" w:hAnsi="Century Gothic" w:cs="Arial"/>
          <w:sz w:val="24"/>
          <w:szCs w:val="24"/>
        </w:rPr>
        <w:t>0/08 mediante el cual se declaró</w:t>
      </w:r>
      <w:r w:rsidR="00A301DE" w:rsidRPr="00255C4C">
        <w:rPr>
          <w:rFonts w:ascii="Century Gothic" w:hAnsi="Century Gothic" w:cs="Arial"/>
          <w:sz w:val="24"/>
          <w:szCs w:val="24"/>
        </w:rPr>
        <w:t xml:space="preserve"> al Maestro, Doctor y Dramaturgo Víctor Hugo Rascón Banda, "Chihuahuense Distinguido", señalando el día seis de agosto de ese año para hacer entrega de dicho reconocimiento en Sesión Solemne, por medio de una medalla diseñada especialmente para tal evento; además determinó la institución de la Medalla al Mérito Cultural del Estado de Chihuahua, "Víctor Hugo Rascón Banda", con el propósito de honrar la memoria del ilustre dramaturgo en aquellas o aquellos ciudadanos de origen chihuahuense que, bajo convocatoria anual que para el efecto se expida, se distingan por sobresalir en el ámbito cultural.</w:t>
      </w:r>
      <w:r w:rsidR="005522A9" w:rsidRPr="00255C4C">
        <w:rPr>
          <w:rFonts w:ascii="Century Gothic" w:hAnsi="Century Gothic" w:cs="Arial"/>
          <w:sz w:val="24"/>
          <w:szCs w:val="24"/>
        </w:rPr>
        <w:t xml:space="preserve"> </w:t>
      </w:r>
      <w:r w:rsidRPr="00255C4C">
        <w:rPr>
          <w:rFonts w:ascii="Century Gothic" w:hAnsi="Century Gothic" w:cs="Arial"/>
          <w:sz w:val="24"/>
          <w:szCs w:val="24"/>
        </w:rPr>
        <w:t>De conformidad a dicho decreto y a sus ulteriores reformas realizadas en 2019 (Decreto 371/2019 II P.E.)</w:t>
      </w:r>
      <w:r w:rsidR="005522A9" w:rsidRPr="00255C4C">
        <w:rPr>
          <w:rFonts w:ascii="Century Gothic" w:hAnsi="Century Gothic" w:cs="Arial"/>
          <w:sz w:val="24"/>
          <w:szCs w:val="24"/>
        </w:rPr>
        <w:t>.</w:t>
      </w:r>
    </w:p>
    <w:p w14:paraId="5B4DF52A" w14:textId="77777777" w:rsidR="00255C4C" w:rsidRPr="00255C4C" w:rsidRDefault="00255C4C" w:rsidP="00255C4C">
      <w:pPr>
        <w:spacing w:line="360" w:lineRule="auto"/>
        <w:jc w:val="both"/>
        <w:rPr>
          <w:rFonts w:ascii="Century Gothic" w:hAnsi="Century Gothic" w:cs="Arial"/>
          <w:sz w:val="24"/>
          <w:szCs w:val="24"/>
        </w:rPr>
      </w:pPr>
    </w:p>
    <w:p w14:paraId="58C32D70" w14:textId="77777777" w:rsidR="00A301DE" w:rsidRPr="00255C4C" w:rsidRDefault="00A301DE" w:rsidP="00255C4C">
      <w:pPr>
        <w:spacing w:line="360" w:lineRule="auto"/>
        <w:ind w:firstLine="708"/>
        <w:jc w:val="both"/>
        <w:rPr>
          <w:rFonts w:ascii="Century Gothic" w:eastAsia="Times New Roman" w:hAnsi="Century Gothic" w:cs="Arial"/>
          <w:sz w:val="24"/>
          <w:szCs w:val="24"/>
          <w:lang w:val="es-ES_tradnl" w:eastAsia="es-MX"/>
        </w:rPr>
      </w:pPr>
      <w:r w:rsidRPr="00255C4C">
        <w:rPr>
          <w:rFonts w:ascii="Century Gothic" w:eastAsia="Times New Roman" w:hAnsi="Century Gothic" w:cs="Arial"/>
          <w:sz w:val="24"/>
          <w:szCs w:val="24"/>
          <w:lang w:val="es-ES_tradnl" w:eastAsia="es-MX"/>
        </w:rPr>
        <w:t xml:space="preserve">Es por lo anterior que, </w:t>
      </w:r>
      <w:r w:rsidR="005522A9" w:rsidRPr="00255C4C">
        <w:rPr>
          <w:rFonts w:ascii="Century Gothic" w:eastAsia="Times New Roman" w:hAnsi="Century Gothic" w:cs="Arial"/>
          <w:sz w:val="24"/>
          <w:szCs w:val="24"/>
          <w:lang w:val="es-ES_tradnl" w:eastAsia="es-MX"/>
        </w:rPr>
        <w:t>derivado de las reformas antes mencionadas y a que el contenido del decreto ha quedado desactualizado es que se propone que sea la Comisión de Turismo y Cultura la que organice el premio antes mencionado, dado su ámbito de competencia para lo cual resulta idónea  y de esta manera armonizarlo con la legislación que rige al Poder Legislativo Estatal</w:t>
      </w:r>
      <w:r w:rsidR="00255C4C">
        <w:rPr>
          <w:rFonts w:ascii="Century Gothic" w:eastAsia="Times New Roman" w:hAnsi="Century Gothic" w:cs="Arial"/>
          <w:sz w:val="24"/>
          <w:szCs w:val="24"/>
          <w:lang w:eastAsia="es-MX"/>
        </w:rPr>
        <w:t>.</w:t>
      </w:r>
    </w:p>
    <w:p w14:paraId="52B31214" w14:textId="77777777" w:rsidR="00A301DE" w:rsidRPr="00255C4C" w:rsidRDefault="00A301DE" w:rsidP="00255C4C">
      <w:pPr>
        <w:autoSpaceDE w:val="0"/>
        <w:autoSpaceDN w:val="0"/>
        <w:adjustRightInd w:val="0"/>
        <w:spacing w:after="0" w:line="360" w:lineRule="auto"/>
        <w:jc w:val="both"/>
        <w:rPr>
          <w:rFonts w:ascii="Century Gothic" w:eastAsia="Times New Roman" w:hAnsi="Century Gothic" w:cs="Arial"/>
          <w:color w:val="2F2F2F"/>
          <w:sz w:val="24"/>
          <w:szCs w:val="24"/>
          <w:lang w:val="es-ES_tradnl" w:eastAsia="es-MX"/>
        </w:rPr>
      </w:pPr>
    </w:p>
    <w:p w14:paraId="3AC974CA" w14:textId="77777777" w:rsidR="00A301DE" w:rsidRDefault="00A301DE" w:rsidP="00255C4C">
      <w:pPr>
        <w:spacing w:line="360" w:lineRule="auto"/>
        <w:ind w:firstLine="708"/>
        <w:jc w:val="both"/>
        <w:rPr>
          <w:rFonts w:ascii="Century Gothic" w:hAnsi="Century Gothic" w:cs="Arial"/>
          <w:bCs/>
          <w:sz w:val="24"/>
          <w:szCs w:val="24"/>
          <w:lang w:val="es-ES_tradnl"/>
        </w:rPr>
      </w:pPr>
      <w:r w:rsidRPr="00255C4C">
        <w:rPr>
          <w:rFonts w:ascii="Century Gothic" w:hAnsi="Century Gothic"/>
          <w:sz w:val="24"/>
          <w:szCs w:val="24"/>
          <w:lang w:val="es-ES_tradnl"/>
        </w:rPr>
        <w:t xml:space="preserve">En virtud de lo anterior y con fundamento en las consideraciones y preceptos legales que anteceden, someto a </w:t>
      </w:r>
      <w:r w:rsidR="005522A9" w:rsidRPr="00255C4C">
        <w:rPr>
          <w:rFonts w:ascii="Century Gothic" w:hAnsi="Century Gothic"/>
          <w:sz w:val="24"/>
          <w:szCs w:val="24"/>
          <w:lang w:val="es-ES_tradnl"/>
        </w:rPr>
        <w:t xml:space="preserve">su </w:t>
      </w:r>
      <w:r w:rsidRPr="00255C4C">
        <w:rPr>
          <w:rFonts w:ascii="Century Gothic" w:hAnsi="Century Gothic"/>
          <w:sz w:val="24"/>
          <w:szCs w:val="24"/>
          <w:lang w:val="es-ES_tradnl"/>
        </w:rPr>
        <w:t xml:space="preserve">consideración, el siguiente </w:t>
      </w:r>
      <w:r w:rsidRPr="00255C4C">
        <w:rPr>
          <w:rFonts w:ascii="Century Gothic" w:hAnsi="Century Gothic" w:cs="Arial"/>
          <w:bCs/>
          <w:sz w:val="24"/>
          <w:szCs w:val="24"/>
          <w:lang w:val="es-ES_tradnl"/>
        </w:rPr>
        <w:t>proyecto</w:t>
      </w:r>
      <w:r w:rsidRPr="00255C4C">
        <w:rPr>
          <w:rFonts w:ascii="Century Gothic" w:hAnsi="Century Gothic"/>
          <w:sz w:val="24"/>
          <w:szCs w:val="24"/>
          <w:lang w:val="es-ES_tradnl"/>
        </w:rPr>
        <w:t xml:space="preserve"> d</w:t>
      </w:r>
      <w:r w:rsidRPr="00255C4C">
        <w:rPr>
          <w:rFonts w:ascii="Century Gothic" w:hAnsi="Century Gothic" w:cs="Arial"/>
          <w:bCs/>
          <w:sz w:val="24"/>
          <w:szCs w:val="24"/>
          <w:lang w:val="es-ES_tradnl"/>
        </w:rPr>
        <w:t>e:</w:t>
      </w:r>
    </w:p>
    <w:p w14:paraId="5D9235F5" w14:textId="77777777" w:rsidR="00255C4C" w:rsidRPr="00255C4C" w:rsidRDefault="00255C4C" w:rsidP="00255C4C">
      <w:pPr>
        <w:spacing w:line="360" w:lineRule="auto"/>
        <w:jc w:val="both"/>
        <w:rPr>
          <w:rFonts w:ascii="Century Gothic" w:hAnsi="Century Gothic" w:cs="Arial"/>
          <w:bCs/>
          <w:sz w:val="24"/>
          <w:szCs w:val="24"/>
          <w:lang w:val="es-ES_tradnl"/>
        </w:rPr>
      </w:pPr>
    </w:p>
    <w:p w14:paraId="4D2CEA45" w14:textId="77777777" w:rsidR="00255C4C" w:rsidRPr="00255C4C" w:rsidRDefault="00A301DE" w:rsidP="00255C4C">
      <w:pPr>
        <w:spacing w:line="360" w:lineRule="auto"/>
        <w:jc w:val="center"/>
        <w:rPr>
          <w:rFonts w:ascii="Century Gothic" w:eastAsia="Arial" w:hAnsi="Century Gothic" w:cs="Arial"/>
          <w:b/>
          <w:sz w:val="24"/>
          <w:szCs w:val="24"/>
          <w:lang w:val="es-ES_tradnl"/>
        </w:rPr>
      </w:pPr>
      <w:r w:rsidRPr="00255C4C">
        <w:rPr>
          <w:rFonts w:ascii="Century Gothic" w:eastAsia="Arial" w:hAnsi="Century Gothic" w:cs="Arial"/>
          <w:b/>
          <w:sz w:val="24"/>
          <w:szCs w:val="24"/>
          <w:lang w:val="es-ES_tradnl"/>
        </w:rPr>
        <w:t>DECRETO</w:t>
      </w:r>
    </w:p>
    <w:p w14:paraId="4F2432FB" w14:textId="77777777" w:rsidR="00A301DE" w:rsidRPr="00255C4C" w:rsidRDefault="005522A9" w:rsidP="00255C4C">
      <w:pPr>
        <w:spacing w:line="360" w:lineRule="auto"/>
        <w:jc w:val="both"/>
        <w:rPr>
          <w:rFonts w:ascii="Century Gothic" w:eastAsia="Arial" w:hAnsi="Century Gothic" w:cs="Arial"/>
          <w:sz w:val="24"/>
          <w:szCs w:val="24"/>
          <w:lang w:val="es-ES_tradnl"/>
        </w:rPr>
      </w:pPr>
      <w:r w:rsidRPr="00255C4C">
        <w:rPr>
          <w:rFonts w:ascii="Century Gothic" w:eastAsia="Arial" w:hAnsi="Century Gothic" w:cs="Arial"/>
          <w:b/>
          <w:sz w:val="24"/>
          <w:szCs w:val="24"/>
          <w:lang w:val="es-ES_tradnl"/>
        </w:rPr>
        <w:t>ARTÍCULO ÚNICO</w:t>
      </w:r>
      <w:r w:rsidR="00A301DE" w:rsidRPr="00255C4C">
        <w:rPr>
          <w:rFonts w:ascii="Century Gothic" w:eastAsia="Arial" w:hAnsi="Century Gothic" w:cs="Arial"/>
          <w:b/>
          <w:sz w:val="24"/>
          <w:szCs w:val="24"/>
          <w:lang w:val="es-ES_tradnl"/>
        </w:rPr>
        <w:t xml:space="preserve">. </w:t>
      </w:r>
      <w:r w:rsidR="00A301DE" w:rsidRPr="00255C4C">
        <w:rPr>
          <w:rFonts w:ascii="Century Gothic" w:eastAsia="Arial" w:hAnsi="Century Gothic" w:cs="Arial"/>
          <w:sz w:val="24"/>
          <w:szCs w:val="24"/>
          <w:lang w:val="es-ES_tradnl"/>
        </w:rPr>
        <w:t xml:space="preserve">Se reforma el </w:t>
      </w:r>
      <w:r w:rsidRPr="00255C4C">
        <w:rPr>
          <w:rFonts w:ascii="Century Gothic" w:eastAsia="Arial" w:hAnsi="Century Gothic" w:cs="Arial"/>
          <w:sz w:val="24"/>
          <w:szCs w:val="24"/>
          <w:lang w:val="es-ES_tradnl"/>
        </w:rPr>
        <w:t>ARTÍCULO SEGUNDO</w:t>
      </w:r>
      <w:r w:rsidR="00A301DE" w:rsidRPr="00255C4C">
        <w:rPr>
          <w:rFonts w:ascii="Century Gothic" w:eastAsia="Arial" w:hAnsi="Century Gothic" w:cs="Arial"/>
          <w:sz w:val="24"/>
          <w:szCs w:val="24"/>
          <w:lang w:val="es-ES_tradnl"/>
        </w:rPr>
        <w:t xml:space="preserve"> del </w:t>
      </w:r>
      <w:r w:rsidRPr="00255C4C">
        <w:rPr>
          <w:rFonts w:ascii="Century Gothic" w:eastAsia="Arial" w:hAnsi="Century Gothic" w:cs="Arial"/>
          <w:sz w:val="24"/>
          <w:szCs w:val="24"/>
          <w:lang w:val="es-ES_tradnl"/>
        </w:rPr>
        <w:t>Decreto 280/08 II P.O.</w:t>
      </w:r>
      <w:r w:rsidR="00A301DE" w:rsidRPr="00255C4C">
        <w:rPr>
          <w:rFonts w:ascii="Century Gothic" w:eastAsia="Arial" w:hAnsi="Century Gothic" w:cs="Arial"/>
          <w:sz w:val="24"/>
          <w:szCs w:val="24"/>
          <w:lang w:val="es-ES_tradnl"/>
        </w:rPr>
        <w:t xml:space="preserve"> para quedar </w:t>
      </w:r>
      <w:r w:rsidRPr="00255C4C">
        <w:rPr>
          <w:rFonts w:ascii="Century Gothic" w:eastAsia="Arial" w:hAnsi="Century Gothic" w:cs="Arial"/>
          <w:sz w:val="24"/>
          <w:szCs w:val="24"/>
          <w:lang w:val="es-ES_tradnl"/>
        </w:rPr>
        <w:t xml:space="preserve">redactado </w:t>
      </w:r>
      <w:r w:rsidR="00A301DE" w:rsidRPr="00255C4C">
        <w:rPr>
          <w:rFonts w:ascii="Century Gothic" w:eastAsia="Arial" w:hAnsi="Century Gothic" w:cs="Arial"/>
          <w:sz w:val="24"/>
          <w:szCs w:val="24"/>
          <w:lang w:val="es-ES_tradnl"/>
        </w:rPr>
        <w:t xml:space="preserve">de la siguiente forma: </w:t>
      </w:r>
    </w:p>
    <w:p w14:paraId="3AC49FD3" w14:textId="77777777" w:rsidR="00A301DE" w:rsidRPr="00255C4C" w:rsidRDefault="00255C4C" w:rsidP="00255C4C">
      <w:pPr>
        <w:spacing w:line="360" w:lineRule="auto"/>
        <w:jc w:val="both"/>
        <w:rPr>
          <w:rFonts w:ascii="Century Gothic" w:hAnsi="Century Gothic" w:cstheme="majorHAnsi"/>
          <w:i/>
          <w:sz w:val="24"/>
          <w:szCs w:val="24"/>
        </w:rPr>
      </w:pPr>
      <w:r w:rsidRPr="00255C4C">
        <w:rPr>
          <w:rFonts w:ascii="Century Gothic" w:hAnsi="Century Gothic" w:cstheme="majorHAnsi"/>
          <w:i/>
          <w:sz w:val="24"/>
          <w:szCs w:val="24"/>
        </w:rPr>
        <w:t>ARTÍCULO PRIMERO.- …</w:t>
      </w:r>
    </w:p>
    <w:p w14:paraId="243436EC" w14:textId="77777777" w:rsidR="00255C4C" w:rsidRDefault="00255C4C" w:rsidP="00255C4C">
      <w:pPr>
        <w:spacing w:line="360" w:lineRule="auto"/>
        <w:jc w:val="both"/>
        <w:rPr>
          <w:rFonts w:ascii="Century Gothic" w:hAnsi="Century Gothic" w:cstheme="majorHAnsi"/>
          <w:sz w:val="24"/>
          <w:szCs w:val="24"/>
        </w:rPr>
      </w:pPr>
      <w:r w:rsidRPr="00255C4C">
        <w:rPr>
          <w:rFonts w:ascii="Century Gothic" w:hAnsi="Century Gothic" w:cstheme="majorHAnsi"/>
          <w:b/>
          <w:sz w:val="24"/>
          <w:szCs w:val="24"/>
        </w:rPr>
        <w:t xml:space="preserve">ARTICULO SEGUNDO.- </w:t>
      </w:r>
      <w:r w:rsidRPr="00255C4C">
        <w:rPr>
          <w:rFonts w:ascii="Century Gothic" w:hAnsi="Century Gothic" w:cstheme="majorHAnsi"/>
          <w:sz w:val="24"/>
          <w:szCs w:val="24"/>
        </w:rPr>
        <w:t xml:space="preserve">La Sexagésima Segunda Legislatura del Honorable Congreso del Estado de Chihuahua, instituye el reconocimiento denominado “Medalla al Mérito Cultural del Estado de Chihuahua, Víctor Hugo Rascón Banda”, en la cual se podrán abarcar indistintamente trabajos en todas las disciplinas de las bellas artes, misma que será entregada a partir del año 2009, en Sesión Solemne durante la última quincena del mes de septiembre y la primera quincena del mes de octubre, al ciudadano o ciudadana que se distinga por sobresalir en el ámbito cultural chihuahuense, a partir de la convocatoria pública que emita la </w:t>
      </w:r>
      <w:r w:rsidRPr="00255C4C">
        <w:rPr>
          <w:rFonts w:ascii="Century Gothic" w:hAnsi="Century Gothic" w:cstheme="majorHAnsi"/>
          <w:b/>
          <w:sz w:val="24"/>
          <w:szCs w:val="24"/>
        </w:rPr>
        <w:t>Comisión de Turismo y Cultura</w:t>
      </w:r>
      <w:r w:rsidRPr="00255C4C">
        <w:rPr>
          <w:rFonts w:ascii="Century Gothic" w:hAnsi="Century Gothic" w:cstheme="majorHAnsi"/>
          <w:sz w:val="24"/>
          <w:szCs w:val="24"/>
        </w:rPr>
        <w:t xml:space="preserve"> de esta Alta Representación Popular, durante el mes de junio de cada año.</w:t>
      </w:r>
    </w:p>
    <w:p w14:paraId="022BCA57" w14:textId="77777777" w:rsidR="00255C4C" w:rsidRPr="00255C4C" w:rsidRDefault="00255C4C" w:rsidP="00255C4C">
      <w:pPr>
        <w:spacing w:line="360" w:lineRule="auto"/>
        <w:jc w:val="both"/>
        <w:rPr>
          <w:rFonts w:ascii="Century Gothic" w:hAnsi="Century Gothic" w:cstheme="majorHAnsi"/>
          <w:i/>
          <w:sz w:val="24"/>
          <w:szCs w:val="24"/>
        </w:rPr>
      </w:pPr>
      <w:r>
        <w:rPr>
          <w:rFonts w:ascii="Century Gothic" w:hAnsi="Century Gothic" w:cstheme="majorHAnsi"/>
          <w:i/>
          <w:sz w:val="24"/>
          <w:szCs w:val="24"/>
        </w:rPr>
        <w:t>ARTÍCULO TERCERO.- …</w:t>
      </w:r>
    </w:p>
    <w:p w14:paraId="64FE0D79" w14:textId="77777777" w:rsidR="005522A9" w:rsidRPr="00255C4C" w:rsidRDefault="005522A9" w:rsidP="00255C4C">
      <w:pPr>
        <w:autoSpaceDE w:val="0"/>
        <w:autoSpaceDN w:val="0"/>
        <w:adjustRightInd w:val="0"/>
        <w:spacing w:after="160" w:line="360" w:lineRule="auto"/>
        <w:ind w:right="-234"/>
        <w:jc w:val="center"/>
        <w:rPr>
          <w:rFonts w:ascii="Century Gothic" w:hAnsi="Century Gothic" w:cs="Arial"/>
          <w:b/>
          <w:sz w:val="24"/>
          <w:szCs w:val="24"/>
          <w:lang w:val="es-ES_tradnl"/>
        </w:rPr>
      </w:pPr>
      <w:r w:rsidRPr="00255C4C">
        <w:rPr>
          <w:rFonts w:ascii="Century Gothic" w:hAnsi="Century Gothic" w:cs="Arial"/>
          <w:b/>
          <w:sz w:val="24"/>
          <w:szCs w:val="24"/>
          <w:lang w:val="es-ES_tradnl"/>
        </w:rPr>
        <w:t>T R A N S I T O R I O S</w:t>
      </w:r>
    </w:p>
    <w:p w14:paraId="0157B8B3" w14:textId="77777777" w:rsidR="005522A9" w:rsidRPr="00255C4C" w:rsidRDefault="005522A9" w:rsidP="00255C4C">
      <w:pPr>
        <w:autoSpaceDE w:val="0"/>
        <w:autoSpaceDN w:val="0"/>
        <w:adjustRightInd w:val="0"/>
        <w:spacing w:after="160" w:line="360" w:lineRule="auto"/>
        <w:ind w:right="-234"/>
        <w:jc w:val="both"/>
        <w:rPr>
          <w:rFonts w:ascii="Century Gothic" w:hAnsi="Century Gothic" w:cs="Arial"/>
          <w:b/>
          <w:sz w:val="24"/>
          <w:szCs w:val="24"/>
          <w:lang w:val="es-ES_tradnl"/>
        </w:rPr>
      </w:pPr>
      <w:r w:rsidRPr="00255C4C">
        <w:rPr>
          <w:rFonts w:ascii="Century Gothic" w:hAnsi="Century Gothic" w:cs="Arial"/>
          <w:b/>
          <w:sz w:val="24"/>
          <w:szCs w:val="24"/>
          <w:lang w:val="es-ES_tradnl"/>
        </w:rPr>
        <w:lastRenderedPageBreak/>
        <w:t xml:space="preserve">ÚNICO. - </w:t>
      </w:r>
      <w:r w:rsidRPr="00255C4C">
        <w:rPr>
          <w:rFonts w:ascii="Century Gothic" w:hAnsi="Century Gothic" w:cs="Arial"/>
          <w:sz w:val="24"/>
          <w:szCs w:val="24"/>
          <w:lang w:val="es-ES_tradnl"/>
        </w:rPr>
        <w:t>El presente Decreto entrará en vigor al día siguiente de su publicación en el Periódico Oficial del Estado</w:t>
      </w:r>
      <w:r w:rsidRPr="00255C4C">
        <w:rPr>
          <w:rFonts w:ascii="Century Gothic" w:hAnsi="Century Gothic" w:cs="Arial"/>
          <w:b/>
          <w:sz w:val="24"/>
          <w:szCs w:val="24"/>
          <w:lang w:val="es-ES_tradnl"/>
        </w:rPr>
        <w:t>.</w:t>
      </w:r>
    </w:p>
    <w:p w14:paraId="1D555810" w14:textId="77777777" w:rsidR="00A301DE" w:rsidRPr="00255C4C" w:rsidRDefault="00A301DE" w:rsidP="00255C4C">
      <w:pPr>
        <w:autoSpaceDE w:val="0"/>
        <w:autoSpaceDN w:val="0"/>
        <w:adjustRightInd w:val="0"/>
        <w:spacing w:after="160" w:line="360" w:lineRule="auto"/>
        <w:ind w:right="-234"/>
        <w:jc w:val="both"/>
        <w:rPr>
          <w:rFonts w:ascii="Century Gothic" w:hAnsi="Century Gothic" w:cs="Arial"/>
          <w:color w:val="000000"/>
          <w:sz w:val="24"/>
          <w:szCs w:val="24"/>
          <w:lang w:val="es-ES_tradnl"/>
        </w:rPr>
      </w:pPr>
      <w:r w:rsidRPr="00255C4C">
        <w:rPr>
          <w:rFonts w:ascii="Century Gothic" w:hAnsi="Century Gothic" w:cs="Arial"/>
          <w:b/>
          <w:bCs/>
          <w:color w:val="000000"/>
          <w:sz w:val="24"/>
          <w:szCs w:val="24"/>
          <w:lang w:val="es-ES_tradnl"/>
        </w:rPr>
        <w:t>Económico.</w:t>
      </w:r>
      <w:r w:rsidRPr="00255C4C">
        <w:rPr>
          <w:rFonts w:ascii="Century Gothic" w:hAnsi="Century Gothic" w:cs="Arial"/>
          <w:color w:val="000000"/>
          <w:sz w:val="24"/>
          <w:szCs w:val="24"/>
          <w:lang w:val="es-ES_tradnl"/>
        </w:rPr>
        <w:t xml:space="preserve"> Aprobado que sea, túrnese a la Secretaría para que elabore la Minuta de Acuerdo correspondiente.  </w:t>
      </w:r>
    </w:p>
    <w:p w14:paraId="6E2017A8" w14:textId="7C4B9D74" w:rsidR="00A301DE" w:rsidRPr="00255C4C" w:rsidRDefault="00A301DE" w:rsidP="00255C4C">
      <w:pPr>
        <w:autoSpaceDE w:val="0"/>
        <w:autoSpaceDN w:val="0"/>
        <w:adjustRightInd w:val="0"/>
        <w:spacing w:line="360" w:lineRule="auto"/>
        <w:ind w:right="-234"/>
        <w:jc w:val="both"/>
        <w:rPr>
          <w:rFonts w:ascii="Century Gothic" w:hAnsi="Century Gothic" w:cs="Arial"/>
          <w:color w:val="000000"/>
          <w:sz w:val="24"/>
          <w:szCs w:val="24"/>
          <w:lang w:val="es-ES_tradnl"/>
        </w:rPr>
      </w:pPr>
      <w:r w:rsidRPr="00255C4C">
        <w:rPr>
          <w:rFonts w:ascii="Century Gothic" w:hAnsi="Century Gothic" w:cs="Arial"/>
          <w:b/>
          <w:bCs/>
          <w:color w:val="000000"/>
          <w:sz w:val="24"/>
          <w:szCs w:val="24"/>
          <w:lang w:val="es-ES_tradnl"/>
        </w:rPr>
        <w:t>D A D O</w:t>
      </w:r>
      <w:r w:rsidRPr="00255C4C">
        <w:rPr>
          <w:rFonts w:ascii="Century Gothic" w:hAnsi="Century Gothic" w:cs="Arial"/>
          <w:color w:val="000000"/>
          <w:sz w:val="24"/>
          <w:szCs w:val="24"/>
          <w:lang w:val="es-ES_tradnl"/>
        </w:rPr>
        <w:t xml:space="preserve"> en Sesión </w:t>
      </w:r>
      <w:r w:rsidR="004F42D3">
        <w:rPr>
          <w:rFonts w:ascii="Century Gothic" w:hAnsi="Century Gothic" w:cs="Arial"/>
          <w:color w:val="000000"/>
          <w:sz w:val="24"/>
          <w:szCs w:val="24"/>
          <w:lang w:val="es-ES_tradnl"/>
        </w:rPr>
        <w:t xml:space="preserve">Virtual </w:t>
      </w:r>
      <w:r w:rsidRPr="00255C4C">
        <w:rPr>
          <w:rFonts w:ascii="Century Gothic" w:hAnsi="Century Gothic" w:cs="Arial"/>
          <w:color w:val="000000"/>
          <w:sz w:val="24"/>
          <w:szCs w:val="24"/>
          <w:lang w:val="es-ES_tradnl"/>
        </w:rPr>
        <w:t>del Poder Legi</w:t>
      </w:r>
      <w:r w:rsidR="004F42D3">
        <w:rPr>
          <w:rFonts w:ascii="Century Gothic" w:hAnsi="Century Gothic" w:cs="Arial"/>
          <w:color w:val="000000"/>
          <w:sz w:val="24"/>
          <w:szCs w:val="24"/>
          <w:lang w:val="es-ES_tradnl"/>
        </w:rPr>
        <w:t>slativo d</w:t>
      </w:r>
      <w:r w:rsidR="00C523EC">
        <w:rPr>
          <w:rFonts w:ascii="Century Gothic" w:hAnsi="Century Gothic" w:cs="Arial"/>
          <w:color w:val="000000"/>
          <w:sz w:val="24"/>
          <w:szCs w:val="24"/>
          <w:lang w:val="es-ES_tradnl"/>
        </w:rPr>
        <w:t>e Chihuahua, a los 22</w:t>
      </w:r>
      <w:bookmarkStart w:id="0" w:name="_GoBack"/>
      <w:bookmarkEnd w:id="0"/>
      <w:r w:rsidR="004F42D3">
        <w:rPr>
          <w:rFonts w:ascii="Century Gothic" w:hAnsi="Century Gothic" w:cs="Arial"/>
          <w:color w:val="000000"/>
          <w:sz w:val="24"/>
          <w:szCs w:val="24"/>
          <w:lang w:val="es-ES_tradnl"/>
        </w:rPr>
        <w:t xml:space="preserve"> días del mes de Febrero</w:t>
      </w:r>
      <w:r w:rsidRPr="00255C4C">
        <w:rPr>
          <w:rFonts w:ascii="Century Gothic" w:hAnsi="Century Gothic" w:cs="Arial"/>
          <w:color w:val="000000"/>
          <w:sz w:val="24"/>
          <w:szCs w:val="24"/>
          <w:lang w:val="es-ES_tradnl"/>
        </w:rPr>
        <w:t xml:space="preserve"> del año dos mil </w:t>
      </w:r>
      <w:r w:rsidR="004F42D3" w:rsidRPr="00255C4C">
        <w:rPr>
          <w:rFonts w:ascii="Century Gothic" w:hAnsi="Century Gothic" w:cs="Arial"/>
          <w:color w:val="000000"/>
          <w:sz w:val="24"/>
          <w:szCs w:val="24"/>
          <w:lang w:val="es-ES_tradnl"/>
        </w:rPr>
        <w:t>veintidós</w:t>
      </w:r>
      <w:r w:rsidRPr="00255C4C">
        <w:rPr>
          <w:rFonts w:ascii="Century Gothic" w:hAnsi="Century Gothic" w:cs="Arial"/>
          <w:color w:val="000000"/>
          <w:sz w:val="24"/>
          <w:szCs w:val="24"/>
          <w:lang w:val="es-ES_tradnl"/>
        </w:rPr>
        <w:t xml:space="preserve">. </w:t>
      </w:r>
    </w:p>
    <w:p w14:paraId="60387610" w14:textId="77777777" w:rsidR="00A301DE" w:rsidRPr="00255C4C" w:rsidRDefault="00A301DE" w:rsidP="00255C4C">
      <w:pPr>
        <w:spacing w:line="360" w:lineRule="auto"/>
        <w:jc w:val="both"/>
        <w:rPr>
          <w:rFonts w:ascii="Century Gothic" w:hAnsi="Century Gothic" w:cs="Arial"/>
          <w:b/>
          <w:sz w:val="24"/>
          <w:szCs w:val="24"/>
          <w:lang w:val="es-ES_tradnl"/>
        </w:rPr>
      </w:pPr>
    </w:p>
    <w:p w14:paraId="711626F1" w14:textId="77777777" w:rsidR="00A301DE" w:rsidRPr="00255C4C" w:rsidRDefault="00A301DE" w:rsidP="00255C4C">
      <w:pPr>
        <w:spacing w:line="360" w:lineRule="auto"/>
        <w:jc w:val="center"/>
        <w:rPr>
          <w:rFonts w:ascii="Century Gothic" w:hAnsi="Century Gothic" w:cs="Arial"/>
          <w:b/>
          <w:sz w:val="24"/>
          <w:szCs w:val="24"/>
          <w:lang w:val="es-ES_tradnl"/>
        </w:rPr>
      </w:pPr>
      <w:r w:rsidRPr="00255C4C">
        <w:rPr>
          <w:rFonts w:ascii="Century Gothic" w:hAnsi="Century Gothic" w:cs="Arial"/>
          <w:b/>
          <w:sz w:val="24"/>
          <w:szCs w:val="24"/>
          <w:lang w:val="es-ES_tradnl"/>
        </w:rPr>
        <w:t>ATENTAMENTE</w:t>
      </w:r>
    </w:p>
    <w:p w14:paraId="40CA6A96" w14:textId="77777777" w:rsidR="00A301DE" w:rsidRPr="00255C4C" w:rsidRDefault="00A301DE" w:rsidP="004619AC">
      <w:pPr>
        <w:spacing w:line="360" w:lineRule="auto"/>
        <w:rPr>
          <w:rFonts w:ascii="Century Gothic" w:hAnsi="Century Gothic" w:cs="Arial"/>
          <w:b/>
          <w:sz w:val="24"/>
          <w:szCs w:val="24"/>
          <w:lang w:val="es-ES_tradnl"/>
        </w:rPr>
      </w:pPr>
    </w:p>
    <w:p w14:paraId="3067E0D3" w14:textId="77777777" w:rsidR="00A301DE" w:rsidRPr="00255C4C" w:rsidRDefault="00A301DE" w:rsidP="00255C4C">
      <w:pPr>
        <w:spacing w:line="360" w:lineRule="auto"/>
        <w:ind w:left="1428"/>
        <w:jc w:val="center"/>
        <w:rPr>
          <w:rFonts w:ascii="Century Gothic" w:hAnsi="Century Gothic" w:cs="Arial"/>
          <w:b/>
          <w:sz w:val="24"/>
          <w:szCs w:val="24"/>
          <w:lang w:val="es-ES_tradnl"/>
        </w:rPr>
      </w:pPr>
    </w:p>
    <w:p w14:paraId="61857F4E" w14:textId="7D4C7ECC" w:rsidR="00A301DE" w:rsidRPr="004619AC" w:rsidRDefault="00A301DE" w:rsidP="004619AC">
      <w:pPr>
        <w:spacing w:line="360" w:lineRule="auto"/>
        <w:jc w:val="center"/>
        <w:rPr>
          <w:rFonts w:ascii="Century Gothic" w:hAnsi="Century Gothic" w:cs="Arial"/>
          <w:b/>
          <w:sz w:val="24"/>
          <w:szCs w:val="24"/>
          <w:lang w:val="es-ES_tradnl"/>
        </w:rPr>
      </w:pPr>
      <w:r w:rsidRPr="00255C4C">
        <w:rPr>
          <w:rFonts w:ascii="Century Gothic" w:hAnsi="Century Gothic" w:cs="Arial"/>
          <w:b/>
          <w:sz w:val="24"/>
          <w:szCs w:val="24"/>
          <w:lang w:val="es-ES_tradnl"/>
        </w:rPr>
        <w:t>DIP. ISELA MARTÍNEZ DÍAZ.</w:t>
      </w:r>
    </w:p>
    <w:p w14:paraId="5971AFA5" w14:textId="77777777" w:rsidR="00D35B3D" w:rsidRPr="00255C4C" w:rsidRDefault="00D35B3D" w:rsidP="00255C4C">
      <w:pPr>
        <w:spacing w:line="360" w:lineRule="auto"/>
        <w:rPr>
          <w:rFonts w:ascii="Century Gothic" w:hAnsi="Century Gothic"/>
        </w:rPr>
      </w:pPr>
    </w:p>
    <w:sectPr w:rsidR="00D35B3D" w:rsidRPr="00255C4C" w:rsidSect="005C0B76">
      <w:headerReference w:type="default" r:id="rId7"/>
      <w:footerReference w:type="default" r:id="rId8"/>
      <w:pgSz w:w="12240" w:h="15840"/>
      <w:pgMar w:top="2694"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964CA8" w14:textId="77777777" w:rsidR="00631514" w:rsidRDefault="00631514" w:rsidP="00A301DE">
      <w:pPr>
        <w:spacing w:after="0" w:line="240" w:lineRule="auto"/>
      </w:pPr>
      <w:r>
        <w:separator/>
      </w:r>
    </w:p>
  </w:endnote>
  <w:endnote w:type="continuationSeparator" w:id="0">
    <w:p w14:paraId="10436448" w14:textId="77777777" w:rsidR="00631514" w:rsidRDefault="00631514" w:rsidP="00A30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5F8DD" w14:textId="77777777" w:rsidR="005C0B76" w:rsidRDefault="00964FA1">
    <w:pPr>
      <w:pStyle w:val="Piedepgina"/>
      <w:jc w:val="center"/>
    </w:pPr>
    <w:r>
      <w:rPr>
        <w:noProof/>
      </w:rPr>
      <w:fldChar w:fldCharType="begin"/>
    </w:r>
    <w:r>
      <w:rPr>
        <w:noProof/>
      </w:rPr>
      <w:instrText xml:space="preserve"> PAGE   \* MERGEFORMAT </w:instrText>
    </w:r>
    <w:r>
      <w:rPr>
        <w:noProof/>
      </w:rPr>
      <w:fldChar w:fldCharType="separate"/>
    </w:r>
    <w:r w:rsidR="00C33B43">
      <w:rPr>
        <w:noProof/>
      </w:rPr>
      <w:t>5</w:t>
    </w:r>
    <w:r>
      <w:rPr>
        <w:noProof/>
      </w:rPr>
      <w:fldChar w:fldCharType="end"/>
    </w:r>
  </w:p>
  <w:p w14:paraId="3CB91944" w14:textId="77777777" w:rsidR="005C0B76" w:rsidRDefault="005C0B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88F096" w14:textId="77777777" w:rsidR="00631514" w:rsidRDefault="00631514" w:rsidP="00A301DE">
      <w:pPr>
        <w:spacing w:after="0" w:line="240" w:lineRule="auto"/>
      </w:pPr>
      <w:r>
        <w:separator/>
      </w:r>
    </w:p>
  </w:footnote>
  <w:footnote w:type="continuationSeparator" w:id="0">
    <w:p w14:paraId="19A31F01" w14:textId="77777777" w:rsidR="00631514" w:rsidRDefault="00631514" w:rsidP="00A301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35784" w14:textId="77777777" w:rsidR="005C0B76" w:rsidRDefault="00964FA1" w:rsidP="005C0B76">
    <w:pPr>
      <w:pStyle w:val="Encabezado"/>
      <w:tabs>
        <w:tab w:val="clear" w:pos="4419"/>
        <w:tab w:val="clear" w:pos="8838"/>
        <w:tab w:val="left" w:pos="5670"/>
      </w:tabs>
    </w:pPr>
    <w:r>
      <w:rPr>
        <w:noProof/>
        <w:lang w:eastAsia="es-MX"/>
      </w:rPr>
      <mc:AlternateContent>
        <mc:Choice Requires="wps">
          <w:drawing>
            <wp:anchor distT="0" distB="0" distL="114300" distR="114300" simplePos="0" relativeHeight="251659264" behindDoc="0" locked="0" layoutInCell="1" allowOverlap="1" wp14:anchorId="7721C4F6" wp14:editId="658DFBD7">
              <wp:simplePos x="0" y="0"/>
              <wp:positionH relativeFrom="column">
                <wp:posOffset>1682115</wp:posOffset>
              </wp:positionH>
              <wp:positionV relativeFrom="paragraph">
                <wp:posOffset>6985</wp:posOffset>
              </wp:positionV>
              <wp:extent cx="4495800" cy="5524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4958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C4705" w14:textId="77777777" w:rsidR="00C523EC" w:rsidRPr="00015B2B" w:rsidRDefault="00C523EC" w:rsidP="00C523EC">
                          <w:pPr>
                            <w:spacing w:line="240" w:lineRule="auto"/>
                            <w:jc w:val="right"/>
                          </w:pPr>
                          <w:r w:rsidRPr="00015B2B">
                            <w:rPr>
                              <w:rFonts w:ascii="Times New Roman" w:eastAsia="Times New Roman" w:hAnsi="Times New Roman"/>
                              <w:i/>
                              <w:sz w:val="20"/>
                              <w:szCs w:val="20"/>
                            </w:rPr>
                            <w:t>“2022, Año del Centenario de la llegada de la Comunidad Menonita a Chihuahua”</w:t>
                          </w:r>
                        </w:p>
                        <w:p w14:paraId="54D7328A" w14:textId="77777777" w:rsidR="005C0B76" w:rsidRDefault="005C0B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721C4F6" id="_x0000_t202" coordsize="21600,21600" o:spt="202" path="m,l,21600r21600,l21600,xe">
              <v:stroke joinstyle="miter"/>
              <v:path gradientshapeok="t" o:connecttype="rect"/>
            </v:shapetype>
            <v:shape id="Cuadro de texto 2" o:spid="_x0000_s1026" type="#_x0000_t202" style="position:absolute;margin-left:132.45pt;margin-top:.55pt;width:354pt;height:4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" fillcolor="white [3201]" stroked="f" strokeweight=".5pt">
              <v:textbox>
                <w:txbxContent>
                  <w:p w14:paraId="26CC4705" w14:textId="77777777" w:rsidR="00C523EC" w:rsidRPr="00015B2B" w:rsidRDefault="00C523EC" w:rsidP="00C523EC">
                    <w:pPr>
                      <w:spacing w:line="240" w:lineRule="auto"/>
                      <w:jc w:val="right"/>
                    </w:pPr>
                    <w:r w:rsidRPr="00015B2B">
                      <w:rPr>
                        <w:rFonts w:ascii="Times New Roman" w:eastAsia="Times New Roman" w:hAnsi="Times New Roman"/>
                        <w:i/>
                        <w:sz w:val="20"/>
                        <w:szCs w:val="20"/>
                      </w:rPr>
                      <w:t>“2022, Año del Centenario de la llegada de la Comunidad Menonita a Chihuahua”</w:t>
                    </w:r>
                  </w:p>
                  <w:p w14:paraId="54D7328A" w14:textId="77777777" w:rsidR="005C0B76" w:rsidRDefault="005C0B76"/>
                </w:txbxContent>
              </v:textbox>
            </v:shape>
          </w:pict>
        </mc:Fallback>
      </mc:AlternateContent>
    </w:r>
    <w:r w:rsidRPr="00556FBF">
      <w:rPr>
        <w:noProof/>
        <w:lang w:eastAsia="es-MX"/>
      </w:rPr>
      <w:drawing>
        <wp:inline distT="0" distB="0" distL="0" distR="0" wp14:anchorId="1303454B" wp14:editId="7F860E15">
          <wp:extent cx="1066800" cy="1158240"/>
          <wp:effectExtent l="0" t="0" r="0" b="3810"/>
          <wp:docPr id="1" name="Imagen 1"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8240"/>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67741"/>
    <w:multiLevelType w:val="hybridMultilevel"/>
    <w:tmpl w:val="B5C84D1A"/>
    <w:styleLink w:val="Estiloimportado1"/>
    <w:lvl w:ilvl="0" w:tplc="681ECCD8">
      <w:start w:val="1"/>
      <w:numFmt w:val="decimal"/>
      <w:lvlText w:val="%1."/>
      <w:lvlJc w:val="left"/>
      <w:pPr>
        <w:ind w:left="390" w:hanging="390"/>
      </w:pPr>
      <w:rPr>
        <w:rFonts w:hAnsi="Arial Unicode MS"/>
        <w:caps w:val="0"/>
        <w:smallCaps w:val="0"/>
        <w:strike w:val="0"/>
        <w:dstrike w:val="0"/>
        <w:outline w:val="0"/>
        <w:emboss w:val="0"/>
        <w:imprint w:val="0"/>
        <w:spacing w:val="0"/>
        <w:w w:val="100"/>
        <w:kern w:val="0"/>
        <w:position w:val="0"/>
        <w:highlight w:val="none"/>
        <w:vertAlign w:val="baseline"/>
      </w:rPr>
    </w:lvl>
    <w:lvl w:ilvl="1" w:tplc="FAF659DC">
      <w:start w:val="1"/>
      <w:numFmt w:val="lowerLetter"/>
      <w:lvlText w:val="%2."/>
      <w:lvlJc w:val="left"/>
      <w:pPr>
        <w:ind w:left="664" w:hanging="334"/>
      </w:pPr>
      <w:rPr>
        <w:rFonts w:hAnsi="Arial Unicode MS"/>
        <w:caps w:val="0"/>
        <w:smallCaps w:val="0"/>
        <w:strike w:val="0"/>
        <w:dstrike w:val="0"/>
        <w:outline w:val="0"/>
        <w:emboss w:val="0"/>
        <w:imprint w:val="0"/>
        <w:spacing w:val="0"/>
        <w:w w:val="100"/>
        <w:kern w:val="0"/>
        <w:position w:val="0"/>
        <w:highlight w:val="none"/>
        <w:vertAlign w:val="baseline"/>
      </w:rPr>
    </w:lvl>
    <w:lvl w:ilvl="2" w:tplc="CB4CADCA">
      <w:start w:val="1"/>
      <w:numFmt w:val="lowerRoman"/>
      <w:lvlText w:val="%3."/>
      <w:lvlJc w:val="left"/>
      <w:pPr>
        <w:ind w:left="1386" w:hanging="311"/>
      </w:pPr>
      <w:rPr>
        <w:rFonts w:hAnsi="Arial Unicode MS"/>
        <w:caps w:val="0"/>
        <w:smallCaps w:val="0"/>
        <w:strike w:val="0"/>
        <w:dstrike w:val="0"/>
        <w:outline w:val="0"/>
        <w:emboss w:val="0"/>
        <w:imprint w:val="0"/>
        <w:spacing w:val="0"/>
        <w:w w:val="100"/>
        <w:kern w:val="0"/>
        <w:position w:val="0"/>
        <w:highlight w:val="none"/>
        <w:vertAlign w:val="baseline"/>
      </w:rPr>
    </w:lvl>
    <w:lvl w:ilvl="3" w:tplc="A2726A2E">
      <w:start w:val="1"/>
      <w:numFmt w:val="decimal"/>
      <w:lvlText w:val="%4."/>
      <w:lvlJc w:val="left"/>
      <w:pPr>
        <w:ind w:left="2104" w:hanging="334"/>
      </w:pPr>
      <w:rPr>
        <w:rFonts w:hAnsi="Arial Unicode MS"/>
        <w:caps w:val="0"/>
        <w:smallCaps w:val="0"/>
        <w:strike w:val="0"/>
        <w:dstrike w:val="0"/>
        <w:outline w:val="0"/>
        <w:emboss w:val="0"/>
        <w:imprint w:val="0"/>
        <w:spacing w:val="0"/>
        <w:w w:val="100"/>
        <w:kern w:val="0"/>
        <w:position w:val="0"/>
        <w:highlight w:val="none"/>
        <w:vertAlign w:val="baseline"/>
      </w:rPr>
    </w:lvl>
    <w:lvl w:ilvl="4" w:tplc="CBAC3AFE">
      <w:start w:val="1"/>
      <w:numFmt w:val="lowerLetter"/>
      <w:lvlText w:val="%5."/>
      <w:lvlJc w:val="left"/>
      <w:pPr>
        <w:ind w:left="2824" w:hanging="334"/>
      </w:pPr>
      <w:rPr>
        <w:rFonts w:hAnsi="Arial Unicode MS"/>
        <w:caps w:val="0"/>
        <w:smallCaps w:val="0"/>
        <w:strike w:val="0"/>
        <w:dstrike w:val="0"/>
        <w:outline w:val="0"/>
        <w:emboss w:val="0"/>
        <w:imprint w:val="0"/>
        <w:spacing w:val="0"/>
        <w:w w:val="100"/>
        <w:kern w:val="0"/>
        <w:position w:val="0"/>
        <w:highlight w:val="none"/>
        <w:vertAlign w:val="baseline"/>
      </w:rPr>
    </w:lvl>
    <w:lvl w:ilvl="5" w:tplc="B67C630E">
      <w:start w:val="1"/>
      <w:numFmt w:val="lowerRoman"/>
      <w:lvlText w:val="%6."/>
      <w:lvlJc w:val="left"/>
      <w:pPr>
        <w:ind w:left="3546" w:hanging="311"/>
      </w:pPr>
      <w:rPr>
        <w:rFonts w:hAnsi="Arial Unicode MS"/>
        <w:caps w:val="0"/>
        <w:smallCaps w:val="0"/>
        <w:strike w:val="0"/>
        <w:dstrike w:val="0"/>
        <w:outline w:val="0"/>
        <w:emboss w:val="0"/>
        <w:imprint w:val="0"/>
        <w:spacing w:val="0"/>
        <w:w w:val="100"/>
        <w:kern w:val="0"/>
        <w:position w:val="0"/>
        <w:highlight w:val="none"/>
        <w:vertAlign w:val="baseline"/>
      </w:rPr>
    </w:lvl>
    <w:lvl w:ilvl="6" w:tplc="A872BAD0">
      <w:start w:val="1"/>
      <w:numFmt w:val="decimal"/>
      <w:lvlText w:val="%7."/>
      <w:lvlJc w:val="left"/>
      <w:pPr>
        <w:ind w:left="4264" w:hanging="334"/>
      </w:pPr>
      <w:rPr>
        <w:rFonts w:hAnsi="Arial Unicode MS"/>
        <w:caps w:val="0"/>
        <w:smallCaps w:val="0"/>
        <w:strike w:val="0"/>
        <w:dstrike w:val="0"/>
        <w:outline w:val="0"/>
        <w:emboss w:val="0"/>
        <w:imprint w:val="0"/>
        <w:spacing w:val="0"/>
        <w:w w:val="100"/>
        <w:kern w:val="0"/>
        <w:position w:val="0"/>
        <w:highlight w:val="none"/>
        <w:vertAlign w:val="baseline"/>
      </w:rPr>
    </w:lvl>
    <w:lvl w:ilvl="7" w:tplc="3C3C4C40">
      <w:start w:val="1"/>
      <w:numFmt w:val="lowerLetter"/>
      <w:lvlText w:val="%8."/>
      <w:lvlJc w:val="left"/>
      <w:pPr>
        <w:ind w:left="4984" w:hanging="334"/>
      </w:pPr>
      <w:rPr>
        <w:rFonts w:hAnsi="Arial Unicode MS"/>
        <w:caps w:val="0"/>
        <w:smallCaps w:val="0"/>
        <w:strike w:val="0"/>
        <w:dstrike w:val="0"/>
        <w:outline w:val="0"/>
        <w:emboss w:val="0"/>
        <w:imprint w:val="0"/>
        <w:spacing w:val="0"/>
        <w:w w:val="100"/>
        <w:kern w:val="0"/>
        <w:position w:val="0"/>
        <w:highlight w:val="none"/>
        <w:vertAlign w:val="baseline"/>
      </w:rPr>
    </w:lvl>
    <w:lvl w:ilvl="8" w:tplc="861AFE62">
      <w:start w:val="1"/>
      <w:numFmt w:val="lowerRoman"/>
      <w:lvlText w:val="%9."/>
      <w:lvlJc w:val="left"/>
      <w:pPr>
        <w:ind w:left="5706" w:hanging="3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AB71E5C"/>
    <w:multiLevelType w:val="hybridMultilevel"/>
    <w:tmpl w:val="B5C84D1A"/>
    <w:numStyleLink w:val="Estiloimportado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1DE"/>
    <w:rsid w:val="00255C4C"/>
    <w:rsid w:val="004619AC"/>
    <w:rsid w:val="004F42D3"/>
    <w:rsid w:val="005522A9"/>
    <w:rsid w:val="005C0B76"/>
    <w:rsid w:val="00631514"/>
    <w:rsid w:val="00675E7C"/>
    <w:rsid w:val="00964FA1"/>
    <w:rsid w:val="00A301DE"/>
    <w:rsid w:val="00C33B43"/>
    <w:rsid w:val="00C523EC"/>
    <w:rsid w:val="00D35B3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A2D90B"/>
  <w15:docId w15:val="{40F727F2-8461-4577-86FD-445670554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1DE"/>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301DE"/>
    <w:pPr>
      <w:autoSpaceDE w:val="0"/>
      <w:autoSpaceDN w:val="0"/>
      <w:adjustRightInd w:val="0"/>
      <w:spacing w:after="0" w:line="240" w:lineRule="auto"/>
    </w:pPr>
    <w:rPr>
      <w:rFonts w:ascii="Cambria" w:eastAsia="Times New Roman" w:hAnsi="Cambria" w:cs="Cambria"/>
      <w:color w:val="000000"/>
      <w:sz w:val="24"/>
      <w:szCs w:val="24"/>
      <w:lang w:eastAsia="es-MX"/>
    </w:rPr>
  </w:style>
  <w:style w:type="paragraph" w:styleId="Textonotapie">
    <w:name w:val="footnote text"/>
    <w:basedOn w:val="Normal"/>
    <w:link w:val="TextonotapieCar"/>
    <w:uiPriority w:val="99"/>
    <w:unhideWhenUsed/>
    <w:rsid w:val="00A301DE"/>
    <w:pPr>
      <w:spacing w:after="0" w:line="240" w:lineRule="auto"/>
    </w:pPr>
    <w:rPr>
      <w:sz w:val="20"/>
      <w:szCs w:val="20"/>
    </w:rPr>
  </w:style>
  <w:style w:type="character" w:customStyle="1" w:styleId="TextonotapieCar">
    <w:name w:val="Texto nota pie Car"/>
    <w:basedOn w:val="Fuentedeprrafopredeter"/>
    <w:link w:val="Textonotapie"/>
    <w:uiPriority w:val="99"/>
    <w:rsid w:val="00A301DE"/>
    <w:rPr>
      <w:rFonts w:ascii="Calibri" w:eastAsia="Calibri" w:hAnsi="Calibri" w:cs="Times New Roman"/>
      <w:sz w:val="20"/>
      <w:szCs w:val="20"/>
    </w:rPr>
  </w:style>
  <w:style w:type="character" w:styleId="Refdenotaalpie">
    <w:name w:val="footnote reference"/>
    <w:uiPriority w:val="99"/>
    <w:semiHidden/>
    <w:unhideWhenUsed/>
    <w:rsid w:val="00A301DE"/>
    <w:rPr>
      <w:vertAlign w:val="superscript"/>
    </w:rPr>
  </w:style>
  <w:style w:type="paragraph" w:styleId="Encabezado">
    <w:name w:val="header"/>
    <w:basedOn w:val="Normal"/>
    <w:link w:val="EncabezadoCar"/>
    <w:uiPriority w:val="99"/>
    <w:unhideWhenUsed/>
    <w:rsid w:val="00A301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01DE"/>
    <w:rPr>
      <w:rFonts w:ascii="Calibri" w:eastAsia="Calibri" w:hAnsi="Calibri" w:cs="Times New Roman"/>
    </w:rPr>
  </w:style>
  <w:style w:type="paragraph" w:styleId="Piedepgina">
    <w:name w:val="footer"/>
    <w:basedOn w:val="Normal"/>
    <w:link w:val="PiedepginaCar"/>
    <w:uiPriority w:val="99"/>
    <w:unhideWhenUsed/>
    <w:rsid w:val="00A301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01DE"/>
    <w:rPr>
      <w:rFonts w:ascii="Calibri" w:eastAsia="Calibri" w:hAnsi="Calibri" w:cs="Times New Roman"/>
    </w:rPr>
  </w:style>
  <w:style w:type="character" w:styleId="Refdecomentario">
    <w:name w:val="annotation reference"/>
    <w:basedOn w:val="Fuentedeprrafopredeter"/>
    <w:uiPriority w:val="99"/>
    <w:semiHidden/>
    <w:unhideWhenUsed/>
    <w:rsid w:val="00A301DE"/>
    <w:rPr>
      <w:sz w:val="18"/>
      <w:szCs w:val="18"/>
    </w:rPr>
  </w:style>
  <w:style w:type="paragraph" w:styleId="Textocomentario">
    <w:name w:val="annotation text"/>
    <w:basedOn w:val="Normal"/>
    <w:link w:val="TextocomentarioCar"/>
    <w:uiPriority w:val="99"/>
    <w:semiHidden/>
    <w:unhideWhenUsed/>
    <w:rsid w:val="00A301DE"/>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A301DE"/>
    <w:rPr>
      <w:rFonts w:ascii="Calibri" w:eastAsia="Calibri" w:hAnsi="Calibri" w:cs="Times New Roman"/>
      <w:sz w:val="24"/>
      <w:szCs w:val="24"/>
    </w:rPr>
  </w:style>
  <w:style w:type="paragraph" w:styleId="Textodeglobo">
    <w:name w:val="Balloon Text"/>
    <w:basedOn w:val="Normal"/>
    <w:link w:val="TextodegloboCar"/>
    <w:uiPriority w:val="99"/>
    <w:semiHidden/>
    <w:unhideWhenUsed/>
    <w:rsid w:val="00A301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01DE"/>
    <w:rPr>
      <w:rFonts w:ascii="Segoe UI" w:eastAsia="Calibri" w:hAnsi="Segoe UI" w:cs="Segoe UI"/>
      <w:sz w:val="18"/>
      <w:szCs w:val="18"/>
    </w:rPr>
  </w:style>
  <w:style w:type="numbering" w:customStyle="1" w:styleId="Estiloimportado1">
    <w:name w:val="Estilo importado 1"/>
    <w:rsid w:val="00A301DE"/>
    <w:pPr>
      <w:numPr>
        <w:numId w:val="1"/>
      </w:numPr>
    </w:pPr>
  </w:style>
  <w:style w:type="table" w:styleId="Tablaconcuadrcula">
    <w:name w:val="Table Grid"/>
    <w:basedOn w:val="Tablanormal"/>
    <w:uiPriority w:val="39"/>
    <w:rsid w:val="004619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Pages>
  <Words>875</Words>
  <Characters>4816</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Alejandro Aguilar Guerra</dc:creator>
  <cp:keywords/>
  <dc:description/>
  <cp:lastModifiedBy>Hector Alejandro Aguilar Guerra</cp:lastModifiedBy>
  <cp:revision>1</cp:revision>
  <cp:lastPrinted>2022-02-22T19:30:00Z</cp:lastPrinted>
  <dcterms:created xsi:type="dcterms:W3CDTF">2022-02-14T20:33:00Z</dcterms:created>
  <dcterms:modified xsi:type="dcterms:W3CDTF">2022-02-24T18:47:00Z</dcterms:modified>
</cp:coreProperties>
</file>